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3"/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spacing w:line="360" w:lineRule="auto"/>
        <w:ind w:firstLine="723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商洛市委老干部工作局</w:t>
      </w:r>
    </w:p>
    <w:p>
      <w:pPr>
        <w:spacing w:line="360" w:lineRule="auto"/>
        <w:ind w:firstLine="723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2021年部门综合预算</w:t>
      </w:r>
    </w:p>
    <w:p>
      <w:pPr>
        <w:spacing w:line="360" w:lineRule="auto"/>
        <w:ind w:firstLine="64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ind w:firstLine="643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目  录</w:t>
      </w:r>
    </w:p>
    <w:p>
      <w:pPr>
        <w:spacing w:line="360" w:lineRule="auto"/>
        <w:ind w:firstLine="643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第一部分   部门概况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一、部门主要职责及机构设置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二、2021年年度部门工作任务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三、部门预算单位构成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四、部门人员情况说明</w:t>
      </w:r>
    </w:p>
    <w:p>
      <w:pPr>
        <w:spacing w:line="360" w:lineRule="auto"/>
        <w:ind w:firstLine="643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第二部分   收支情况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五、2021年部门预算收支说明</w:t>
      </w:r>
    </w:p>
    <w:p>
      <w:pPr>
        <w:spacing w:line="360" w:lineRule="auto"/>
        <w:ind w:firstLine="643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第三部分   其他说明情况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六、部门预算“三公”经费等情况说明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七、部门国有资产占有使用及资产购置情况说明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八、部门政府采购情况说明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九、部门预算绩效目标说明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十、机关运行经费安排说明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十一、专业名词解释</w:t>
      </w:r>
    </w:p>
    <w:p>
      <w:pPr>
        <w:spacing w:line="360" w:lineRule="auto"/>
        <w:ind w:firstLine="643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第四部分   公开报表</w:t>
      </w:r>
    </w:p>
    <w:p>
      <w:pPr>
        <w:spacing w:line="360" w:lineRule="auto"/>
        <w:ind w:firstLine="0" w:firstLineChars="0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360" w:lineRule="auto"/>
        <w:ind w:firstLine="0" w:firstLineChars="0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360" w:lineRule="auto"/>
        <w:ind w:firstLine="0" w:firstLineChars="0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第一部分  部门概况</w:t>
      </w:r>
    </w:p>
    <w:p>
      <w:pPr>
        <w:spacing w:line="360" w:lineRule="auto"/>
        <w:ind w:firstLine="643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一、部门主要职责及机构设置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（一）部门主要职责</w:t>
      </w:r>
      <w:bookmarkStart w:id="0" w:name="_GoBack"/>
      <w:bookmarkEnd w:id="0"/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1、贯彻执行党和国家离退休干部工作方针政策，调查研究并拟定我市有关离退休干部的政策规定。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2、负责离退休干部思想政治工作。承担离退休干部理论学习和思想教育，落实离退休干部的政治待遇，制定完善离退休干部阅读文件、听取报告、参观学习以及参加重要会议、重大活动制度机制。承担离退休干部党组织建设，指导离退休干部党员教育管理工作，引导离退休干部为党的事业增添正能量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3、负责离退休干部服务管理工作。承担易地安置离休干部服务管理工作；加强退休干部服务管理；会同有关部门制定完善离退休干部生活待遇有关政策，完善离退休干部困难帮扶机制。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4、负责离退休干部活动阵地、学习阵地建设。指导全市老年教育工作，组织指导离退休干部开展寓教于乐的文体活动，丰富离退休干部的精神文化生活。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5、注重发现和宣传离退休干部先进典型，组织引导离退休干部发挥作用。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6、负责离退休干部工作队伍建设，指导全市老干部工作部门的自身建设，搞好业务培训，提高工作水平。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7、负责全市离退休干部信息库建设；会同做好全市离退休干部信访工作；参与做好来商离退休干部接待工作。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8、指导离退休干部的丧事处理和对离退休干部遗属的服务工作。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9、承办市委交办的其他事项。</w:t>
      </w:r>
    </w:p>
    <w:p>
      <w:pPr>
        <w:spacing w:line="360" w:lineRule="auto"/>
        <w:ind w:firstLine="640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（二）部门机构设置</w:t>
      </w:r>
    </w:p>
    <w:p>
      <w:pPr>
        <w:spacing w:line="360" w:lineRule="auto"/>
        <w:ind w:firstLine="640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机构改革后，新《三定方案》已报市编办审核待批。</w:t>
      </w:r>
    </w:p>
    <w:p>
      <w:pPr>
        <w:spacing w:line="360" w:lineRule="auto"/>
        <w:ind w:firstLine="643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二、2021年度部门工作任务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（一）部门主要职责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1、贯彻执行党和国家离退休干部工作方针政策，调查研究并拟定我市有关离退休干部的政策规定。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2、负责离退休干部思想政治工作。承担离退休干部理论学习和思想教育，落实离退休干部的政治待遇，制定完善离退休干部阅读文件、听取报告、参观学习以及参加重要会议、重大活动制度机制。承担离退休干部党组织建设，指导离退休干部党员教育管理工作，引导离退休干部为党的事业增添正能量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额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3、负责离退休干部服务管理工作。承担易地安置离休干部服务管理工作；加强退休干部服务管理；会同有关部门制定完善离退休干部生活待遇有关政策，完善离退休干部困难帮扶机制。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4、负责离退休干部活动阵地、学习阵地建设。指导全市老年教育工作，组织指导离退休干部开展寓教于乐的文体活动，丰富离退休干部的精神文化生活。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5、注重发现和宣传离退休干部先进典型，组织引导离退休干部发挥作用。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6、负责离退休干部工作队伍建设，指导全市老干部工作部门的自身建设，搞好业务培训，提高工作水平。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7、负责全市离退休干部信息库建设；会同做好全市离退休干部信访工作；参与做好来商离退休干部接待工作。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8、指导离退休干部的丧事处理和对离退休干部遗属的服务工作。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9、承办市委交办的其他事项。</w:t>
      </w:r>
    </w:p>
    <w:p>
      <w:pPr>
        <w:spacing w:line="360" w:lineRule="auto"/>
        <w:ind w:firstLine="640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（二）部门机构设置</w:t>
      </w:r>
    </w:p>
    <w:p>
      <w:pPr>
        <w:spacing w:line="360" w:lineRule="auto"/>
        <w:ind w:firstLine="640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机构改革后，新《三定方案》已报市编办审核待批。</w:t>
      </w:r>
    </w:p>
    <w:p>
      <w:pPr>
        <w:spacing w:line="360" w:lineRule="auto"/>
        <w:ind w:firstLine="643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 xml:space="preserve">三、部门预算单位 </w:t>
      </w:r>
    </w:p>
    <w:tbl>
      <w:tblPr>
        <w:tblStyle w:val="6"/>
        <w:tblpPr w:leftFromText="180" w:rightFromText="180" w:vertAnchor="text" w:horzAnchor="page" w:tblpX="785" w:tblpY="2313"/>
        <w:tblOverlap w:val="never"/>
        <w:tblW w:w="10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14"/>
        <w:gridCol w:w="6789"/>
        <w:gridCol w:w="2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</w:trPr>
        <w:tc>
          <w:tcPr>
            <w:tcW w:w="1314" w:type="dxa"/>
          </w:tcPr>
          <w:p>
            <w:pPr>
              <w:ind w:firstLine="64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6789" w:type="dxa"/>
          </w:tcPr>
          <w:p>
            <w:pPr>
              <w:ind w:firstLine="64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2677" w:type="dxa"/>
          </w:tcPr>
          <w:p>
            <w:pPr>
              <w:ind w:firstLine="64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拟变动情况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4" w:hRule="atLeast"/>
        </w:trPr>
        <w:tc>
          <w:tcPr>
            <w:tcW w:w="1314" w:type="dxa"/>
          </w:tcPr>
          <w:p>
            <w:pPr>
              <w:ind w:firstLine="64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6789" w:type="dxa"/>
          </w:tcPr>
          <w:p>
            <w:pPr>
              <w:ind w:firstLine="0" w:firstLineChars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商洛市老干部休养所</w:t>
            </w:r>
          </w:p>
        </w:tc>
        <w:tc>
          <w:tcPr>
            <w:tcW w:w="2677" w:type="dxa"/>
          </w:tcPr>
          <w:p>
            <w:pPr>
              <w:ind w:firstLine="64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4" w:hRule="atLeast"/>
        </w:trPr>
        <w:tc>
          <w:tcPr>
            <w:tcW w:w="1314" w:type="dxa"/>
            <w:shd w:val="clear" w:color="auto" w:fill="auto"/>
          </w:tcPr>
          <w:p>
            <w:pPr>
              <w:ind w:firstLine="640"/>
              <w:jc w:val="left"/>
            </w:pPr>
            <w:r>
              <w:rPr>
                <w:rFonts w:ascii="仿宋" w:hAnsi="仿宋" w:eastAsia="仿宋" w:cs="仿宋"/>
                <w:position w:val="-1"/>
                <w:sz w:val="32"/>
              </w:rPr>
              <w:t>2</w:t>
            </w:r>
          </w:p>
        </w:tc>
        <w:tc>
          <w:tcPr>
            <w:tcW w:w="6789" w:type="dxa"/>
            <w:shd w:val="clear" w:color="auto" w:fill="auto"/>
          </w:tcPr>
          <w:p>
            <w:pPr>
              <w:ind w:firstLine="0" w:firstLineChars="0"/>
            </w:pPr>
            <w:r>
              <w:rPr>
                <w:rFonts w:ascii="仿宋" w:hAnsi="仿宋" w:eastAsia="仿宋" w:cs="仿宋"/>
                <w:position w:val="-1"/>
                <w:sz w:val="32"/>
              </w:rPr>
              <w:t>商洛市委老干部工作局</w:t>
            </w:r>
          </w:p>
        </w:tc>
        <w:tc>
          <w:tcPr>
            <w:tcW w:w="2677" w:type="dxa"/>
            <w:shd w:val="clear" w:color="auto" w:fill="auto"/>
          </w:tcPr>
          <w:p>
            <w:pPr>
              <w:ind w:firstLine="640"/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3" w:hRule="atLeast"/>
        </w:trPr>
        <w:tc>
          <w:tcPr>
            <w:tcW w:w="1314" w:type="dxa"/>
            <w:shd w:val="clear" w:color="auto" w:fill="auto"/>
          </w:tcPr>
          <w:p>
            <w:pPr>
              <w:ind w:firstLine="640"/>
              <w:jc w:val="left"/>
            </w:pPr>
            <w:r>
              <w:rPr>
                <w:rFonts w:ascii="仿宋" w:hAnsi="仿宋" w:eastAsia="仿宋" w:cs="仿宋"/>
                <w:position w:val="-1"/>
                <w:sz w:val="32"/>
              </w:rPr>
              <w:t>3</w:t>
            </w:r>
          </w:p>
        </w:tc>
        <w:tc>
          <w:tcPr>
            <w:tcW w:w="6789" w:type="dxa"/>
            <w:shd w:val="clear" w:color="auto" w:fill="auto"/>
          </w:tcPr>
          <w:p>
            <w:pPr>
              <w:ind w:firstLine="0" w:firstLineChars="0"/>
            </w:pPr>
            <w:r>
              <w:rPr>
                <w:rFonts w:ascii="仿宋" w:hAnsi="仿宋" w:eastAsia="仿宋" w:cs="仿宋"/>
                <w:position w:val="-1"/>
                <w:sz w:val="32"/>
              </w:rPr>
              <w:t>商洛市老干部活动中心</w:t>
            </w:r>
          </w:p>
        </w:tc>
        <w:tc>
          <w:tcPr>
            <w:tcW w:w="2677" w:type="dxa"/>
            <w:shd w:val="clear" w:color="auto" w:fill="auto"/>
          </w:tcPr>
          <w:p>
            <w:pPr>
              <w:ind w:firstLine="640"/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无</w:t>
            </w:r>
          </w:p>
        </w:tc>
      </w:tr>
    </w:tbl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从预算单位构成看，本部门的部门预算包括部门本级（机关）预算和所属事业单位预算。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纳入本部门2021年部门预算编制范围的二级预算单位共有3个,包括（见单位明细表）：</w:t>
      </w:r>
    </w:p>
    <w:p>
      <w:pPr>
        <w:spacing w:line="360" w:lineRule="auto"/>
        <w:ind w:firstLine="643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四、部门人员情况说明</w:t>
      </w:r>
    </w:p>
    <w:p>
      <w:pPr>
        <w:tabs>
          <w:tab w:val="left" w:pos="6643"/>
        </w:tabs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截止2020年底，本部门人员编制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人，其中行政编制6人、事业编制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人；实有人员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人，其中行政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人、事业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人。单位管理的离退休人员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人。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spacing w:line="360" w:lineRule="auto"/>
        <w:ind w:firstLine="480"/>
        <w:jc w:val="center"/>
        <w:rPr>
          <w:rFonts w:ascii="仿宋" w:hAnsi="仿宋" w:eastAsia="仿宋" w:cs="仿宋"/>
          <w:sz w:val="32"/>
          <w:szCs w:val="32"/>
        </w:rPr>
      </w:pPr>
      <w:r>
        <w:drawing>
          <wp:inline distT="0" distB="0" distL="114300" distR="114300">
            <wp:extent cx="4572000" cy="3381375"/>
            <wp:effectExtent l="4445" t="4445" r="14605" b="5080"/>
            <wp:docPr id="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spacing w:line="360" w:lineRule="auto"/>
        <w:ind w:firstLine="643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第二部分  收支情况</w:t>
      </w:r>
    </w:p>
    <w:p>
      <w:pPr>
        <w:spacing w:line="360" w:lineRule="auto"/>
        <w:ind w:firstLine="643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五、2021年部门预算收支说明</w:t>
      </w:r>
    </w:p>
    <w:p>
      <w:pPr>
        <w:spacing w:line="360" w:lineRule="auto"/>
        <w:ind w:firstLine="643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（一）收支预算总体情况。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按照综合预算的原则，本部门所有收入和支出均纳入部门预算管理。2021年本部门预算收入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323.79</w:t>
      </w:r>
      <w:r>
        <w:rPr>
          <w:rFonts w:hint="eastAsia" w:ascii="仿宋" w:hAnsi="仿宋" w:eastAsia="仿宋" w:cs="仿宋"/>
          <w:sz w:val="32"/>
          <w:szCs w:val="32"/>
        </w:rPr>
        <w:t>万元，其中一般公共预算拨款收入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323.79</w:t>
      </w:r>
      <w:r>
        <w:rPr>
          <w:rFonts w:hint="eastAsia" w:ascii="仿宋" w:hAnsi="仿宋" w:eastAsia="仿宋" w:cs="仿宋"/>
          <w:sz w:val="32"/>
          <w:szCs w:val="32"/>
        </w:rPr>
        <w:t>万元、政府性基金拨款收入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0.00</w:t>
      </w:r>
      <w:r>
        <w:rPr>
          <w:rFonts w:hint="eastAsia" w:ascii="仿宋" w:hAnsi="仿宋" w:eastAsia="仿宋" w:cs="仿宋"/>
          <w:sz w:val="32"/>
          <w:szCs w:val="32"/>
        </w:rPr>
        <w:t>万元、上级补助收入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0.00</w:t>
      </w:r>
      <w:r>
        <w:rPr>
          <w:rFonts w:hint="eastAsia" w:ascii="仿宋" w:hAnsi="仿宋" w:eastAsia="仿宋" w:cs="仿宋"/>
          <w:sz w:val="32"/>
          <w:szCs w:val="32"/>
        </w:rPr>
        <w:t>万元、事业收入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0.00</w:t>
      </w:r>
      <w:r>
        <w:rPr>
          <w:rFonts w:hint="eastAsia" w:ascii="仿宋" w:hAnsi="仿宋" w:eastAsia="仿宋" w:cs="仿宋"/>
          <w:sz w:val="32"/>
          <w:szCs w:val="32"/>
        </w:rPr>
        <w:t>万元、事业单位经营收入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0.00</w:t>
      </w:r>
      <w:r>
        <w:rPr>
          <w:rFonts w:hint="eastAsia" w:ascii="仿宋" w:hAnsi="仿宋" w:eastAsia="仿宋" w:cs="仿宋"/>
          <w:sz w:val="32"/>
          <w:szCs w:val="32"/>
        </w:rPr>
        <w:t>万元、对附属单位上缴收入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0.00</w:t>
      </w:r>
      <w:r>
        <w:rPr>
          <w:rFonts w:hint="eastAsia" w:ascii="仿宋" w:hAnsi="仿宋" w:eastAsia="仿宋" w:cs="仿宋"/>
          <w:sz w:val="32"/>
          <w:szCs w:val="32"/>
        </w:rPr>
        <w:t>万元、用事业基金弥补收支差额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0.00</w:t>
      </w:r>
      <w:r>
        <w:rPr>
          <w:rFonts w:hint="eastAsia" w:ascii="仿宋" w:hAnsi="仿宋" w:eastAsia="仿宋" w:cs="仿宋"/>
          <w:sz w:val="32"/>
          <w:szCs w:val="32"/>
        </w:rPr>
        <w:t>万元、上年结转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0.00</w:t>
      </w:r>
      <w:r>
        <w:rPr>
          <w:rFonts w:hint="eastAsia" w:ascii="仿宋" w:hAnsi="仿宋" w:eastAsia="仿宋" w:cs="仿宋"/>
          <w:sz w:val="32"/>
          <w:szCs w:val="32"/>
        </w:rPr>
        <w:t>万元、上年实户资金余额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0.00</w:t>
      </w:r>
      <w:r>
        <w:rPr>
          <w:rFonts w:hint="eastAsia" w:ascii="仿宋" w:hAnsi="仿宋" w:eastAsia="仿宋" w:cs="仿宋"/>
          <w:sz w:val="32"/>
          <w:szCs w:val="32"/>
        </w:rPr>
        <w:t>万元、其他收入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0.00</w:t>
      </w:r>
      <w:r>
        <w:rPr>
          <w:rFonts w:hint="eastAsia" w:ascii="仿宋" w:hAnsi="仿宋" w:eastAsia="仿宋" w:cs="仿宋"/>
          <w:sz w:val="32"/>
          <w:szCs w:val="32"/>
        </w:rPr>
        <w:t>万元，2021年本部门预算收入较上年减少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41.26</w:t>
      </w:r>
      <w:r>
        <w:rPr>
          <w:rFonts w:hint="eastAsia" w:ascii="仿宋" w:hAnsi="仿宋" w:eastAsia="仿宋" w:cs="仿宋"/>
          <w:sz w:val="32"/>
          <w:szCs w:val="32"/>
        </w:rPr>
        <w:t>万元，主要原因是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总收入不含上年结转收入，同时，我单位励行勤俭节约，缩减人员及日常公用开支</w:t>
      </w:r>
      <w:r>
        <w:rPr>
          <w:rFonts w:hint="eastAsia" w:ascii="仿宋" w:hAnsi="仿宋" w:eastAsia="仿宋" w:cs="仿宋"/>
          <w:sz w:val="32"/>
          <w:szCs w:val="32"/>
        </w:rPr>
        <w:t>；2021年本部门预算支出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323.79</w:t>
      </w:r>
      <w:r>
        <w:rPr>
          <w:rFonts w:hint="eastAsia" w:ascii="仿宋" w:hAnsi="仿宋" w:eastAsia="仿宋" w:cs="仿宋"/>
          <w:sz w:val="32"/>
          <w:szCs w:val="32"/>
        </w:rPr>
        <w:t>万元，其中一般公共预算拨款支出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323.79</w:t>
      </w:r>
      <w:r>
        <w:rPr>
          <w:rFonts w:hint="eastAsia" w:ascii="仿宋" w:hAnsi="仿宋" w:eastAsia="仿宋" w:cs="仿宋"/>
          <w:sz w:val="32"/>
          <w:szCs w:val="32"/>
        </w:rPr>
        <w:t>万元、政府性基金拨款支出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0.00</w:t>
      </w:r>
      <w:r>
        <w:rPr>
          <w:rFonts w:hint="eastAsia" w:ascii="仿宋" w:hAnsi="仿宋" w:eastAsia="仿宋" w:cs="仿宋"/>
          <w:sz w:val="32"/>
          <w:szCs w:val="32"/>
        </w:rPr>
        <w:t>万元、事业收入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0.00</w:t>
      </w:r>
      <w:r>
        <w:rPr>
          <w:rFonts w:hint="eastAsia" w:ascii="仿宋" w:hAnsi="仿宋" w:eastAsia="仿宋" w:cs="仿宋"/>
          <w:sz w:val="32"/>
          <w:szCs w:val="32"/>
        </w:rPr>
        <w:t>万元、事业单位经营收入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0.00</w:t>
      </w:r>
      <w:r>
        <w:rPr>
          <w:rFonts w:hint="eastAsia" w:ascii="仿宋" w:hAnsi="仿宋" w:eastAsia="仿宋" w:cs="仿宋"/>
          <w:sz w:val="32"/>
          <w:szCs w:val="32"/>
        </w:rPr>
        <w:t>万元、对附属单位上缴收入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0.00</w:t>
      </w:r>
      <w:r>
        <w:rPr>
          <w:rFonts w:hint="eastAsia" w:ascii="仿宋" w:hAnsi="仿宋" w:eastAsia="仿宋" w:cs="仿宋"/>
          <w:sz w:val="32"/>
          <w:szCs w:val="32"/>
        </w:rPr>
        <w:t>万元、上年实户资金余额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0.00</w:t>
      </w:r>
      <w:r>
        <w:rPr>
          <w:rFonts w:hint="eastAsia" w:ascii="仿宋" w:hAnsi="仿宋" w:eastAsia="仿宋" w:cs="仿宋"/>
          <w:sz w:val="32"/>
          <w:szCs w:val="32"/>
        </w:rPr>
        <w:t>万元、其他收入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0.00</w:t>
      </w:r>
      <w:r>
        <w:rPr>
          <w:rFonts w:hint="eastAsia" w:ascii="仿宋" w:hAnsi="仿宋" w:eastAsia="仿宋" w:cs="仿宋"/>
          <w:sz w:val="32"/>
          <w:szCs w:val="32"/>
        </w:rPr>
        <w:t>万元、上年结转0万元，2021年本部门预算支出较上年减少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41.26</w:t>
      </w:r>
      <w:r>
        <w:rPr>
          <w:rFonts w:hint="eastAsia" w:ascii="仿宋" w:hAnsi="仿宋" w:eastAsia="仿宋" w:cs="仿宋"/>
          <w:sz w:val="32"/>
          <w:szCs w:val="32"/>
        </w:rPr>
        <w:t>万元，主要原因是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受疫情影响，老干部外出和异地慰问没有进行。</w:t>
      </w:r>
    </w:p>
    <w:p>
      <w:pPr>
        <w:spacing w:line="360" w:lineRule="auto"/>
        <w:ind w:firstLine="643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（二）财政拨款收支情况。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2021年本部门财政拨款收入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323.79</w:t>
      </w:r>
      <w:r>
        <w:rPr>
          <w:rFonts w:hint="eastAsia" w:ascii="仿宋" w:hAnsi="仿宋" w:eastAsia="仿宋" w:cs="仿宋"/>
          <w:sz w:val="32"/>
          <w:szCs w:val="32"/>
        </w:rPr>
        <w:t>万元，其中一般公共预算拨款收入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323.79</w:t>
      </w:r>
      <w:r>
        <w:rPr>
          <w:rFonts w:hint="eastAsia" w:ascii="仿宋" w:hAnsi="仿宋" w:eastAsia="仿宋" w:cs="仿宋"/>
          <w:sz w:val="32"/>
          <w:szCs w:val="32"/>
        </w:rPr>
        <w:t>万元、政府性基金拨款收入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0.00</w:t>
      </w:r>
      <w:r>
        <w:rPr>
          <w:rFonts w:hint="eastAsia" w:ascii="仿宋" w:hAnsi="仿宋" w:eastAsia="仿宋" w:cs="仿宋"/>
          <w:sz w:val="32"/>
          <w:szCs w:val="32"/>
        </w:rPr>
        <w:t>万元、上年结转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0.00</w:t>
      </w:r>
      <w:r>
        <w:rPr>
          <w:rFonts w:hint="eastAsia" w:ascii="仿宋" w:hAnsi="仿宋" w:eastAsia="仿宋" w:cs="仿宋"/>
          <w:sz w:val="32"/>
          <w:szCs w:val="32"/>
        </w:rPr>
        <w:t>万元，2021年本部门财政拨款收入较上年减少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41.26</w:t>
      </w:r>
      <w:r>
        <w:rPr>
          <w:rFonts w:hint="eastAsia" w:ascii="仿宋" w:hAnsi="仿宋" w:eastAsia="仿宋" w:cs="仿宋"/>
          <w:sz w:val="32"/>
          <w:szCs w:val="32"/>
        </w:rPr>
        <w:t>万元，主要原因是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本年不含上年结转收入，同时，我单位励行勤俭节约，缩减人员及日常公用开支</w:t>
      </w:r>
      <w:r>
        <w:rPr>
          <w:rFonts w:hint="eastAsia" w:ascii="仿宋" w:hAnsi="仿宋" w:eastAsia="仿宋" w:cs="仿宋"/>
          <w:sz w:val="32"/>
          <w:szCs w:val="32"/>
        </w:rPr>
        <w:t>；2021年本部门财政拨款支出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323.79</w:t>
      </w:r>
      <w:r>
        <w:rPr>
          <w:rFonts w:hint="eastAsia" w:ascii="仿宋" w:hAnsi="仿宋" w:eastAsia="仿宋" w:cs="仿宋"/>
          <w:sz w:val="32"/>
          <w:szCs w:val="32"/>
        </w:rPr>
        <w:t>万元，其中一般公共预算拨款支出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323.79</w:t>
      </w:r>
      <w:r>
        <w:rPr>
          <w:rFonts w:hint="eastAsia" w:ascii="仿宋" w:hAnsi="仿宋" w:eastAsia="仿宋" w:cs="仿宋"/>
          <w:sz w:val="32"/>
          <w:szCs w:val="32"/>
        </w:rPr>
        <w:t>万元、政府性基金拨款支出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0.00</w:t>
      </w:r>
      <w:r>
        <w:rPr>
          <w:rFonts w:hint="eastAsia" w:ascii="仿宋" w:hAnsi="仿宋" w:eastAsia="仿宋" w:cs="仿宋"/>
          <w:sz w:val="32"/>
          <w:szCs w:val="32"/>
        </w:rPr>
        <w:t>万元、上年结转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0.00</w:t>
      </w:r>
      <w:r>
        <w:rPr>
          <w:rFonts w:hint="eastAsia" w:ascii="仿宋" w:hAnsi="仿宋" w:eastAsia="仿宋" w:cs="仿宋"/>
          <w:sz w:val="32"/>
          <w:szCs w:val="32"/>
        </w:rPr>
        <w:t>万元，2021年本部门财政拨款支出较上年减少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41.26</w:t>
      </w:r>
      <w:r>
        <w:rPr>
          <w:rFonts w:hint="eastAsia" w:ascii="仿宋" w:hAnsi="仿宋" w:eastAsia="仿宋" w:cs="仿宋"/>
          <w:sz w:val="32"/>
          <w:szCs w:val="32"/>
        </w:rPr>
        <w:t>万元，主要原因是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受疫情影响，老干部外出和异地慰问没有进行。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360" w:lineRule="auto"/>
        <w:ind w:firstLine="643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（三）一般公共预算拨款支出明细情况。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1、一般公共预算当年拨款规模变化情况。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2021年本部门当年一般公共预算拨款支出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323.79</w:t>
      </w:r>
      <w:r>
        <w:rPr>
          <w:rFonts w:hint="eastAsia" w:ascii="仿宋" w:hAnsi="仿宋" w:eastAsia="仿宋" w:cs="仿宋"/>
          <w:sz w:val="32"/>
          <w:szCs w:val="32"/>
        </w:rPr>
        <w:t>万元，较上年减少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41.26</w:t>
      </w:r>
      <w:r>
        <w:rPr>
          <w:rFonts w:hint="eastAsia" w:ascii="仿宋" w:hAnsi="仿宋" w:eastAsia="仿宋" w:cs="仿宋"/>
          <w:sz w:val="32"/>
          <w:szCs w:val="32"/>
        </w:rPr>
        <w:t>万元，主要原因是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受疫情影响，老干部外出和异地慰问没有进行。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2、支出按功能科目分类的明细情况。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2021年本部门当年一般公共预算支出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323.79</w:t>
      </w:r>
      <w:r>
        <w:rPr>
          <w:rFonts w:hint="eastAsia" w:ascii="仿宋" w:hAnsi="仿宋" w:eastAsia="仿宋" w:cs="仿宋"/>
          <w:sz w:val="32"/>
          <w:szCs w:val="32"/>
        </w:rPr>
        <w:t>万元，其中：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(1)行政运行（2080201）66.5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万元，较上年减少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63.17</w:t>
      </w:r>
      <w:r>
        <w:rPr>
          <w:rFonts w:hint="eastAsia" w:ascii="仿宋" w:hAnsi="仿宋" w:eastAsia="仿宋" w:cs="仿宋"/>
          <w:sz w:val="32"/>
          <w:szCs w:val="32"/>
        </w:rPr>
        <w:t>万元，原因是机关单位本年基本养老保险、基本医疗保险、住房公积金缴费预算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本年</w:t>
      </w:r>
      <w:r>
        <w:rPr>
          <w:rFonts w:hint="eastAsia" w:ascii="仿宋" w:hAnsi="仿宋" w:eastAsia="仿宋" w:cs="仿宋"/>
          <w:sz w:val="32"/>
          <w:szCs w:val="32"/>
        </w:rPr>
        <w:t>单列功能科目预算。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(2)行政单位离退休（2080501）29.46万元，较上年增加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29.46</w:t>
      </w:r>
      <w:r>
        <w:rPr>
          <w:rFonts w:hint="eastAsia" w:ascii="仿宋" w:hAnsi="仿宋" w:eastAsia="仿宋" w:cs="仿宋"/>
          <w:sz w:val="32"/>
          <w:szCs w:val="32"/>
        </w:rPr>
        <w:t>万元，原因是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上年</w:t>
      </w:r>
      <w:r>
        <w:rPr>
          <w:rFonts w:hint="eastAsia" w:ascii="仿宋" w:hAnsi="仿宋" w:eastAsia="仿宋" w:cs="仿宋"/>
          <w:sz w:val="32"/>
          <w:szCs w:val="32"/>
        </w:rPr>
        <w:t>行政单位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离退休统一下达到</w:t>
      </w:r>
      <w:r>
        <w:rPr>
          <w:rFonts w:hint="eastAsia" w:ascii="仿宋" w:hAnsi="仿宋" w:eastAsia="仿宋" w:cs="仿宋"/>
          <w:sz w:val="32"/>
          <w:szCs w:val="32"/>
        </w:rPr>
        <w:t>离退休人员管理机构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科目，</w:t>
      </w:r>
      <w:r>
        <w:rPr>
          <w:rFonts w:hint="eastAsia" w:ascii="仿宋" w:hAnsi="仿宋" w:eastAsia="仿宋" w:cs="仿宋"/>
          <w:sz w:val="32"/>
          <w:szCs w:val="32"/>
        </w:rPr>
        <w:t>本年单列功能科目预算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(3)离退休人员管理机构（2080503）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160.90</w:t>
      </w:r>
      <w:r>
        <w:rPr>
          <w:rFonts w:hint="eastAsia" w:ascii="仿宋" w:hAnsi="仿宋" w:eastAsia="仿宋" w:cs="仿宋"/>
          <w:sz w:val="32"/>
          <w:szCs w:val="32"/>
        </w:rPr>
        <w:t>万元，较上年减少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46.53</w:t>
      </w:r>
      <w:r>
        <w:rPr>
          <w:rFonts w:hint="eastAsia" w:ascii="仿宋" w:hAnsi="仿宋" w:eastAsia="仿宋" w:cs="仿宋"/>
          <w:sz w:val="32"/>
          <w:szCs w:val="32"/>
        </w:rPr>
        <w:t>万元，原因是基本养老保险、基本医疗保险、住房公积金缴费预算单列功能科目预算。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(4)机关事业单位基本养老保险缴费支出（2080505）22.73万元，较上年增加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22.73</w:t>
      </w:r>
      <w:r>
        <w:rPr>
          <w:rFonts w:hint="eastAsia" w:ascii="仿宋" w:hAnsi="仿宋" w:eastAsia="仿宋" w:cs="仿宋"/>
          <w:sz w:val="32"/>
          <w:szCs w:val="32"/>
        </w:rPr>
        <w:t>万元，原因是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上年</w:t>
      </w:r>
      <w:r>
        <w:rPr>
          <w:rFonts w:hint="eastAsia" w:ascii="仿宋" w:hAnsi="仿宋" w:eastAsia="仿宋" w:cs="仿宋"/>
          <w:sz w:val="32"/>
          <w:szCs w:val="32"/>
        </w:rPr>
        <w:t>机关事业单位基本养老保险缴费支出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统一下达到行政运行科目，</w:t>
      </w:r>
      <w:r>
        <w:rPr>
          <w:rFonts w:hint="eastAsia" w:ascii="仿宋" w:hAnsi="仿宋" w:eastAsia="仿宋" w:cs="仿宋"/>
          <w:sz w:val="32"/>
          <w:szCs w:val="32"/>
        </w:rPr>
        <w:t>本年单列功能科目预算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(5)机关事业单位职业年金缴费支出（2080506）11.3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万元，较上年增加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11.37</w:t>
      </w:r>
      <w:r>
        <w:rPr>
          <w:rFonts w:hint="eastAsia" w:ascii="仿宋" w:hAnsi="仿宋" w:eastAsia="仿宋" w:cs="仿宋"/>
          <w:sz w:val="32"/>
          <w:szCs w:val="32"/>
        </w:rPr>
        <w:t>万元，原因是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上年未进行职业年金预算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(6)行政单位医疗（2101101）15.23万元，较上年增加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15.23</w:t>
      </w:r>
      <w:r>
        <w:rPr>
          <w:rFonts w:hint="eastAsia" w:ascii="仿宋" w:hAnsi="仿宋" w:eastAsia="仿宋" w:cs="仿宋"/>
          <w:sz w:val="32"/>
          <w:szCs w:val="32"/>
        </w:rPr>
        <w:t>万元，原因是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上年</w:t>
      </w:r>
      <w:r>
        <w:rPr>
          <w:rFonts w:hint="eastAsia" w:ascii="仿宋" w:hAnsi="仿宋" w:eastAsia="仿宋" w:cs="仿宋"/>
          <w:sz w:val="32"/>
          <w:szCs w:val="32"/>
        </w:rPr>
        <w:t>行政单位医疗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统一下达到行政运行科目，</w:t>
      </w:r>
      <w:r>
        <w:rPr>
          <w:rFonts w:hint="eastAsia" w:ascii="仿宋" w:hAnsi="仿宋" w:eastAsia="仿宋" w:cs="仿宋"/>
          <w:sz w:val="32"/>
          <w:szCs w:val="32"/>
        </w:rPr>
        <w:t>本年单列功能科目预算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(7)住房公积金（2210201）17.55万元，较上年增加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17.55</w:t>
      </w:r>
      <w:r>
        <w:rPr>
          <w:rFonts w:hint="eastAsia" w:ascii="仿宋" w:hAnsi="仿宋" w:eastAsia="仿宋" w:cs="仿宋"/>
          <w:sz w:val="32"/>
          <w:szCs w:val="32"/>
        </w:rPr>
        <w:t>万元，原因是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上年</w:t>
      </w:r>
      <w:r>
        <w:rPr>
          <w:rFonts w:hint="eastAsia" w:ascii="仿宋" w:hAnsi="仿宋" w:eastAsia="仿宋" w:cs="仿宋"/>
          <w:sz w:val="32"/>
          <w:szCs w:val="32"/>
        </w:rPr>
        <w:t>住房公积金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统一下达到行政运行科目，</w:t>
      </w:r>
      <w:r>
        <w:rPr>
          <w:rFonts w:hint="eastAsia" w:ascii="仿宋" w:hAnsi="仿宋" w:eastAsia="仿宋" w:cs="仿宋"/>
          <w:sz w:val="32"/>
          <w:szCs w:val="32"/>
        </w:rPr>
        <w:t>本年单列功能科目预算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drawing>
          <wp:inline distT="0" distB="0" distL="114300" distR="114300">
            <wp:extent cx="8628380" cy="3627755"/>
            <wp:effectExtent l="4445" t="4445" r="15875" b="6350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3、支出按经济科目分类的明细情况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（1）按照部门预算支出经济分类的类级科目说明。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2021年本部门当年一般公共预算支出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323.79</w:t>
      </w:r>
      <w:r>
        <w:rPr>
          <w:rFonts w:hint="eastAsia" w:ascii="仿宋" w:hAnsi="仿宋" w:eastAsia="仿宋" w:cs="仿宋"/>
          <w:sz w:val="32"/>
          <w:szCs w:val="32"/>
        </w:rPr>
        <w:t>万元，其中：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工资福利支出（301）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214.25</w:t>
      </w:r>
      <w:r>
        <w:rPr>
          <w:rFonts w:hint="eastAsia" w:ascii="仿宋" w:hAnsi="仿宋" w:eastAsia="仿宋" w:cs="仿宋"/>
          <w:sz w:val="32"/>
          <w:szCs w:val="32"/>
        </w:rPr>
        <w:t>万元，较上年减少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8.91</w:t>
      </w:r>
      <w:r>
        <w:rPr>
          <w:rFonts w:hint="eastAsia" w:ascii="仿宋" w:hAnsi="仿宋" w:eastAsia="仿宋" w:cs="仿宋"/>
          <w:sz w:val="32"/>
          <w:szCs w:val="32"/>
        </w:rPr>
        <w:t>万元，原因是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基本工资，津贴补贴及社保支出减少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商品和服务支出（302）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73.42</w:t>
      </w:r>
      <w:r>
        <w:rPr>
          <w:rFonts w:hint="eastAsia" w:ascii="仿宋" w:hAnsi="仿宋" w:eastAsia="仿宋" w:cs="仿宋"/>
          <w:sz w:val="32"/>
          <w:szCs w:val="32"/>
        </w:rPr>
        <w:t>万元，较上年减少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0.73</w:t>
      </w:r>
      <w:r>
        <w:rPr>
          <w:rFonts w:hint="eastAsia" w:ascii="仿宋" w:hAnsi="仿宋" w:eastAsia="仿宋" w:cs="仿宋"/>
          <w:sz w:val="32"/>
          <w:szCs w:val="32"/>
        </w:rPr>
        <w:t>万元，原因是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本年日常公用经费减少。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对个人和家庭的补助（303）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36.12</w:t>
      </w:r>
      <w:r>
        <w:rPr>
          <w:rFonts w:hint="eastAsia" w:ascii="仿宋" w:hAnsi="仿宋" w:eastAsia="仿宋" w:cs="仿宋"/>
          <w:sz w:val="32"/>
          <w:szCs w:val="32"/>
        </w:rPr>
        <w:t>万元，较上年减少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3.72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原因是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退休人员减少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drawing>
          <wp:inline distT="0" distB="0" distL="114300" distR="114300">
            <wp:extent cx="8862695" cy="3862070"/>
            <wp:effectExtent l="5080" t="4445" r="9525" b="19685"/>
            <wp:docPr id="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（2）按照政府预算支出经济分类的类级科目说明。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2021年本部门当年一般公共预算支出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323.79</w:t>
      </w:r>
      <w:r>
        <w:rPr>
          <w:rFonts w:hint="eastAsia" w:ascii="仿宋" w:hAnsi="仿宋" w:eastAsia="仿宋" w:cs="仿宋"/>
          <w:sz w:val="32"/>
          <w:szCs w:val="32"/>
        </w:rPr>
        <w:t>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其中：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机关工资福利支出（501）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214.25</w:t>
      </w:r>
      <w:r>
        <w:rPr>
          <w:rFonts w:hint="eastAsia" w:ascii="仿宋" w:hAnsi="仿宋" w:eastAsia="仿宋" w:cs="仿宋"/>
          <w:sz w:val="32"/>
          <w:szCs w:val="32"/>
        </w:rPr>
        <w:t>万元，较上年减少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8.91</w:t>
      </w:r>
      <w:r>
        <w:rPr>
          <w:rFonts w:hint="eastAsia" w:ascii="仿宋" w:hAnsi="仿宋" w:eastAsia="仿宋" w:cs="仿宋"/>
          <w:sz w:val="32"/>
          <w:szCs w:val="32"/>
        </w:rPr>
        <w:t>万元，原因是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基本工资，津贴补贴及社保支出减少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机关商品和服务支出（502）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73.42</w:t>
      </w:r>
      <w:r>
        <w:rPr>
          <w:rFonts w:hint="eastAsia" w:ascii="仿宋" w:hAnsi="仿宋" w:eastAsia="仿宋" w:cs="仿宋"/>
          <w:sz w:val="32"/>
          <w:szCs w:val="32"/>
        </w:rPr>
        <w:t>万元，较上年减少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0.73</w:t>
      </w:r>
      <w:r>
        <w:rPr>
          <w:rFonts w:hint="eastAsia" w:ascii="仿宋" w:hAnsi="仿宋" w:eastAsia="仿宋" w:cs="仿宋"/>
          <w:sz w:val="32"/>
          <w:szCs w:val="32"/>
        </w:rPr>
        <w:t>万元，原因是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本年商品和服务不包含专项经费的商品和服务支出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对个人和家庭的补助（509）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36.12</w:t>
      </w:r>
      <w:r>
        <w:rPr>
          <w:rFonts w:hint="eastAsia" w:ascii="仿宋" w:hAnsi="仿宋" w:eastAsia="仿宋" w:cs="仿宋"/>
          <w:sz w:val="32"/>
          <w:szCs w:val="32"/>
        </w:rPr>
        <w:t>万元，较上年减少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3.72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原因是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退休人员减少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drawing>
          <wp:inline distT="0" distB="0" distL="114300" distR="114300">
            <wp:extent cx="8862695" cy="3862070"/>
            <wp:effectExtent l="5080" t="4445" r="9525" b="1968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4、上年结转财政资金一般公共预算拨款支出情况。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（1）按功能支出分类。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本部门无2020年结转的一般公共预算拨款资金支出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（2）按部门预算支出经济分类。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本部门无2020年结转的一般公共预算拨款资金支出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（3）按政府预算支出经济分类。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本部门无2020年结转的一般公共预算拨款资金支出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jc w:val="lef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（四）政府性基金预算支出情况。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本部门无当年政府性基金预算收支，并已公开空表。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本部门无2020年结转的政府性基金预算拨款支出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jc w:val="lef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（五）国有资本经营预算拨款收支情况。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本部门无当年国有资本经营预算拨款收支，并在财政拨款收支总体情况表中列示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本部门无2020年结转的一般公共预算拨款资金支出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3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第三部分  其他说明情况</w:t>
      </w:r>
    </w:p>
    <w:p>
      <w:pPr>
        <w:spacing w:line="360" w:lineRule="auto"/>
        <w:ind w:firstLine="643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六、部门预算“三公”经费等预算情况说明</w:t>
      </w:r>
    </w:p>
    <w:p>
      <w:pPr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2021年本部门当年一般公共预算“三公”经费预算支出1.50万元，较上年减少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1.05</w:t>
      </w:r>
      <w:r>
        <w:rPr>
          <w:rFonts w:hint="eastAsia" w:ascii="仿宋" w:hAnsi="仿宋" w:eastAsia="仿宋" w:cs="仿宋"/>
          <w:sz w:val="32"/>
          <w:szCs w:val="32"/>
        </w:rPr>
        <w:t>万元，减少的主要原因是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本年无公务接待费预算支出</w:t>
      </w:r>
      <w:r>
        <w:rPr>
          <w:rFonts w:hint="eastAsia" w:ascii="仿宋" w:hAnsi="仿宋" w:eastAsia="仿宋" w:cs="仿宋"/>
          <w:sz w:val="32"/>
          <w:szCs w:val="32"/>
        </w:rPr>
        <w:t>。其中：因公出国（境）经费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预算支出0.00</w:t>
      </w:r>
      <w:r>
        <w:rPr>
          <w:rFonts w:hint="eastAsia" w:ascii="仿宋" w:hAnsi="仿宋" w:eastAsia="仿宋" w:cs="仿宋"/>
          <w:sz w:val="32"/>
          <w:szCs w:val="32"/>
        </w:rPr>
        <w:t>万元，较上年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无增减变化</w:t>
      </w:r>
      <w:r>
        <w:rPr>
          <w:rFonts w:hint="eastAsia" w:ascii="仿宋" w:hAnsi="仿宋" w:eastAsia="仿宋" w:cs="仿宋"/>
          <w:sz w:val="32"/>
          <w:szCs w:val="32"/>
        </w:rPr>
        <w:t>；公务接待费费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预算支出0.00</w:t>
      </w:r>
      <w:r>
        <w:rPr>
          <w:rFonts w:hint="eastAsia" w:ascii="仿宋" w:hAnsi="仿宋" w:eastAsia="仿宋" w:cs="仿宋"/>
          <w:sz w:val="32"/>
          <w:szCs w:val="32"/>
        </w:rPr>
        <w:t>万元，较上年减少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1.05</w:t>
      </w:r>
      <w:r>
        <w:rPr>
          <w:rFonts w:hint="eastAsia" w:ascii="仿宋" w:hAnsi="仿宋" w:eastAsia="仿宋" w:cs="仿宋"/>
          <w:sz w:val="32"/>
          <w:szCs w:val="32"/>
        </w:rPr>
        <w:t>万元，减少的主要原因是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本年无公务接待费预算支出</w:t>
      </w:r>
      <w:r>
        <w:rPr>
          <w:rFonts w:hint="eastAsia" w:ascii="仿宋" w:hAnsi="仿宋" w:eastAsia="仿宋" w:cs="仿宋"/>
          <w:sz w:val="32"/>
          <w:szCs w:val="32"/>
        </w:rPr>
        <w:t>；公务用车运行维护费1.50万元，较上年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无增减变化</w:t>
      </w:r>
      <w:r>
        <w:rPr>
          <w:rFonts w:hint="eastAsia" w:ascii="仿宋" w:hAnsi="仿宋" w:eastAsia="仿宋" w:cs="仿宋"/>
          <w:sz w:val="32"/>
          <w:szCs w:val="32"/>
        </w:rPr>
        <w:t>；公务用车购置费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0.00</w:t>
      </w:r>
      <w:r>
        <w:rPr>
          <w:rFonts w:hint="eastAsia" w:ascii="仿宋" w:hAnsi="仿宋" w:eastAsia="仿宋" w:cs="仿宋"/>
          <w:sz w:val="32"/>
          <w:szCs w:val="32"/>
        </w:rPr>
        <w:t>万元，较上年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无增减变化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会议费预算支出7.5万元，较上年无增减变化，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原因是每年常规性的培训一直都在。</w:t>
      </w:r>
    </w:p>
    <w:p>
      <w:pPr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培训费预算支出0元，较上年无增减变化。原因是受疫情影响，减少了线上培训次数。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本部门无2020年结转的‘三公’经费支出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ind w:firstLine="643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七、部门国有资产占有使用及资产购置情况说明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截止2020年底，本部门所属预算单位共有车辆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辆，单价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20万元以上的设备</w:t>
      </w:r>
      <w:r>
        <w:rPr>
          <w:rFonts w:hint="eastAsia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台（套）。2021年当年部门预算安排购置车辆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辆；安排购置单价20万元以上的设备</w:t>
      </w:r>
      <w:r>
        <w:rPr>
          <w:rFonts w:hint="eastAsia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台</w:t>
      </w:r>
      <w:r>
        <w:rPr>
          <w:rFonts w:hint="eastAsia" w:ascii="仿宋" w:hAnsi="仿宋" w:eastAsia="仿宋" w:cs="仿宋"/>
          <w:sz w:val="32"/>
          <w:szCs w:val="32"/>
        </w:rPr>
        <w:t>（套）。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本部门无2020年结转的财政拨款支出资产购置</w:t>
      </w:r>
    </w:p>
    <w:p>
      <w:pPr>
        <w:spacing w:line="360" w:lineRule="auto"/>
        <w:ind w:firstLine="643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八、部门政府采购情况说明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本部门无2020年结转的政府采购资金支出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本部门无2020年结转的政府采购资金支出。</w:t>
      </w:r>
    </w:p>
    <w:p>
      <w:pPr>
        <w:spacing w:line="360" w:lineRule="auto"/>
        <w:ind w:firstLine="643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九、部门预算绩效目标说明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2021年本部门绩效目标管理全覆盖，涉及当年一般公共预算拨款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 w:cs="仿宋"/>
          <w:sz w:val="32"/>
          <w:szCs w:val="32"/>
        </w:rPr>
        <w:t>万元,当年政府性基金预算拨款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万元，当年国有资本经营预算拨款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万元（详见公开报表中的绩效目标表）。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2021年，本部门2020年结转的财政拨款支出继续实施绩效目标管理。</w:t>
      </w:r>
    </w:p>
    <w:p>
      <w:pPr>
        <w:spacing w:line="360" w:lineRule="auto"/>
        <w:ind w:firstLine="643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十、机关运行经费安排说明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本部门当年机关运行经费预算安排24.0844万元，较上年增加0.97万元，主要原因是办公费减少。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本部门无2020年结转的财政拨款机关运行费支出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ind w:firstLine="643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十一、专业名词解释</w:t>
      </w:r>
    </w:p>
    <w:p>
      <w:pPr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机关运行经费:指各部门的公用经费，包括办公及印刷费、邮电费、差旅费、会议费、福利费、日常维修费、专用材料及一般设备购置费、办公用房水电费、办公用房取暖费、办公用房物业管理费、公务用车运行费以及其他费用。</w:t>
      </w:r>
    </w:p>
    <w:p>
      <w:pPr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“三公”经费：是指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、安全奖励费用等支出；公务接待费反映单位按规定开支的各类公务接待支出。</w:t>
      </w:r>
    </w:p>
    <w:p>
      <w:pPr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3、工资福利支出--反映单位开支的在职职工和编制外长期聘用人员的各类劳动报酬，以及为上述人员缴纳的各项社会保险费等。</w:t>
      </w:r>
    </w:p>
    <w:p>
      <w:pPr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4、商品和服务支出：反映单位购买商品和服务的支出（不包括固定资产的支出、战略性和应急储备支出）。主要有办公费会议费、培训费、印刷费、邮电费、维修费、公务用车运行维护费等。</w:t>
      </w:r>
    </w:p>
    <w:p>
      <w:pPr>
        <w:spacing w:line="360" w:lineRule="auto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3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第四部分  公开报表</w:t>
      </w:r>
    </w:p>
    <w:p>
      <w:pPr>
        <w:spacing w:line="360" w:lineRule="auto"/>
        <w:ind w:firstLine="562"/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  (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中共商洛市委老干部工作局</w:t>
      </w:r>
      <w:r>
        <w:rPr>
          <w:rFonts w:hint="eastAsia" w:ascii="宋体" w:hAnsi="宋体" w:cs="宋体"/>
          <w:b/>
          <w:bCs/>
          <w:sz w:val="28"/>
          <w:szCs w:val="28"/>
        </w:rPr>
        <w:t>预算公开报表)</w:t>
      </w:r>
    </w:p>
    <w:p>
      <w:pPr>
        <w:spacing w:line="360" w:lineRule="auto"/>
        <w:ind w:firstLine="562"/>
        <w:jc w:val="center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360" w:lineRule="auto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见附件2内容</w:t>
      </w:r>
    </w:p>
    <w:p>
      <w:pPr>
        <w:spacing w:line="360" w:lineRule="auto"/>
        <w:ind w:firstLine="562"/>
        <w:jc w:val="center"/>
        <w:rPr>
          <w:rFonts w:hint="eastAsia" w:ascii="宋体" w:hAnsi="宋体" w:cs="宋体"/>
          <w:b/>
          <w:bCs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00C"/>
    <w:rsid w:val="000F78CD"/>
    <w:rsid w:val="00172A27"/>
    <w:rsid w:val="006C06B7"/>
    <w:rsid w:val="00817C7C"/>
    <w:rsid w:val="00CE11C6"/>
    <w:rsid w:val="00E57791"/>
    <w:rsid w:val="00F13B71"/>
    <w:rsid w:val="00F86BD8"/>
    <w:rsid w:val="015358A1"/>
    <w:rsid w:val="0169037A"/>
    <w:rsid w:val="019A37DB"/>
    <w:rsid w:val="01DF2BB7"/>
    <w:rsid w:val="01ED29DF"/>
    <w:rsid w:val="0209026D"/>
    <w:rsid w:val="025830ED"/>
    <w:rsid w:val="02E940E4"/>
    <w:rsid w:val="03295794"/>
    <w:rsid w:val="03347010"/>
    <w:rsid w:val="037B747C"/>
    <w:rsid w:val="03AC5C73"/>
    <w:rsid w:val="03C51AA4"/>
    <w:rsid w:val="03F03CCE"/>
    <w:rsid w:val="042123E7"/>
    <w:rsid w:val="04671024"/>
    <w:rsid w:val="050C7A05"/>
    <w:rsid w:val="05A6512B"/>
    <w:rsid w:val="063A2179"/>
    <w:rsid w:val="06535650"/>
    <w:rsid w:val="06555A5A"/>
    <w:rsid w:val="0753082F"/>
    <w:rsid w:val="07600B39"/>
    <w:rsid w:val="07632917"/>
    <w:rsid w:val="07956EB7"/>
    <w:rsid w:val="0877497F"/>
    <w:rsid w:val="08AC10A9"/>
    <w:rsid w:val="08DA2EA3"/>
    <w:rsid w:val="092F4832"/>
    <w:rsid w:val="097F3883"/>
    <w:rsid w:val="09821A03"/>
    <w:rsid w:val="0A391333"/>
    <w:rsid w:val="0AA50E2F"/>
    <w:rsid w:val="0AA6727C"/>
    <w:rsid w:val="0AC05463"/>
    <w:rsid w:val="0AD97118"/>
    <w:rsid w:val="0AEE1997"/>
    <w:rsid w:val="0B0259FF"/>
    <w:rsid w:val="0B115838"/>
    <w:rsid w:val="0B420AEA"/>
    <w:rsid w:val="0BBF2E48"/>
    <w:rsid w:val="0BC70C0A"/>
    <w:rsid w:val="0BC817E1"/>
    <w:rsid w:val="0BCE6852"/>
    <w:rsid w:val="0BEA54A6"/>
    <w:rsid w:val="0C262CC2"/>
    <w:rsid w:val="0C284A48"/>
    <w:rsid w:val="0C3D305A"/>
    <w:rsid w:val="0CB963C1"/>
    <w:rsid w:val="0D247F78"/>
    <w:rsid w:val="0D2E4E0F"/>
    <w:rsid w:val="0D3C0CD1"/>
    <w:rsid w:val="0DEB13DD"/>
    <w:rsid w:val="0E017D89"/>
    <w:rsid w:val="0E0C1122"/>
    <w:rsid w:val="0E797AC2"/>
    <w:rsid w:val="0E7B41E7"/>
    <w:rsid w:val="0EA83E98"/>
    <w:rsid w:val="0F081333"/>
    <w:rsid w:val="0F1008A4"/>
    <w:rsid w:val="0F1B056F"/>
    <w:rsid w:val="0F566B52"/>
    <w:rsid w:val="0FEC0C91"/>
    <w:rsid w:val="0FF5179F"/>
    <w:rsid w:val="10883F67"/>
    <w:rsid w:val="10946959"/>
    <w:rsid w:val="11471180"/>
    <w:rsid w:val="118A09AF"/>
    <w:rsid w:val="11B3097A"/>
    <w:rsid w:val="11C346FF"/>
    <w:rsid w:val="11F0044E"/>
    <w:rsid w:val="12082FE5"/>
    <w:rsid w:val="129E1223"/>
    <w:rsid w:val="12B7265B"/>
    <w:rsid w:val="12F8536A"/>
    <w:rsid w:val="135107D4"/>
    <w:rsid w:val="13C723C5"/>
    <w:rsid w:val="13E75309"/>
    <w:rsid w:val="1416199A"/>
    <w:rsid w:val="14A35726"/>
    <w:rsid w:val="151F6E6D"/>
    <w:rsid w:val="153935D8"/>
    <w:rsid w:val="154F1B9F"/>
    <w:rsid w:val="15B95A59"/>
    <w:rsid w:val="15C8778C"/>
    <w:rsid w:val="16150B7E"/>
    <w:rsid w:val="16264D1F"/>
    <w:rsid w:val="16BB0A11"/>
    <w:rsid w:val="171667D3"/>
    <w:rsid w:val="17424B58"/>
    <w:rsid w:val="17910A90"/>
    <w:rsid w:val="17E34984"/>
    <w:rsid w:val="181F4C6E"/>
    <w:rsid w:val="18410DA8"/>
    <w:rsid w:val="186150F3"/>
    <w:rsid w:val="18680801"/>
    <w:rsid w:val="187C632C"/>
    <w:rsid w:val="18C97953"/>
    <w:rsid w:val="18D8782D"/>
    <w:rsid w:val="18EB2595"/>
    <w:rsid w:val="19055D69"/>
    <w:rsid w:val="19141913"/>
    <w:rsid w:val="191750EC"/>
    <w:rsid w:val="1960119B"/>
    <w:rsid w:val="19942E61"/>
    <w:rsid w:val="19B02787"/>
    <w:rsid w:val="1A2F0955"/>
    <w:rsid w:val="1AE02592"/>
    <w:rsid w:val="1B0165C9"/>
    <w:rsid w:val="1B092C9F"/>
    <w:rsid w:val="1B332B6A"/>
    <w:rsid w:val="1B5A5061"/>
    <w:rsid w:val="1B8E63BA"/>
    <w:rsid w:val="1BC933DC"/>
    <w:rsid w:val="1C097D46"/>
    <w:rsid w:val="1C320E66"/>
    <w:rsid w:val="1C5A1287"/>
    <w:rsid w:val="1CB164B9"/>
    <w:rsid w:val="1D02380A"/>
    <w:rsid w:val="1E48774E"/>
    <w:rsid w:val="1E6B3FC4"/>
    <w:rsid w:val="1E8C47B1"/>
    <w:rsid w:val="1EA123DE"/>
    <w:rsid w:val="1EA50D3B"/>
    <w:rsid w:val="1ED0381D"/>
    <w:rsid w:val="1EDE6EF7"/>
    <w:rsid w:val="1F474DE3"/>
    <w:rsid w:val="1F59183B"/>
    <w:rsid w:val="1F72323A"/>
    <w:rsid w:val="1F9E1EE8"/>
    <w:rsid w:val="1FCD5494"/>
    <w:rsid w:val="1FE77386"/>
    <w:rsid w:val="200710B0"/>
    <w:rsid w:val="201947E5"/>
    <w:rsid w:val="20455988"/>
    <w:rsid w:val="20B42D9D"/>
    <w:rsid w:val="213925E9"/>
    <w:rsid w:val="21482EC5"/>
    <w:rsid w:val="21621941"/>
    <w:rsid w:val="21732A0C"/>
    <w:rsid w:val="21B01310"/>
    <w:rsid w:val="221D3069"/>
    <w:rsid w:val="227F4EDE"/>
    <w:rsid w:val="22AC3736"/>
    <w:rsid w:val="231E0E86"/>
    <w:rsid w:val="23773224"/>
    <w:rsid w:val="237C370A"/>
    <w:rsid w:val="23B3277C"/>
    <w:rsid w:val="23B9674A"/>
    <w:rsid w:val="242B3817"/>
    <w:rsid w:val="246D21D5"/>
    <w:rsid w:val="24733F80"/>
    <w:rsid w:val="24BD2F2C"/>
    <w:rsid w:val="251C5F5A"/>
    <w:rsid w:val="25525D80"/>
    <w:rsid w:val="25993D1B"/>
    <w:rsid w:val="25994027"/>
    <w:rsid w:val="259B2951"/>
    <w:rsid w:val="25C13345"/>
    <w:rsid w:val="25C274AC"/>
    <w:rsid w:val="26193912"/>
    <w:rsid w:val="26977E3C"/>
    <w:rsid w:val="26A3260F"/>
    <w:rsid w:val="26B16FBE"/>
    <w:rsid w:val="26CA57C0"/>
    <w:rsid w:val="26E94B19"/>
    <w:rsid w:val="27192607"/>
    <w:rsid w:val="279F1274"/>
    <w:rsid w:val="28856A2D"/>
    <w:rsid w:val="2886733F"/>
    <w:rsid w:val="28B974D7"/>
    <w:rsid w:val="28CD2EC6"/>
    <w:rsid w:val="28CE1906"/>
    <w:rsid w:val="29276120"/>
    <w:rsid w:val="29832021"/>
    <w:rsid w:val="29995172"/>
    <w:rsid w:val="29AC1283"/>
    <w:rsid w:val="29D53111"/>
    <w:rsid w:val="2AA47CD5"/>
    <w:rsid w:val="2ADC1299"/>
    <w:rsid w:val="2AE757FB"/>
    <w:rsid w:val="2BD81239"/>
    <w:rsid w:val="2BE56461"/>
    <w:rsid w:val="2BE75DCA"/>
    <w:rsid w:val="2BF85692"/>
    <w:rsid w:val="2C0256C6"/>
    <w:rsid w:val="2C522B76"/>
    <w:rsid w:val="2CF3789E"/>
    <w:rsid w:val="2D0D3281"/>
    <w:rsid w:val="2D0D5C2B"/>
    <w:rsid w:val="2D9A478D"/>
    <w:rsid w:val="2DCD77AA"/>
    <w:rsid w:val="2E0B249C"/>
    <w:rsid w:val="2E193A2F"/>
    <w:rsid w:val="2E3738D4"/>
    <w:rsid w:val="2E803BB2"/>
    <w:rsid w:val="2EF23A77"/>
    <w:rsid w:val="2F560F80"/>
    <w:rsid w:val="2F98708D"/>
    <w:rsid w:val="301F5C98"/>
    <w:rsid w:val="30AF76EF"/>
    <w:rsid w:val="30DC78E7"/>
    <w:rsid w:val="31DB385B"/>
    <w:rsid w:val="31DD756F"/>
    <w:rsid w:val="32162B6A"/>
    <w:rsid w:val="322466F2"/>
    <w:rsid w:val="322B447F"/>
    <w:rsid w:val="32A72FCB"/>
    <w:rsid w:val="32A8762A"/>
    <w:rsid w:val="33011313"/>
    <w:rsid w:val="337E2856"/>
    <w:rsid w:val="33966C57"/>
    <w:rsid w:val="33D0750F"/>
    <w:rsid w:val="33EC2CEC"/>
    <w:rsid w:val="342F5C51"/>
    <w:rsid w:val="343F1D23"/>
    <w:rsid w:val="346F2A37"/>
    <w:rsid w:val="353360CA"/>
    <w:rsid w:val="35C423A1"/>
    <w:rsid w:val="35FC1049"/>
    <w:rsid w:val="36130651"/>
    <w:rsid w:val="36256A03"/>
    <w:rsid w:val="36384582"/>
    <w:rsid w:val="366D5ED8"/>
    <w:rsid w:val="37463827"/>
    <w:rsid w:val="37624231"/>
    <w:rsid w:val="37B3535F"/>
    <w:rsid w:val="37DD7F65"/>
    <w:rsid w:val="37E345F1"/>
    <w:rsid w:val="37E52450"/>
    <w:rsid w:val="3810606A"/>
    <w:rsid w:val="385B7F48"/>
    <w:rsid w:val="394360F5"/>
    <w:rsid w:val="39D36D72"/>
    <w:rsid w:val="39F23E7D"/>
    <w:rsid w:val="39F27F2D"/>
    <w:rsid w:val="3A296DB0"/>
    <w:rsid w:val="3A8C3EE7"/>
    <w:rsid w:val="3B230497"/>
    <w:rsid w:val="3B3B1B9E"/>
    <w:rsid w:val="3B3B3FFE"/>
    <w:rsid w:val="3BAB75F8"/>
    <w:rsid w:val="3C4D288E"/>
    <w:rsid w:val="3C9F3019"/>
    <w:rsid w:val="3CCF4230"/>
    <w:rsid w:val="3CD8486C"/>
    <w:rsid w:val="3D5247A3"/>
    <w:rsid w:val="3DC7716C"/>
    <w:rsid w:val="3E2D6F7B"/>
    <w:rsid w:val="3E8C59E9"/>
    <w:rsid w:val="3EA143D4"/>
    <w:rsid w:val="3EA47316"/>
    <w:rsid w:val="3EA97755"/>
    <w:rsid w:val="3F093323"/>
    <w:rsid w:val="3FAF3CF4"/>
    <w:rsid w:val="40302CD6"/>
    <w:rsid w:val="40453022"/>
    <w:rsid w:val="406D7247"/>
    <w:rsid w:val="415C72B5"/>
    <w:rsid w:val="41772DBC"/>
    <w:rsid w:val="419817D0"/>
    <w:rsid w:val="41A526D8"/>
    <w:rsid w:val="41E9687E"/>
    <w:rsid w:val="41EB27B6"/>
    <w:rsid w:val="424E670D"/>
    <w:rsid w:val="4275309D"/>
    <w:rsid w:val="42BD2DEB"/>
    <w:rsid w:val="431C5459"/>
    <w:rsid w:val="43FE04A3"/>
    <w:rsid w:val="44541F37"/>
    <w:rsid w:val="44FC03BC"/>
    <w:rsid w:val="45036889"/>
    <w:rsid w:val="45251B69"/>
    <w:rsid w:val="45332FC5"/>
    <w:rsid w:val="456152FB"/>
    <w:rsid w:val="464C4E80"/>
    <w:rsid w:val="466C4C60"/>
    <w:rsid w:val="467E4E58"/>
    <w:rsid w:val="46EF2A42"/>
    <w:rsid w:val="477A0D44"/>
    <w:rsid w:val="482439FF"/>
    <w:rsid w:val="484E10F7"/>
    <w:rsid w:val="485A4E13"/>
    <w:rsid w:val="48915554"/>
    <w:rsid w:val="490F3BE0"/>
    <w:rsid w:val="4928263A"/>
    <w:rsid w:val="49346E1F"/>
    <w:rsid w:val="494C5C3E"/>
    <w:rsid w:val="498507CF"/>
    <w:rsid w:val="49C71BF8"/>
    <w:rsid w:val="49DB1DA7"/>
    <w:rsid w:val="49EA7890"/>
    <w:rsid w:val="4A2E50B4"/>
    <w:rsid w:val="4A737AF5"/>
    <w:rsid w:val="4AFE0340"/>
    <w:rsid w:val="4B3F51E4"/>
    <w:rsid w:val="4B657062"/>
    <w:rsid w:val="4B850273"/>
    <w:rsid w:val="4C026A6E"/>
    <w:rsid w:val="4C283ECA"/>
    <w:rsid w:val="4C6858B3"/>
    <w:rsid w:val="4CA115D6"/>
    <w:rsid w:val="4D2B0CA3"/>
    <w:rsid w:val="4D6B28A0"/>
    <w:rsid w:val="4D9A1F51"/>
    <w:rsid w:val="4DD1134A"/>
    <w:rsid w:val="4DE84C9C"/>
    <w:rsid w:val="4DFE1F86"/>
    <w:rsid w:val="4E2504EC"/>
    <w:rsid w:val="4E840476"/>
    <w:rsid w:val="4F310148"/>
    <w:rsid w:val="4F3E246B"/>
    <w:rsid w:val="4F717496"/>
    <w:rsid w:val="4FC65972"/>
    <w:rsid w:val="502C52CD"/>
    <w:rsid w:val="50946C81"/>
    <w:rsid w:val="512131A2"/>
    <w:rsid w:val="51470A03"/>
    <w:rsid w:val="516A4FB3"/>
    <w:rsid w:val="51F65B1F"/>
    <w:rsid w:val="521A4417"/>
    <w:rsid w:val="52CC56D8"/>
    <w:rsid w:val="52EA27FA"/>
    <w:rsid w:val="5311421D"/>
    <w:rsid w:val="532E19FB"/>
    <w:rsid w:val="533327CB"/>
    <w:rsid w:val="534D15B8"/>
    <w:rsid w:val="537B4E7C"/>
    <w:rsid w:val="53952C3A"/>
    <w:rsid w:val="53BC61C6"/>
    <w:rsid w:val="53DD1C7A"/>
    <w:rsid w:val="541E70F0"/>
    <w:rsid w:val="54EB503E"/>
    <w:rsid w:val="553A06B6"/>
    <w:rsid w:val="55552624"/>
    <w:rsid w:val="556671D1"/>
    <w:rsid w:val="556F3516"/>
    <w:rsid w:val="55842728"/>
    <w:rsid w:val="55AE7511"/>
    <w:rsid w:val="55C92133"/>
    <w:rsid w:val="55EE6CB4"/>
    <w:rsid w:val="562E6199"/>
    <w:rsid w:val="56623216"/>
    <w:rsid w:val="57221542"/>
    <w:rsid w:val="57654D9E"/>
    <w:rsid w:val="579A73D0"/>
    <w:rsid w:val="57DE5F38"/>
    <w:rsid w:val="582A051D"/>
    <w:rsid w:val="58365A33"/>
    <w:rsid w:val="58474568"/>
    <w:rsid w:val="58782A3A"/>
    <w:rsid w:val="58D041BE"/>
    <w:rsid w:val="58D7523F"/>
    <w:rsid w:val="59403102"/>
    <w:rsid w:val="5A2E77B0"/>
    <w:rsid w:val="5A680DB8"/>
    <w:rsid w:val="5A8F6603"/>
    <w:rsid w:val="5B39037A"/>
    <w:rsid w:val="5BA5743E"/>
    <w:rsid w:val="5C144EDC"/>
    <w:rsid w:val="5C41710B"/>
    <w:rsid w:val="5CBB387E"/>
    <w:rsid w:val="5D3745FC"/>
    <w:rsid w:val="5D3A3A85"/>
    <w:rsid w:val="5DFF123C"/>
    <w:rsid w:val="5EC657DB"/>
    <w:rsid w:val="5EC76337"/>
    <w:rsid w:val="5F6647E2"/>
    <w:rsid w:val="5FA95A4A"/>
    <w:rsid w:val="60406BEA"/>
    <w:rsid w:val="60560AC7"/>
    <w:rsid w:val="60CA4AE0"/>
    <w:rsid w:val="61156B4C"/>
    <w:rsid w:val="61B34AA8"/>
    <w:rsid w:val="62086EF2"/>
    <w:rsid w:val="62115B05"/>
    <w:rsid w:val="6264243B"/>
    <w:rsid w:val="6290516E"/>
    <w:rsid w:val="62B820F9"/>
    <w:rsid w:val="631B3431"/>
    <w:rsid w:val="632E70DC"/>
    <w:rsid w:val="63A76F32"/>
    <w:rsid w:val="63BE25E3"/>
    <w:rsid w:val="640B356D"/>
    <w:rsid w:val="646F76DC"/>
    <w:rsid w:val="6471725A"/>
    <w:rsid w:val="64E14BAA"/>
    <w:rsid w:val="655B2797"/>
    <w:rsid w:val="656B7BD3"/>
    <w:rsid w:val="65715A32"/>
    <w:rsid w:val="65965E56"/>
    <w:rsid w:val="659F6980"/>
    <w:rsid w:val="663F4DEA"/>
    <w:rsid w:val="669C57AF"/>
    <w:rsid w:val="669D4B7B"/>
    <w:rsid w:val="66C72DC6"/>
    <w:rsid w:val="66C95950"/>
    <w:rsid w:val="66DE0E97"/>
    <w:rsid w:val="674212D6"/>
    <w:rsid w:val="67456CD8"/>
    <w:rsid w:val="676D34EB"/>
    <w:rsid w:val="678B29FA"/>
    <w:rsid w:val="678D6A6D"/>
    <w:rsid w:val="67BC5C1F"/>
    <w:rsid w:val="67F475F0"/>
    <w:rsid w:val="682C696E"/>
    <w:rsid w:val="683C4300"/>
    <w:rsid w:val="685E2B9F"/>
    <w:rsid w:val="69381D28"/>
    <w:rsid w:val="69404562"/>
    <w:rsid w:val="694A7017"/>
    <w:rsid w:val="6959071D"/>
    <w:rsid w:val="699B7E66"/>
    <w:rsid w:val="69E353EA"/>
    <w:rsid w:val="6A280AEF"/>
    <w:rsid w:val="6A5228EE"/>
    <w:rsid w:val="6A5D4D68"/>
    <w:rsid w:val="6B0E0D59"/>
    <w:rsid w:val="6B5C3B33"/>
    <w:rsid w:val="6BE5385D"/>
    <w:rsid w:val="6BF71691"/>
    <w:rsid w:val="6C0C625C"/>
    <w:rsid w:val="6C361FEA"/>
    <w:rsid w:val="6C6B29CE"/>
    <w:rsid w:val="6C944F20"/>
    <w:rsid w:val="6CC658B0"/>
    <w:rsid w:val="6D273C74"/>
    <w:rsid w:val="6D9C4121"/>
    <w:rsid w:val="6DCA4784"/>
    <w:rsid w:val="6DCB1BF8"/>
    <w:rsid w:val="6DCD1727"/>
    <w:rsid w:val="6DD71A20"/>
    <w:rsid w:val="6DFF6B64"/>
    <w:rsid w:val="6E536520"/>
    <w:rsid w:val="6E770F59"/>
    <w:rsid w:val="6F137CCD"/>
    <w:rsid w:val="6F2067D0"/>
    <w:rsid w:val="6F333079"/>
    <w:rsid w:val="6F5813C5"/>
    <w:rsid w:val="6F5D54F1"/>
    <w:rsid w:val="6F883E6F"/>
    <w:rsid w:val="6FAD4DC0"/>
    <w:rsid w:val="6FBF1A0F"/>
    <w:rsid w:val="6FDE0859"/>
    <w:rsid w:val="70717DA5"/>
    <w:rsid w:val="70E6284C"/>
    <w:rsid w:val="71381C3F"/>
    <w:rsid w:val="71501558"/>
    <w:rsid w:val="71A75E98"/>
    <w:rsid w:val="72043BFE"/>
    <w:rsid w:val="721826BF"/>
    <w:rsid w:val="729B1B20"/>
    <w:rsid w:val="72CF38C3"/>
    <w:rsid w:val="73A500E4"/>
    <w:rsid w:val="73E41056"/>
    <w:rsid w:val="742F7DF6"/>
    <w:rsid w:val="74512ED0"/>
    <w:rsid w:val="74A27CCB"/>
    <w:rsid w:val="74F00DA8"/>
    <w:rsid w:val="7511010D"/>
    <w:rsid w:val="754F73CA"/>
    <w:rsid w:val="7569055C"/>
    <w:rsid w:val="75AB0E66"/>
    <w:rsid w:val="76423651"/>
    <w:rsid w:val="765319EE"/>
    <w:rsid w:val="767D6E87"/>
    <w:rsid w:val="76CB2469"/>
    <w:rsid w:val="76E2611D"/>
    <w:rsid w:val="772B2E52"/>
    <w:rsid w:val="77D14F5D"/>
    <w:rsid w:val="77DB6EAD"/>
    <w:rsid w:val="781311E0"/>
    <w:rsid w:val="7823277B"/>
    <w:rsid w:val="786A2290"/>
    <w:rsid w:val="789720A1"/>
    <w:rsid w:val="78DF4171"/>
    <w:rsid w:val="793F1A7F"/>
    <w:rsid w:val="7A263AD8"/>
    <w:rsid w:val="7A3E4BD3"/>
    <w:rsid w:val="7A9B5F68"/>
    <w:rsid w:val="7B7E7CCE"/>
    <w:rsid w:val="7BA251B9"/>
    <w:rsid w:val="7BAC2077"/>
    <w:rsid w:val="7BC05A6B"/>
    <w:rsid w:val="7BF212CD"/>
    <w:rsid w:val="7C09730A"/>
    <w:rsid w:val="7C280D5C"/>
    <w:rsid w:val="7C2A2184"/>
    <w:rsid w:val="7C3677E7"/>
    <w:rsid w:val="7C4B10B5"/>
    <w:rsid w:val="7CD37616"/>
    <w:rsid w:val="7CDD0CEE"/>
    <w:rsid w:val="7D0D23CC"/>
    <w:rsid w:val="7D460C63"/>
    <w:rsid w:val="7D6804B0"/>
    <w:rsid w:val="7DB912A3"/>
    <w:rsid w:val="7E384BC5"/>
    <w:rsid w:val="7E3967A0"/>
    <w:rsid w:val="7E3D6351"/>
    <w:rsid w:val="7EAD188A"/>
    <w:rsid w:val="7F074E4B"/>
    <w:rsid w:val="7F1B6628"/>
    <w:rsid w:val="7F4F7C8B"/>
    <w:rsid w:val="7F6A4704"/>
    <w:rsid w:val="7F953772"/>
    <w:rsid w:val="7FAE56B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6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chart" Target="charts/chart4.xml"/><Relationship Id="rId12" Type="http://schemas.openxmlformats.org/officeDocument/2006/relationships/chart" Target="charts/chart3.xml"/><Relationship Id="rId11" Type="http://schemas.openxmlformats.org/officeDocument/2006/relationships/chart" Target="charts/chart2.xml"/><Relationship Id="rId10" Type="http://schemas.openxmlformats.org/officeDocument/2006/relationships/chart" Target="charts/chart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.USER-20160108HP\Desktop\&#36164;&#20135;&#24180;&#25253;&#20449;&#24687;\&#39292;&#29366;&#22270;(1)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\\192.168.32.199\&#21333;&#20301;&#22522;&#26412;&#20449;&#24687;\&#40060;&#32918;\&#25913;&#26609;&#24418;&#22270;%20&#27169;&#2649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\\192.168.32.199\&#21333;&#20301;&#22522;&#26412;&#20449;&#24687;\&#40060;&#32918;\&#25913;&#26609;&#24418;&#22270;%20&#27169;&#2649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\\192.168.32.199\&#21333;&#20301;&#22522;&#26412;&#20449;&#24687;\&#40060;&#32918;\&#25913;&#26609;&#24418;&#22270;%20&#27169;&#2649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人员构成</a:t>
            </a:r>
          </a:p>
          <a:p>
            <a:pPr defTabSz="914400">
              <a:defRPr lang="zh-CN"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单位：人</a:t>
            </a:r>
          </a:p>
        </c:rich>
      </c:tx>
      <c:layout>
        <c:manualLayout>
          <c:xMode val="edge"/>
          <c:yMode val="edge"/>
          <c:x val="0.419444444444444"/>
          <c:y val="0.0056338028169014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'[饼状图(1)(1).xlsx]Sheet3'!$D$7</c:f>
              <c:strCache>
                <c:ptCount val="1"/>
                <c:pt idx="0">
                  <c:v>人员构成单位：人</c:v>
                </c:pt>
              </c:strCache>
            </c:strRef>
          </c:tx>
          <c:spPr/>
          <c:explosion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'[饼状图(1)(1).xlsx]Sheet3'!$C$8:$C$10</c:f>
              <c:strCache>
                <c:ptCount val="3"/>
                <c:pt idx="0">
                  <c:v>在职行政人员</c:v>
                </c:pt>
                <c:pt idx="1">
                  <c:v>在职事业人员</c:v>
                </c:pt>
                <c:pt idx="2">
                  <c:v>离休退休人员</c:v>
                </c:pt>
              </c:strCache>
            </c:strRef>
          </c:cat>
          <c:val>
            <c:numRef>
              <c:f>'[饼状图(1)(1).xlsx]Sheet3'!$D$8:$D$10</c:f>
              <c:numCache>
                <c:formatCode>General</c:formatCode>
                <c:ptCount val="3"/>
                <c:pt idx="0" c:formatCode="General">
                  <c:v>9</c:v>
                </c:pt>
                <c:pt idx="1" c:formatCode="General">
                  <c:v>13</c:v>
                </c:pt>
                <c:pt idx="2" c:formatCode="General">
                  <c:v>16</c:v>
                </c:pt>
              </c:numCache>
            </c:numRef>
          </c:val>
        </c:ser>
        <c:ser>
          <c:idx val="1"/>
          <c:order val="1"/>
          <c:tx>
            <c:strRef>
              <c:f>'[饼状图(1)(1).xlsx]Sheet3'!$E$7</c:f>
              <c:strCache>
                <c:ptCount val="1"/>
                <c:pt idx="0">
                  <c:v/>
                </c:pt>
              </c:strCache>
            </c:strRef>
          </c:tx>
          <c:spPr/>
          <c:explosion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'[饼状图(1)(1).xlsx]Sheet3'!$C$8:$C$10</c:f>
              <c:strCache>
                <c:ptCount val="3"/>
                <c:pt idx="0">
                  <c:v>在职行政人员</c:v>
                </c:pt>
                <c:pt idx="1">
                  <c:v>在职事业人员</c:v>
                </c:pt>
                <c:pt idx="2">
                  <c:v>离休退休人员</c:v>
                </c:pt>
              </c:strCache>
            </c:strRef>
          </c:cat>
          <c:val>
            <c:numRef>
              <c:f>'[饼状图(1)(1).xlsx]Sheet3'!$E$8:$E$10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437620531078475"/>
          <c:y val="0.0958449720670391"/>
          <c:w val="0.678682688028482"/>
          <c:h val="0.8088337988826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'[改柱形图 模板.xlsx]Sheet1'!$H$6</c:f>
              <c:strCache>
                <c:ptCount val="1"/>
                <c:pt idx="0">
                  <c:v>行政运行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'[改柱形图 模板.xlsx]Sheet1'!$G$7:$G$8</c:f>
              <c:strCache>
                <c:ptCount val="2"/>
                <c:pt idx="0">
                  <c:v>2020年</c:v>
                </c:pt>
                <c:pt idx="1">
                  <c:v>2021年</c:v>
                </c:pt>
              </c:strCache>
            </c:strRef>
          </c:cat>
          <c:val>
            <c:numRef>
              <c:f>'[改柱形图 模板.xlsx]Sheet1'!$H$7:$H$8</c:f>
              <c:numCache>
                <c:formatCode>General</c:formatCode>
                <c:ptCount val="2"/>
                <c:pt idx="0" c:formatCode="General">
                  <c:v>129.72</c:v>
                </c:pt>
                <c:pt idx="1" c:formatCode="General">
                  <c:v>66.55</c:v>
                </c:pt>
              </c:numCache>
            </c:numRef>
          </c:val>
        </c:ser>
        <c:ser>
          <c:idx val="1"/>
          <c:order val="1"/>
          <c:tx>
            <c:strRef>
              <c:f>'[改柱形图 模板.xlsx]Sheet1'!$I$6</c:f>
              <c:strCache>
                <c:ptCount val="1"/>
                <c:pt idx="0">
                  <c:v>行政单位离退休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'[改柱形图 模板.xlsx]Sheet1'!$G$7:$G$8</c:f>
              <c:strCache>
                <c:ptCount val="2"/>
                <c:pt idx="0">
                  <c:v>2020年</c:v>
                </c:pt>
                <c:pt idx="1">
                  <c:v>2021年</c:v>
                </c:pt>
              </c:strCache>
            </c:strRef>
          </c:cat>
          <c:val>
            <c:numRef>
              <c:f>'[改柱形图 模板.xlsx]Sheet1'!$I$7:$I$8</c:f>
              <c:numCache>
                <c:formatCode>General</c:formatCode>
                <c:ptCount val="2"/>
                <c:pt idx="1" c:formatCode="General">
                  <c:v>29.46</c:v>
                </c:pt>
              </c:numCache>
            </c:numRef>
          </c:val>
        </c:ser>
        <c:ser>
          <c:idx val="2"/>
          <c:order val="2"/>
          <c:tx>
            <c:strRef>
              <c:f>'[改柱形图 模板.xlsx]Sheet1'!$J$6</c:f>
              <c:strCache>
                <c:ptCount val="1"/>
                <c:pt idx="0">
                  <c:v>离退休人员管理机构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'[改柱形图 模板.xlsx]Sheet1'!$G$7:$G$8</c:f>
              <c:strCache>
                <c:ptCount val="2"/>
                <c:pt idx="0">
                  <c:v>2020年</c:v>
                </c:pt>
                <c:pt idx="1">
                  <c:v>2021年</c:v>
                </c:pt>
              </c:strCache>
            </c:strRef>
          </c:cat>
          <c:val>
            <c:numRef>
              <c:f>'[改柱形图 模板.xlsx]Sheet1'!$J$7:$J$8</c:f>
              <c:numCache>
                <c:formatCode>General</c:formatCode>
                <c:ptCount val="2"/>
                <c:pt idx="0" c:formatCode="General">
                  <c:v>207.43</c:v>
                </c:pt>
                <c:pt idx="1" c:formatCode="General">
                  <c:v>160.9</c:v>
                </c:pt>
              </c:numCache>
            </c:numRef>
          </c:val>
        </c:ser>
        <c:ser>
          <c:idx val="3"/>
          <c:order val="3"/>
          <c:tx>
            <c:strRef>
              <c:f>'[改柱形图 模板.xlsx]Sheet1'!$K$6</c:f>
              <c:strCache>
                <c:ptCount val="1"/>
                <c:pt idx="0">
                  <c:v>机关事业单位基本养老保险缴费支出</c:v>
                </c:pt>
              </c:strCache>
            </c:strRef>
          </c:tx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'[改柱形图 模板.xlsx]Sheet1'!$G$7:$G$8</c:f>
              <c:strCache>
                <c:ptCount val="2"/>
                <c:pt idx="0">
                  <c:v>2020年</c:v>
                </c:pt>
                <c:pt idx="1">
                  <c:v>2021年</c:v>
                </c:pt>
              </c:strCache>
            </c:strRef>
          </c:cat>
          <c:val>
            <c:numRef>
              <c:f>'[改柱形图 模板.xlsx]Sheet1'!$K$7:$K$8</c:f>
              <c:numCache>
                <c:formatCode>General</c:formatCode>
                <c:ptCount val="2"/>
                <c:pt idx="1" c:formatCode="General">
                  <c:v>22.73</c:v>
                </c:pt>
              </c:numCache>
            </c:numRef>
          </c:val>
        </c:ser>
        <c:ser>
          <c:idx val="4"/>
          <c:order val="4"/>
          <c:tx>
            <c:strRef>
              <c:f>'[改柱形图 模板.xlsx]Sheet1'!$L$6</c:f>
              <c:strCache>
                <c:ptCount val="1"/>
                <c:pt idx="0">
                  <c:v>机关事业单位职业年金缴费支出</c:v>
                </c:pt>
              </c:strCache>
            </c:strRef>
          </c:tx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'[改柱形图 模板.xlsx]Sheet1'!$G$7:$G$8</c:f>
              <c:strCache>
                <c:ptCount val="2"/>
                <c:pt idx="0">
                  <c:v>2020年</c:v>
                </c:pt>
                <c:pt idx="1">
                  <c:v>2021年</c:v>
                </c:pt>
              </c:strCache>
            </c:strRef>
          </c:cat>
          <c:val>
            <c:numRef>
              <c:f>'[改柱形图 模板.xlsx]Sheet1'!$L$7:$L$8</c:f>
              <c:numCache>
                <c:formatCode>General</c:formatCode>
                <c:ptCount val="2"/>
                <c:pt idx="1" c:formatCode="General">
                  <c:v>11.37</c:v>
                </c:pt>
              </c:numCache>
            </c:numRef>
          </c:val>
        </c:ser>
        <c:ser>
          <c:idx val="5"/>
          <c:order val="5"/>
          <c:tx>
            <c:strRef>
              <c:f>'[改柱形图 模板.xlsx]Sheet1'!$M$6</c:f>
              <c:strCache>
                <c:ptCount val="1"/>
                <c:pt idx="0">
                  <c:v>行政单位医疗</c:v>
                </c:pt>
              </c:strCache>
            </c:strRef>
          </c:tx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'[改柱形图 模板.xlsx]Sheet1'!$G$7:$G$8</c:f>
              <c:strCache>
                <c:ptCount val="2"/>
                <c:pt idx="0">
                  <c:v>2020年</c:v>
                </c:pt>
                <c:pt idx="1">
                  <c:v>2021年</c:v>
                </c:pt>
              </c:strCache>
            </c:strRef>
          </c:cat>
          <c:val>
            <c:numRef>
              <c:f>'[改柱形图 模板.xlsx]Sheet1'!$M$7:$M$8</c:f>
              <c:numCache>
                <c:formatCode>General</c:formatCode>
                <c:ptCount val="2"/>
                <c:pt idx="1" c:formatCode="General">
                  <c:v>15.23</c:v>
                </c:pt>
              </c:numCache>
            </c:numRef>
          </c:val>
        </c:ser>
        <c:ser>
          <c:idx val="6"/>
          <c:order val="6"/>
          <c:tx>
            <c:strRef>
              <c:f>'[改柱形图 模板.xlsx]Sheet1'!$N$6</c:f>
              <c:strCache>
                <c:ptCount val="1"/>
                <c:pt idx="0">
                  <c:v>住房公积金</c:v>
                </c:pt>
              </c:strCache>
            </c:strRef>
          </c:tx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'[改柱形图 模板.xlsx]Sheet1'!$G$7:$G$8</c:f>
              <c:strCache>
                <c:ptCount val="2"/>
                <c:pt idx="0">
                  <c:v>2020年</c:v>
                </c:pt>
                <c:pt idx="1">
                  <c:v>2021年</c:v>
                </c:pt>
              </c:strCache>
            </c:strRef>
          </c:cat>
          <c:val>
            <c:numRef>
              <c:f>'[改柱形图 模板.xlsx]Sheet1'!$N$7:$N$8</c:f>
              <c:numCache>
                <c:formatCode>General</c:formatCode>
                <c:ptCount val="2"/>
                <c:pt idx="1" c:formatCode="General">
                  <c:v>17.55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324864"/>
        <c:axId val="122326400"/>
      </c:barChart>
      <c:catAx>
        <c:axId val="1223248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22326400"/>
        <c:crosses val="autoZero"/>
        <c:auto val="1"/>
        <c:lblAlgn val="ctr"/>
        <c:lblOffset val="100"/>
        <c:noMultiLvlLbl val="0"/>
      </c:catAx>
      <c:valAx>
        <c:axId val="122326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22324864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955856302699639"/>
          <c:y val="0.0699097445311305"/>
          <c:w val="0.782328349748459"/>
          <c:h val="0.8109224414869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'[改柱形图 模板.xlsx]Sheet1'!$G$7</c:f>
              <c:strCache>
                <c:ptCount val="1"/>
                <c:pt idx="0">
                  <c:v>2020年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0030309153364316"/>
                  <c:y val="0.019449647024924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0107472952640252"/>
                  <c:y val="0.019730351857941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'[改柱形图 模板.xlsx]Sheet1'!$H$6:$J$6</c:f>
              <c:strCache>
                <c:ptCount val="3"/>
                <c:pt idx="0">
                  <c:v>301工资福利支出</c:v>
                </c:pt>
                <c:pt idx="1">
                  <c:v>302商品和服务支出</c:v>
                </c:pt>
                <c:pt idx="2">
                  <c:v>303对个人和家庭的补助支出</c:v>
                </c:pt>
              </c:strCache>
            </c:strRef>
          </c:cat>
          <c:val>
            <c:numRef>
              <c:f>'[改柱形图 模板.xlsx]Sheet1'!$H$7:$J$7</c:f>
              <c:numCache>
                <c:formatCode>General</c:formatCode>
                <c:ptCount val="3"/>
                <c:pt idx="0" c:formatCode="General">
                  <c:v>223.16</c:v>
                </c:pt>
                <c:pt idx="1" c:formatCode="General">
                  <c:v>74.15</c:v>
                </c:pt>
                <c:pt idx="2" c:formatCode="General">
                  <c:v>39.84</c:v>
                </c:pt>
              </c:numCache>
            </c:numRef>
          </c:val>
        </c:ser>
        <c:ser>
          <c:idx val="1"/>
          <c:order val="1"/>
          <c:tx>
            <c:strRef>
              <c:f>'[改柱形图 模板.xlsx]Sheet1'!$G$8</c:f>
              <c:strCache>
                <c:ptCount val="1"/>
                <c:pt idx="0">
                  <c:v>2021年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.00107472952640252"/>
                  <c:y val="0.024662939822426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'[改柱形图 模板.xlsx]Sheet1'!$H$6:$J$6</c:f>
              <c:strCache>
                <c:ptCount val="3"/>
                <c:pt idx="0">
                  <c:v>301工资福利支出</c:v>
                </c:pt>
                <c:pt idx="1">
                  <c:v>302商品和服务支出</c:v>
                </c:pt>
                <c:pt idx="2">
                  <c:v>303对个人和家庭的补助支出</c:v>
                </c:pt>
              </c:strCache>
            </c:strRef>
          </c:cat>
          <c:val>
            <c:numRef>
              <c:f>'[改柱形图 模板.xlsx]Sheet1'!$H$8:$J$8</c:f>
              <c:numCache>
                <c:formatCode>General</c:formatCode>
                <c:ptCount val="3"/>
                <c:pt idx="0" c:formatCode="General">
                  <c:v>214.25</c:v>
                </c:pt>
                <c:pt idx="1" c:formatCode="General">
                  <c:v>73.42</c:v>
                </c:pt>
                <c:pt idx="2" c:formatCode="General">
                  <c:v>36.12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247808"/>
        <c:axId val="122274176"/>
      </c:barChart>
      <c:catAx>
        <c:axId val="1222478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22274176"/>
        <c:crosses val="autoZero"/>
        <c:auto val="1"/>
        <c:lblAlgn val="ctr"/>
        <c:lblOffset val="100"/>
        <c:noMultiLvlLbl val="0"/>
      </c:catAx>
      <c:valAx>
        <c:axId val="122274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22247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0783368822145"/>
          <c:y val="0.398687165313526"/>
          <c:w val="0.125854533228735"/>
          <c:h val="0.191742960787701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955856302699639"/>
          <c:y val="0.0699097445311305"/>
          <c:w val="0.782328349748459"/>
          <c:h val="0.8109224414869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'[改柱形图 模板.xlsx]Sheet1'!$G$7</c:f>
              <c:strCache>
                <c:ptCount val="1"/>
                <c:pt idx="0">
                  <c:v>2020年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0030309153364316"/>
                  <c:y val="0.019449647024924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0322418857920757"/>
                  <c:y val="0.017264057875698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'[改柱形图 模板.xlsx]Sheet1'!$H$6:$J$6</c:f>
              <c:strCache>
                <c:ptCount val="3"/>
                <c:pt idx="0">
                  <c:v>501机关工资福利支出</c:v>
                </c:pt>
                <c:pt idx="1">
                  <c:v>502机关商品和服务支出</c:v>
                </c:pt>
                <c:pt idx="2">
                  <c:v>509对个人和家庭的补助支出</c:v>
                </c:pt>
              </c:strCache>
            </c:strRef>
          </c:cat>
          <c:val>
            <c:numRef>
              <c:f>'[改柱形图 模板.xlsx]Sheet1'!$H$7:$J$7</c:f>
              <c:numCache>
                <c:formatCode>General</c:formatCode>
                <c:ptCount val="3"/>
                <c:pt idx="0" c:formatCode="General">
                  <c:v>223.16</c:v>
                </c:pt>
                <c:pt idx="1" c:formatCode="General">
                  <c:v>74.15</c:v>
                </c:pt>
                <c:pt idx="2" c:formatCode="General">
                  <c:v>39.84</c:v>
                </c:pt>
              </c:numCache>
            </c:numRef>
          </c:val>
        </c:ser>
        <c:ser>
          <c:idx val="1"/>
          <c:order val="1"/>
          <c:tx>
            <c:strRef>
              <c:f>'[改柱形图 模板.xlsx]Sheet1'!$G$8</c:f>
              <c:strCache>
                <c:ptCount val="1"/>
                <c:pt idx="0">
                  <c:v>2021年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0.027129233804669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'[改柱形图 模板.xlsx]Sheet1'!$H$6:$J$6</c:f>
              <c:strCache>
                <c:ptCount val="3"/>
                <c:pt idx="0">
                  <c:v>501机关工资福利支出</c:v>
                </c:pt>
                <c:pt idx="1">
                  <c:v>502机关商品和服务支出</c:v>
                </c:pt>
                <c:pt idx="2">
                  <c:v>509对个人和家庭的补助支出</c:v>
                </c:pt>
              </c:strCache>
            </c:strRef>
          </c:cat>
          <c:val>
            <c:numRef>
              <c:f>'[改柱形图 模板.xlsx]Sheet1'!$H$8:$J$8</c:f>
              <c:numCache>
                <c:formatCode>General</c:formatCode>
                <c:ptCount val="3"/>
                <c:pt idx="0" c:formatCode="General">
                  <c:v>214.25</c:v>
                </c:pt>
                <c:pt idx="1" c:formatCode="General">
                  <c:v>73.42</c:v>
                </c:pt>
                <c:pt idx="2" c:formatCode="General">
                  <c:v>36.12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247808"/>
        <c:axId val="122274176"/>
      </c:barChart>
      <c:catAx>
        <c:axId val="1222478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22274176"/>
        <c:crosses val="autoZero"/>
        <c:auto val="1"/>
        <c:lblAlgn val="ctr"/>
        <c:lblOffset val="100"/>
        <c:noMultiLvlLbl val="0"/>
      </c:catAx>
      <c:valAx>
        <c:axId val="122274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22247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0783368822145"/>
          <c:y val="0.398687165313526"/>
          <c:w val="0.125854533228735"/>
          <c:h val="0.191742960787701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2879</Words>
  <Characters>709</Characters>
  <Lines>5</Lines>
  <Paragraphs>7</Paragraphs>
  <ScaleCrop>false</ScaleCrop>
  <LinksUpToDate>false</LinksUpToDate>
  <CharactersWithSpaces>3581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2021-03-12T01:34:00Z</dcterms:created>
  <dc:creator>郭超(拟稿)</dc:creator>
  <cp:lastModifiedBy>Administrator</cp:lastModifiedBy>
  <dcterms:modified xsi:type="dcterms:W3CDTF">2021-12-22T07:55:00Z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