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第二轮中央生态环境督察期间交办信访件整改明细表</w:t>
      </w:r>
    </w:p>
    <w:p>
      <w:pPr>
        <w:pStyle w:val="2"/>
        <w:jc w:val="center"/>
      </w:pPr>
    </w:p>
    <w:tbl>
      <w:tblPr>
        <w:tblStyle w:val="7"/>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10"/>
        <w:gridCol w:w="3210"/>
        <w:gridCol w:w="615"/>
        <w:gridCol w:w="3285"/>
        <w:gridCol w:w="630"/>
        <w:gridCol w:w="2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dxa"/>
            <w:noWrap/>
            <w:vAlign w:val="center"/>
          </w:tcPr>
          <w:p>
            <w:pPr>
              <w:adjustRightInd w:val="0"/>
              <w:snapToGrid w:val="0"/>
              <w:spacing w:line="220" w:lineRule="exact"/>
              <w:jc w:val="center"/>
              <w:rPr>
                <w:rFonts w:ascii="仿宋_GB2312" w:hAnsi="仿宋_GB2312" w:cs="仿宋_GB2312"/>
                <w:bCs/>
                <w:color w:val="000000"/>
                <w:sz w:val="20"/>
                <w:szCs w:val="20"/>
              </w:rPr>
            </w:pPr>
            <w:r>
              <w:rPr>
                <w:rFonts w:hint="eastAsia" w:ascii="仿宋_GB2312" w:hAnsi="仿宋_GB2312" w:cs="仿宋_GB2312"/>
                <w:bCs/>
                <w:color w:val="000000"/>
                <w:sz w:val="20"/>
                <w:szCs w:val="20"/>
              </w:rPr>
              <w:t>序号</w:t>
            </w:r>
          </w:p>
        </w:tc>
        <w:tc>
          <w:tcPr>
            <w:tcW w:w="810" w:type="dxa"/>
            <w:noWrap/>
            <w:vAlign w:val="center"/>
          </w:tcPr>
          <w:p>
            <w:pPr>
              <w:adjustRightInd w:val="0"/>
              <w:snapToGrid w:val="0"/>
              <w:spacing w:line="220" w:lineRule="exact"/>
              <w:jc w:val="center"/>
              <w:rPr>
                <w:rFonts w:ascii="仿宋_GB2312" w:hAnsi="仿宋_GB2312" w:cs="仿宋_GB2312"/>
                <w:bCs/>
                <w:color w:val="000000"/>
                <w:sz w:val="20"/>
                <w:szCs w:val="20"/>
              </w:rPr>
            </w:pPr>
            <w:r>
              <w:rPr>
                <w:rFonts w:hint="eastAsia" w:ascii="仿宋_GB2312" w:hAnsi="仿宋_GB2312" w:cs="仿宋_GB2312"/>
                <w:bCs/>
                <w:color w:val="000000"/>
                <w:sz w:val="20"/>
                <w:szCs w:val="20"/>
              </w:rPr>
              <w:t>受理编号</w:t>
            </w:r>
          </w:p>
        </w:tc>
        <w:tc>
          <w:tcPr>
            <w:tcW w:w="3210" w:type="dxa"/>
            <w:noWrap/>
            <w:vAlign w:val="center"/>
          </w:tcPr>
          <w:p>
            <w:pPr>
              <w:adjustRightInd w:val="0"/>
              <w:snapToGrid w:val="0"/>
              <w:spacing w:line="220" w:lineRule="exact"/>
              <w:jc w:val="center"/>
              <w:rPr>
                <w:rFonts w:ascii="仿宋_GB2312" w:hAnsi="仿宋_GB2312" w:cs="仿宋_GB2312"/>
                <w:bCs/>
                <w:color w:val="000000"/>
                <w:sz w:val="20"/>
                <w:szCs w:val="20"/>
              </w:rPr>
            </w:pPr>
            <w:r>
              <w:rPr>
                <w:rFonts w:hint="eastAsia" w:ascii="仿宋_GB2312" w:hAnsi="仿宋_GB2312" w:cs="仿宋_GB2312"/>
                <w:bCs/>
                <w:color w:val="000000"/>
                <w:sz w:val="20"/>
                <w:szCs w:val="20"/>
              </w:rPr>
              <w:t>交办问题基本情况</w:t>
            </w:r>
          </w:p>
        </w:tc>
        <w:tc>
          <w:tcPr>
            <w:tcW w:w="615" w:type="dxa"/>
            <w:noWrap/>
            <w:vAlign w:val="center"/>
          </w:tcPr>
          <w:p>
            <w:pPr>
              <w:adjustRightInd w:val="0"/>
              <w:snapToGrid w:val="0"/>
              <w:spacing w:line="220" w:lineRule="exact"/>
              <w:jc w:val="center"/>
              <w:rPr>
                <w:rFonts w:ascii="仿宋_GB2312" w:hAnsi="仿宋_GB2312" w:cs="仿宋_GB2312"/>
                <w:bCs/>
                <w:color w:val="000000"/>
                <w:sz w:val="20"/>
                <w:szCs w:val="20"/>
              </w:rPr>
            </w:pPr>
            <w:r>
              <w:rPr>
                <w:rFonts w:hint="eastAsia" w:ascii="仿宋_GB2312" w:hAnsi="仿宋_GB2312" w:cs="仿宋_GB2312"/>
                <w:bCs/>
                <w:color w:val="000000"/>
                <w:sz w:val="20"/>
                <w:szCs w:val="20"/>
              </w:rPr>
              <w:t>县区</w:t>
            </w:r>
          </w:p>
        </w:tc>
        <w:tc>
          <w:tcPr>
            <w:tcW w:w="3285" w:type="dxa"/>
            <w:noWrap/>
            <w:vAlign w:val="center"/>
          </w:tcPr>
          <w:p>
            <w:pPr>
              <w:adjustRightInd w:val="0"/>
              <w:snapToGrid w:val="0"/>
              <w:spacing w:line="220" w:lineRule="exact"/>
              <w:jc w:val="center"/>
              <w:rPr>
                <w:rFonts w:ascii="仿宋_GB2312" w:hAnsi="仿宋_GB2312" w:cs="仿宋_GB2312"/>
                <w:bCs/>
                <w:color w:val="000000"/>
                <w:sz w:val="20"/>
                <w:szCs w:val="20"/>
              </w:rPr>
            </w:pPr>
            <w:r>
              <w:rPr>
                <w:rFonts w:hint="eastAsia" w:ascii="仿宋_GB2312" w:hAnsi="仿宋_GB2312" w:cs="仿宋_GB2312"/>
                <w:bCs/>
                <w:color w:val="000000"/>
                <w:sz w:val="20"/>
                <w:szCs w:val="20"/>
              </w:rPr>
              <w:t>调查核实情况</w:t>
            </w:r>
          </w:p>
        </w:tc>
        <w:tc>
          <w:tcPr>
            <w:tcW w:w="630" w:type="dxa"/>
            <w:noWrap/>
            <w:vAlign w:val="center"/>
          </w:tcPr>
          <w:p>
            <w:pPr>
              <w:adjustRightInd w:val="0"/>
              <w:snapToGrid w:val="0"/>
              <w:spacing w:line="220" w:lineRule="exact"/>
              <w:jc w:val="center"/>
              <w:rPr>
                <w:rFonts w:ascii="仿宋_GB2312" w:hAnsi="仿宋_GB2312" w:cs="仿宋_GB2312"/>
                <w:bCs/>
                <w:color w:val="000000"/>
                <w:sz w:val="20"/>
                <w:szCs w:val="20"/>
              </w:rPr>
            </w:pPr>
            <w:r>
              <w:rPr>
                <w:rFonts w:hint="eastAsia" w:ascii="仿宋_GB2312" w:hAnsi="仿宋_GB2312" w:cs="仿宋_GB2312"/>
                <w:bCs/>
                <w:color w:val="000000"/>
                <w:sz w:val="20"/>
                <w:szCs w:val="20"/>
              </w:rPr>
              <w:t>是否属实</w:t>
            </w:r>
          </w:p>
        </w:tc>
        <w:tc>
          <w:tcPr>
            <w:tcW w:w="2889" w:type="dxa"/>
            <w:noWrap/>
            <w:vAlign w:val="center"/>
          </w:tcPr>
          <w:p>
            <w:pPr>
              <w:adjustRightInd w:val="0"/>
              <w:snapToGrid w:val="0"/>
              <w:spacing w:line="220" w:lineRule="exact"/>
              <w:jc w:val="center"/>
              <w:rPr>
                <w:rFonts w:ascii="仿宋_GB2312" w:hAnsi="仿宋_GB2312" w:cs="仿宋_GB2312"/>
                <w:bCs/>
                <w:color w:val="000000"/>
                <w:sz w:val="20"/>
                <w:szCs w:val="20"/>
              </w:rPr>
            </w:pPr>
            <w:r>
              <w:rPr>
                <w:rFonts w:hint="eastAsia" w:ascii="仿宋_GB2312" w:hAnsi="仿宋_GB2312" w:cs="仿宋_GB2312"/>
                <w:bCs/>
                <w:color w:val="000000"/>
                <w:sz w:val="20"/>
                <w:szCs w:val="20"/>
              </w:rPr>
              <w:t>处理处罚情况</w:t>
            </w:r>
          </w:p>
        </w:tc>
        <w:tc>
          <w:tcPr>
            <w:tcW w:w="2268" w:type="dxa"/>
            <w:noWrap/>
            <w:vAlign w:val="center"/>
          </w:tcPr>
          <w:p>
            <w:pPr>
              <w:adjustRightInd w:val="0"/>
              <w:snapToGrid w:val="0"/>
              <w:spacing w:line="220" w:lineRule="exact"/>
              <w:jc w:val="center"/>
              <w:rPr>
                <w:rFonts w:ascii="仿宋_GB2312" w:hAnsi="仿宋_GB2312" w:cs="仿宋_GB2312"/>
                <w:bCs/>
                <w:color w:val="000000"/>
                <w:sz w:val="20"/>
                <w:szCs w:val="20"/>
              </w:rPr>
            </w:pPr>
            <w:r>
              <w:rPr>
                <w:rFonts w:hint="eastAsia" w:ascii="仿宋_GB2312" w:hAnsi="仿宋_GB2312" w:cs="仿宋_GB2312"/>
                <w:bCs/>
                <w:color w:val="000000"/>
                <w:sz w:val="20"/>
                <w:szCs w:val="20"/>
              </w:rPr>
              <w:t>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4" w:hRule="atLeast"/>
        </w:trPr>
        <w:tc>
          <w:tcPr>
            <w:tcW w:w="435" w:type="dxa"/>
            <w:noWrap/>
            <w:vAlign w:val="center"/>
          </w:tcPr>
          <w:p>
            <w:pPr>
              <w:adjustRightInd w:val="0"/>
              <w:snapToGrid w:val="0"/>
              <w:spacing w:line="220" w:lineRule="exact"/>
              <w:rPr>
                <w:rFonts w:ascii="仿宋_GB2312" w:hAnsi="仿宋_GB2312" w:cs="仿宋_GB2312"/>
                <w:bCs/>
                <w:color w:val="000000"/>
                <w:sz w:val="20"/>
                <w:szCs w:val="20"/>
              </w:rPr>
            </w:pPr>
            <w:r>
              <w:rPr>
                <w:rFonts w:hint="eastAsia" w:ascii="仿宋_GB2312" w:hAnsi="仿宋_GB2312" w:cs="仿宋_GB2312"/>
                <w:bCs/>
                <w:color w:val="000000"/>
                <w:sz w:val="20"/>
                <w:szCs w:val="20"/>
              </w:rPr>
              <w:t>1</w:t>
            </w:r>
          </w:p>
        </w:tc>
        <w:tc>
          <w:tcPr>
            <w:tcW w:w="810" w:type="dxa"/>
            <w:noWrap/>
            <w:vAlign w:val="center"/>
          </w:tcPr>
          <w:p>
            <w:pPr>
              <w:spacing w:line="220" w:lineRule="exact"/>
              <w:rPr>
                <w:rFonts w:ascii="仿宋_GB2312" w:hAnsi="仿宋_GB2312" w:cs="仿宋_GB2312"/>
                <w:color w:val="000000"/>
                <w:sz w:val="20"/>
                <w:szCs w:val="20"/>
              </w:rPr>
            </w:pPr>
            <w:r>
              <w:rPr>
                <w:rFonts w:hint="eastAsia" w:ascii="仿宋_GB2312" w:hAnsi="仿宋_GB2312" w:cs="仿宋_GB2312"/>
                <w:color w:val="000000"/>
                <w:sz w:val="20"/>
                <w:szCs w:val="20"/>
              </w:rPr>
              <w:t>X2SN202112080002、X2SN202112090006</w:t>
            </w:r>
          </w:p>
        </w:tc>
        <w:tc>
          <w:tcPr>
            <w:tcW w:w="3210" w:type="dxa"/>
            <w:noWrap/>
            <w:vAlign w:val="center"/>
          </w:tcPr>
          <w:p>
            <w:pPr>
              <w:spacing w:line="220" w:lineRule="exact"/>
              <w:rPr>
                <w:rFonts w:ascii="仿宋_GB2312" w:hAnsi="仿宋_GB2312" w:cs="仿宋_GB2312"/>
                <w:color w:val="000000"/>
                <w:sz w:val="20"/>
                <w:szCs w:val="20"/>
              </w:rPr>
            </w:pPr>
            <w:r>
              <w:rPr>
                <w:rFonts w:hint="eastAsia" w:ascii="仿宋_GB2312" w:hAnsi="仿宋_GB2312" w:cs="仿宋_GB2312"/>
                <w:color w:val="000000"/>
                <w:sz w:val="20"/>
                <w:szCs w:val="20"/>
              </w:rPr>
              <w:t>陕西省商洛市镇安县回龙镇寨沟以利用商南永昌矿洞废渣名义建设大型(年产30万吨)机制砂石料厂,已经严重破坏山体及河道,直接威胁下面500米处尾矿库(原双龙金矿已闭库尾矿库)安全及库下100米处居住30多户100多群众的生命安全。望依法查处</w:t>
            </w:r>
          </w:p>
        </w:tc>
        <w:tc>
          <w:tcPr>
            <w:tcW w:w="615" w:type="dxa"/>
            <w:noWrap/>
            <w:vAlign w:val="center"/>
          </w:tcPr>
          <w:p>
            <w:pPr>
              <w:spacing w:line="220" w:lineRule="exact"/>
              <w:rPr>
                <w:rFonts w:ascii="仿宋_GB2312" w:hAnsi="仿宋_GB2312" w:cs="仿宋_GB2312"/>
                <w:color w:val="000000"/>
                <w:sz w:val="20"/>
                <w:szCs w:val="20"/>
              </w:rPr>
            </w:pPr>
            <w:r>
              <w:rPr>
                <w:rFonts w:hint="eastAsia" w:ascii="仿宋_GB2312" w:hAnsi="仿宋_GB2312" w:cs="仿宋_GB2312"/>
                <w:color w:val="000000"/>
                <w:sz w:val="20"/>
                <w:szCs w:val="20"/>
              </w:rPr>
              <w:t>镇安县</w:t>
            </w:r>
          </w:p>
        </w:tc>
        <w:tc>
          <w:tcPr>
            <w:tcW w:w="3285" w:type="dxa"/>
            <w:noWrap/>
            <w:vAlign w:val="center"/>
          </w:tcPr>
          <w:p>
            <w:pPr>
              <w:pStyle w:val="14"/>
              <w:spacing w:line="220" w:lineRule="exact"/>
              <w:ind w:firstLine="0" w:firstLineChars="0"/>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商南县永昌矿业开发有限公司建设的镇安永昌重晶石矿废渣生产石子生产线项目已完成工程量的80%，未正式投产。该项目占地9838.61平方米，全部为林地，未超范围建设；未办理涉河项目建设审批手续；该项目下游约1.5公里处为镇安县双龙黄金矿业有限责任公司尾矿库（2015年已闭库），该尾矿库下游200米处居住群众25户125人。2021年7月，镇安县管理局组织专家论证，结论为该项目生产线对下游尾矿库影响较小，安全利用原矿山废石废渣后有利于尾矿库的安全。</w:t>
            </w:r>
          </w:p>
        </w:tc>
        <w:tc>
          <w:tcPr>
            <w:tcW w:w="630" w:type="dxa"/>
            <w:noWrap/>
            <w:vAlign w:val="center"/>
          </w:tcPr>
          <w:p>
            <w:pPr>
              <w:spacing w:line="220" w:lineRule="exact"/>
              <w:rPr>
                <w:rFonts w:ascii="仿宋_GB2312" w:hAnsi="仿宋_GB2312" w:cs="仿宋_GB2312"/>
                <w:color w:val="000000"/>
                <w:sz w:val="20"/>
                <w:szCs w:val="20"/>
              </w:rPr>
            </w:pPr>
            <w:r>
              <w:rPr>
                <w:rFonts w:hint="eastAsia" w:ascii="仿宋_GB2312" w:hAnsi="仿宋_GB2312" w:cs="仿宋_GB2312"/>
                <w:color w:val="000000"/>
                <w:sz w:val="20"/>
                <w:szCs w:val="20"/>
              </w:rPr>
              <w:t>属实</w:t>
            </w:r>
          </w:p>
        </w:tc>
        <w:tc>
          <w:tcPr>
            <w:tcW w:w="2889" w:type="dxa"/>
            <w:noWrap/>
            <w:vAlign w:val="center"/>
          </w:tcPr>
          <w:p>
            <w:pPr>
              <w:pStyle w:val="14"/>
              <w:spacing w:line="220" w:lineRule="exact"/>
              <w:ind w:firstLine="0" w:firstLineChars="0"/>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是镇安县水利局负责，责令停止该项目建设施工作业，督促限期办理涉河项目建设审批手续，在未取得审批手续之前不得进行施工作业。二是镇安县水利局负责，督促该公司拆除项目厂区道路扩改建工程施工中违规架设的1处涵管桥；三是镇安县水利局负责，督促该公司全面清理寨沟河道内的施工弃渣，确保行洪安全。（责任单位：镇安县水利局，整改时限：2021年12月31日）</w:t>
            </w:r>
          </w:p>
        </w:tc>
        <w:tc>
          <w:tcPr>
            <w:tcW w:w="2268" w:type="dxa"/>
            <w:noWrap/>
            <w:vAlign w:val="center"/>
          </w:tcPr>
          <w:p>
            <w:pPr>
              <w:spacing w:line="220" w:lineRule="exact"/>
              <w:ind w:firstLine="400" w:firstLineChars="200"/>
              <w:rPr>
                <w:rFonts w:ascii="仿宋_GB2312" w:hAnsi="仿宋_GB2312" w:cs="仿宋_GB2312"/>
                <w:color w:val="000000"/>
                <w:sz w:val="20"/>
                <w:szCs w:val="20"/>
              </w:rPr>
            </w:pPr>
            <w:r>
              <w:rPr>
                <w:rFonts w:hint="eastAsia" w:ascii="仿宋_GB2312" w:hAnsi="仿宋_GB2312" w:cs="仿宋_GB2312"/>
                <w:color w:val="000000"/>
                <w:sz w:val="20"/>
                <w:szCs w:val="20"/>
              </w:rPr>
              <w:t>镇安县已对该项目涉河建设项目进行了审批。厂区道路扩建施工中违规架设的涵管桥已拆除，寨沟河道内的弃渣已清理到位。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435" w:type="dxa"/>
            <w:noWrap/>
            <w:vAlign w:val="center"/>
          </w:tcPr>
          <w:p>
            <w:pPr>
              <w:adjustRightInd w:val="0"/>
              <w:snapToGrid w:val="0"/>
              <w:spacing w:line="220" w:lineRule="exact"/>
              <w:rPr>
                <w:rFonts w:ascii="仿宋_GB2312" w:hAnsi="仿宋_GB2312" w:cs="仿宋_GB2312"/>
                <w:bCs/>
                <w:color w:val="000000"/>
                <w:sz w:val="20"/>
                <w:szCs w:val="20"/>
              </w:rPr>
            </w:pPr>
            <w:r>
              <w:rPr>
                <w:rFonts w:hint="eastAsia" w:ascii="仿宋_GB2312" w:hAnsi="仿宋_GB2312" w:cs="仿宋_GB2312"/>
                <w:bCs/>
                <w:color w:val="000000"/>
                <w:sz w:val="20"/>
                <w:szCs w:val="20"/>
              </w:rPr>
              <w:t>2</w:t>
            </w:r>
          </w:p>
        </w:tc>
        <w:tc>
          <w:tcPr>
            <w:tcW w:w="810" w:type="dxa"/>
            <w:noWrap/>
            <w:vAlign w:val="center"/>
          </w:tcPr>
          <w:p>
            <w:pPr>
              <w:spacing w:line="220" w:lineRule="exact"/>
              <w:rPr>
                <w:rFonts w:ascii="仿宋_GB2312" w:hAnsi="仿宋_GB2312" w:cs="仿宋_GB2312"/>
                <w:color w:val="000000"/>
                <w:sz w:val="20"/>
                <w:szCs w:val="20"/>
              </w:rPr>
            </w:pPr>
            <w:r>
              <w:rPr>
                <w:rFonts w:hint="eastAsia" w:ascii="仿宋_GB2312" w:hAnsi="仿宋_GB2312" w:cs="仿宋_GB2312"/>
                <w:color w:val="000000"/>
                <w:sz w:val="20"/>
                <w:szCs w:val="20"/>
              </w:rPr>
              <w:t>D2SN202112260005</w:t>
            </w:r>
          </w:p>
        </w:tc>
        <w:tc>
          <w:tcPr>
            <w:tcW w:w="3210" w:type="dxa"/>
            <w:noWrap/>
            <w:vAlign w:val="center"/>
          </w:tcPr>
          <w:p>
            <w:pPr>
              <w:spacing w:line="220" w:lineRule="exact"/>
              <w:rPr>
                <w:rFonts w:ascii="仿宋_GB2312" w:hAnsi="仿宋_GB2312" w:cs="仿宋_GB2312"/>
                <w:color w:val="000000"/>
                <w:sz w:val="20"/>
                <w:szCs w:val="20"/>
              </w:rPr>
            </w:pPr>
            <w:r>
              <w:rPr>
                <w:rFonts w:hint="eastAsia" w:ascii="仿宋_GB2312" w:hAnsi="仿宋_GB2312" w:cs="仿宋_GB2312"/>
                <w:color w:val="000000"/>
                <w:sz w:val="20"/>
                <w:szCs w:val="20"/>
              </w:rPr>
              <w:t>11月份有人在商洛市柞水县下梁镇西川村西川河河道大肆采砂，砂石全部堆放在下梁镇新合村的废弃砂厂内，四处售卖，严重破坏生态环境</w:t>
            </w:r>
          </w:p>
        </w:tc>
        <w:tc>
          <w:tcPr>
            <w:tcW w:w="615" w:type="dxa"/>
            <w:noWrap/>
            <w:vAlign w:val="center"/>
          </w:tcPr>
          <w:p>
            <w:pPr>
              <w:spacing w:line="220" w:lineRule="exact"/>
              <w:rPr>
                <w:rFonts w:ascii="仿宋_GB2312" w:hAnsi="仿宋_GB2312" w:cs="仿宋_GB2312"/>
                <w:color w:val="000000"/>
                <w:sz w:val="20"/>
                <w:szCs w:val="20"/>
              </w:rPr>
            </w:pPr>
            <w:r>
              <w:rPr>
                <w:rFonts w:hint="eastAsia" w:ascii="仿宋_GB2312" w:hAnsi="仿宋_GB2312" w:cs="仿宋_GB2312"/>
                <w:color w:val="000000"/>
                <w:sz w:val="20"/>
                <w:szCs w:val="20"/>
              </w:rPr>
              <w:t>柞水县</w:t>
            </w:r>
          </w:p>
        </w:tc>
        <w:tc>
          <w:tcPr>
            <w:tcW w:w="3285" w:type="dxa"/>
            <w:noWrap/>
            <w:vAlign w:val="center"/>
          </w:tcPr>
          <w:p>
            <w:pPr>
              <w:spacing w:line="220" w:lineRule="exact"/>
              <w:rPr>
                <w:rFonts w:ascii="仿宋_GB2312" w:hAnsi="仿宋_GB2312" w:cs="仿宋_GB2312"/>
                <w:color w:val="000000"/>
                <w:sz w:val="20"/>
                <w:szCs w:val="20"/>
              </w:rPr>
            </w:pPr>
            <w:r>
              <w:rPr>
                <w:rFonts w:hint="eastAsia" w:ascii="仿宋_GB2312" w:hAnsi="仿宋_GB2312" w:cs="仿宋_GB2312"/>
                <w:color w:val="000000"/>
                <w:sz w:val="20"/>
                <w:szCs w:val="20"/>
              </w:rPr>
              <w:t>2021年6月至9月，柞水县连续强降雨，西川河水暴涨，造成下梁镇新合村二组马鞍岭拦砂坝泥沙淤积严重，影响行洪。县水利局2021年11月18日同意下梁镇新合村对马鞍岭拦砂坝实施清淤疏浚，要求清淤量控制在1500m</w:t>
            </w:r>
            <w:r>
              <w:rPr>
                <w:rFonts w:hint="eastAsia" w:ascii="仿宋_GB2312" w:hAnsi="仿宋_GB2312" w:cs="仿宋_GB2312"/>
                <w:color w:val="000000"/>
                <w:sz w:val="20"/>
                <w:szCs w:val="20"/>
                <w:vertAlign w:val="superscript"/>
              </w:rPr>
              <w:t>3</w:t>
            </w:r>
            <w:r>
              <w:rPr>
                <w:rFonts w:hint="eastAsia" w:ascii="仿宋_GB2312" w:hAnsi="仿宋_GB2312" w:cs="仿宋_GB2312"/>
                <w:color w:val="000000"/>
                <w:sz w:val="20"/>
                <w:szCs w:val="20"/>
              </w:rPr>
              <w:t>以内，清淤泥沙用于新合村水毁道路修复。清淤疏浚期间开挖有导流渠，清淤后河道平整，清淤方量和清淤区域未超出批准范围。</w:t>
            </w:r>
          </w:p>
        </w:tc>
        <w:tc>
          <w:tcPr>
            <w:tcW w:w="630" w:type="dxa"/>
            <w:noWrap/>
            <w:vAlign w:val="center"/>
          </w:tcPr>
          <w:p>
            <w:pPr>
              <w:spacing w:line="220" w:lineRule="exact"/>
              <w:rPr>
                <w:rFonts w:ascii="仿宋_GB2312" w:hAnsi="仿宋_GB2312" w:cs="仿宋_GB2312"/>
                <w:color w:val="000000"/>
                <w:sz w:val="20"/>
                <w:szCs w:val="20"/>
              </w:rPr>
            </w:pPr>
            <w:r>
              <w:rPr>
                <w:rFonts w:hint="eastAsia" w:ascii="仿宋_GB2312" w:hAnsi="仿宋_GB2312" w:cs="仿宋_GB2312"/>
                <w:color w:val="000000"/>
                <w:sz w:val="20"/>
                <w:szCs w:val="20"/>
              </w:rPr>
              <w:t>属实</w:t>
            </w:r>
          </w:p>
        </w:tc>
        <w:tc>
          <w:tcPr>
            <w:tcW w:w="2889" w:type="dxa"/>
            <w:noWrap/>
            <w:vAlign w:val="center"/>
          </w:tcPr>
          <w:p>
            <w:pPr>
              <w:spacing w:line="220" w:lineRule="exact"/>
              <w:rPr>
                <w:rFonts w:ascii="仿宋_GB2312" w:hAnsi="仿宋_GB2312" w:cs="仿宋_GB2312"/>
                <w:color w:val="000000"/>
                <w:sz w:val="20"/>
                <w:szCs w:val="20"/>
              </w:rPr>
            </w:pPr>
            <w:r>
              <w:rPr>
                <w:rStyle w:val="15"/>
                <w:rFonts w:hint="eastAsia" w:ascii="仿宋_GB2312" w:hAnsi="仿宋_GB2312" w:eastAsia="仿宋_GB2312" w:cs="仿宋_GB2312"/>
                <w:bCs/>
                <w:color w:val="000000"/>
                <w:sz w:val="20"/>
                <w:szCs w:val="20"/>
              </w:rPr>
              <w:t>一</w:t>
            </w:r>
            <w:r>
              <w:rPr>
                <w:rFonts w:hint="eastAsia" w:ascii="仿宋_GB2312" w:hAnsi="仿宋_GB2312" w:cs="仿宋_GB2312"/>
                <w:bCs/>
                <w:color w:val="000000"/>
                <w:sz w:val="20"/>
                <w:szCs w:val="20"/>
              </w:rPr>
              <w:t>是</w:t>
            </w:r>
            <w:r>
              <w:rPr>
                <w:rFonts w:hint="eastAsia" w:ascii="仿宋_GB2312" w:hAnsi="仿宋_GB2312" w:cs="仿宋_GB2312"/>
                <w:color w:val="000000"/>
                <w:sz w:val="20"/>
                <w:szCs w:val="20"/>
              </w:rPr>
              <w:t>加强河道管理，常态化开展河道巡查</w:t>
            </w:r>
            <w:r>
              <w:rPr>
                <w:rFonts w:hint="eastAsia" w:ascii="仿宋_GB2312" w:hAnsi="仿宋_GB2312" w:cs="仿宋_GB2312"/>
                <w:bCs/>
                <w:color w:val="000000"/>
                <w:sz w:val="20"/>
                <w:szCs w:val="20"/>
              </w:rPr>
              <w:t>（责任单位：柞水县水利局；整改时限：长期坚持）；</w:t>
            </w:r>
            <w:r>
              <w:rPr>
                <w:rStyle w:val="15"/>
                <w:rFonts w:hint="eastAsia" w:ascii="仿宋_GB2312" w:hAnsi="仿宋_GB2312" w:eastAsia="仿宋_GB2312" w:cs="仿宋_GB2312"/>
                <w:b/>
                <w:color w:val="000000"/>
                <w:sz w:val="20"/>
                <w:szCs w:val="20"/>
              </w:rPr>
              <w:t>二</w:t>
            </w:r>
            <w:r>
              <w:rPr>
                <w:rStyle w:val="15"/>
                <w:rFonts w:hint="eastAsia" w:ascii="仿宋_GB2312" w:hAnsi="仿宋_GB2312" w:eastAsia="仿宋_GB2312" w:cs="仿宋_GB2312"/>
                <w:bCs/>
                <w:color w:val="000000"/>
                <w:sz w:val="20"/>
                <w:szCs w:val="20"/>
              </w:rPr>
              <w:t>是</w:t>
            </w:r>
            <w:r>
              <w:rPr>
                <w:rFonts w:hint="eastAsia" w:ascii="仿宋_GB2312" w:hAnsi="仿宋_GB2312" w:cs="仿宋_GB2312"/>
                <w:bCs/>
                <w:color w:val="000000"/>
                <w:sz w:val="20"/>
                <w:szCs w:val="20"/>
              </w:rPr>
              <w:t>按照属地管理原则，进一步落实“河长制”及环境网格化监管职责，加强巡查检查（</w:t>
            </w:r>
            <w:r>
              <w:rPr>
                <w:rStyle w:val="15"/>
                <w:rFonts w:hint="eastAsia" w:ascii="仿宋_GB2312" w:hAnsi="仿宋_GB2312" w:eastAsia="仿宋_GB2312" w:cs="仿宋_GB2312"/>
                <w:color w:val="000000"/>
                <w:sz w:val="20"/>
                <w:szCs w:val="20"/>
              </w:rPr>
              <w:t>责任单位：下梁镇党委、政府；责任人：</w:t>
            </w:r>
            <w:r>
              <w:rPr>
                <w:rFonts w:hint="eastAsia" w:ascii="仿宋_GB2312" w:hAnsi="仿宋_GB2312" w:cs="仿宋_GB2312"/>
                <w:bCs/>
                <w:color w:val="000000"/>
                <w:sz w:val="20"/>
                <w:szCs w:val="20"/>
              </w:rPr>
              <w:t>整改时限：长期坚持）。</w:t>
            </w:r>
          </w:p>
        </w:tc>
        <w:tc>
          <w:tcPr>
            <w:tcW w:w="2268" w:type="dxa"/>
            <w:noWrap/>
            <w:vAlign w:val="center"/>
          </w:tcPr>
          <w:p>
            <w:pPr>
              <w:spacing w:line="220" w:lineRule="exact"/>
              <w:ind w:firstLine="400" w:firstLineChars="200"/>
              <w:rPr>
                <w:rFonts w:ascii="仿宋_GB2312" w:hAnsi="仿宋_GB2312" w:cs="仿宋_GB2312"/>
                <w:color w:val="000000"/>
                <w:sz w:val="20"/>
                <w:szCs w:val="20"/>
              </w:rPr>
            </w:pPr>
            <w:r>
              <w:rPr>
                <w:rFonts w:hint="eastAsia" w:ascii="仿宋_GB2312" w:hAnsi="仿宋_GB2312" w:cs="仿宋_GB2312"/>
                <w:color w:val="000000"/>
                <w:sz w:val="20"/>
                <w:szCs w:val="20"/>
              </w:rPr>
              <w:t>该项目为清淤疏浚，目前堆放的砂石料已清除到位，柞水县进一步加强了河道管理，</w:t>
            </w:r>
            <w:r>
              <w:rPr>
                <w:rFonts w:hint="eastAsia" w:ascii="仿宋_GB2312" w:hAnsi="仿宋_GB2312" w:cs="仿宋_GB2312"/>
                <w:bCs/>
                <w:color w:val="000000"/>
                <w:sz w:val="20"/>
                <w:szCs w:val="20"/>
              </w:rPr>
              <w:t>按照属地管理原则，落实“河长制”及环境网格化监管职责</w:t>
            </w:r>
            <w:r>
              <w:rPr>
                <w:rFonts w:hint="eastAsia" w:ascii="仿宋_GB2312" w:hAnsi="仿宋_GB2312" w:cs="仿宋_GB2312"/>
                <w:color w:val="000000"/>
                <w:sz w:val="20"/>
                <w:szCs w:val="20"/>
              </w:rPr>
              <w:t>，常态化开展河道巡查检查。</w:t>
            </w:r>
          </w:p>
        </w:tc>
      </w:tr>
    </w:tbl>
    <w:p>
      <w:pPr>
        <w:pStyle w:val="3"/>
        <w:rPr>
          <w:rFonts w:ascii="仿宋_GB2312" w:eastAsia="仿宋_GB2312"/>
          <w:sz w:val="20"/>
          <w:szCs w:val="20"/>
        </w:rPr>
      </w:pPr>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D3"/>
    <w:rsid w:val="000055D3"/>
    <w:rsid w:val="00056FE6"/>
    <w:rsid w:val="000A4DDD"/>
    <w:rsid w:val="00107ED4"/>
    <w:rsid w:val="001F6A1A"/>
    <w:rsid w:val="00241BFD"/>
    <w:rsid w:val="0030432B"/>
    <w:rsid w:val="00361C43"/>
    <w:rsid w:val="003F2843"/>
    <w:rsid w:val="00441EED"/>
    <w:rsid w:val="00443516"/>
    <w:rsid w:val="004A0740"/>
    <w:rsid w:val="00515457"/>
    <w:rsid w:val="00540AF7"/>
    <w:rsid w:val="00633E97"/>
    <w:rsid w:val="00665231"/>
    <w:rsid w:val="007A662B"/>
    <w:rsid w:val="007E02BB"/>
    <w:rsid w:val="007E14AB"/>
    <w:rsid w:val="008938CB"/>
    <w:rsid w:val="009375C5"/>
    <w:rsid w:val="00947A6D"/>
    <w:rsid w:val="00972A25"/>
    <w:rsid w:val="009B3C2C"/>
    <w:rsid w:val="009B4FB7"/>
    <w:rsid w:val="009C09D1"/>
    <w:rsid w:val="00AB0075"/>
    <w:rsid w:val="00BA6F92"/>
    <w:rsid w:val="00BD2582"/>
    <w:rsid w:val="00C1215A"/>
    <w:rsid w:val="00C965FE"/>
    <w:rsid w:val="00CE2E16"/>
    <w:rsid w:val="00D54746"/>
    <w:rsid w:val="00D6133F"/>
    <w:rsid w:val="00D81E9E"/>
    <w:rsid w:val="00E05A19"/>
    <w:rsid w:val="00E32567"/>
    <w:rsid w:val="00E66063"/>
    <w:rsid w:val="00E93D34"/>
    <w:rsid w:val="00E97E91"/>
    <w:rsid w:val="00F34451"/>
    <w:rsid w:val="00F51A48"/>
    <w:rsid w:val="00F65E0A"/>
    <w:rsid w:val="00F84807"/>
    <w:rsid w:val="00FA44B3"/>
    <w:rsid w:val="00FD2BD8"/>
    <w:rsid w:val="00FE012C"/>
    <w:rsid w:val="00FE62DD"/>
    <w:rsid w:val="1701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宋体" w:hAnsi="宋体" w:eastAsia="仿宋_GB2312" w:cs="黑体"/>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99"/>
    <w:pPr>
      <w:spacing w:after="120"/>
    </w:pPr>
    <w:rPr>
      <w:rFonts w:ascii="Times New Roman" w:hAnsi="Times New Roman"/>
    </w:rPr>
  </w:style>
  <w:style w:type="paragraph" w:styleId="3">
    <w:name w:val="footer"/>
    <w:basedOn w:val="1"/>
    <w:link w:val="11"/>
    <w:semiHidden/>
    <w:unhideWhenUsed/>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4">
    <w:name w:val="Body Text Indent"/>
    <w:basedOn w:val="1"/>
    <w:link w:val="16"/>
    <w:semiHidden/>
    <w:unhideWhenUsed/>
    <w:uiPriority w:val="99"/>
    <w:pPr>
      <w:spacing w:after="120"/>
      <w:ind w:left="420" w:leftChars="200"/>
    </w:pPr>
  </w:style>
  <w:style w:type="paragraph" w:styleId="5">
    <w:name w:val="header"/>
    <w:basedOn w:val="1"/>
    <w:link w:val="10"/>
    <w:semiHidden/>
    <w:unhideWhenUsed/>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6">
    <w:name w:val="Body Text First Indent 2"/>
    <w:basedOn w:val="4"/>
    <w:link w:val="17"/>
    <w:semiHidden/>
    <w:unhideWhenUsed/>
    <w:uiPriority w:val="99"/>
    <w:pPr>
      <w:ind w:firstLine="420" w:firstLineChars="200"/>
    </w:pPr>
  </w:style>
  <w:style w:type="character" w:styleId="9">
    <w:name w:val="Strong"/>
    <w:qFormat/>
    <w:uiPriority w:val="0"/>
    <w:rPr>
      <w:b/>
    </w:rPr>
  </w:style>
  <w:style w:type="character" w:customStyle="1" w:styleId="10">
    <w:name w:val="页眉 Char"/>
    <w:basedOn w:val="8"/>
    <w:link w:val="5"/>
    <w:semiHidden/>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正文文本 Char"/>
    <w:basedOn w:val="8"/>
    <w:link w:val="2"/>
    <w:uiPriority w:val="99"/>
    <w:rPr>
      <w:rFonts w:ascii="Times New Roman" w:hAnsi="Times New Roman" w:eastAsia="仿宋_GB2312" w:cs="黑体"/>
      <w:sz w:val="32"/>
      <w:szCs w:val="24"/>
    </w:rPr>
  </w:style>
  <w:style w:type="paragraph" w:customStyle="1" w:styleId="13">
    <w:name w:val="正文1"/>
    <w:next w:val="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缩进1"/>
    <w:basedOn w:val="1"/>
    <w:qFormat/>
    <w:uiPriority w:val="0"/>
    <w:pPr>
      <w:ind w:firstLine="200" w:firstLineChars="200"/>
    </w:pPr>
    <w:rPr>
      <w:rFonts w:eastAsia="楷体_GB2312"/>
    </w:rPr>
  </w:style>
  <w:style w:type="character" w:customStyle="1" w:styleId="15">
    <w:name w:val="NormalCharacter"/>
    <w:qFormat/>
    <w:uiPriority w:val="0"/>
    <w:rPr>
      <w:rFonts w:ascii="Times New Roman" w:hAnsi="Times New Roman" w:eastAsia="宋体"/>
    </w:rPr>
  </w:style>
  <w:style w:type="character" w:customStyle="1" w:styleId="16">
    <w:name w:val="正文文本缩进 Char"/>
    <w:basedOn w:val="8"/>
    <w:link w:val="4"/>
    <w:semiHidden/>
    <w:uiPriority w:val="99"/>
    <w:rPr>
      <w:rFonts w:ascii="宋体" w:hAnsi="宋体" w:eastAsia="仿宋_GB2312" w:cs="黑体"/>
      <w:sz w:val="32"/>
      <w:szCs w:val="24"/>
    </w:rPr>
  </w:style>
  <w:style w:type="character" w:customStyle="1" w:styleId="17">
    <w:name w:val="正文首行缩进 2 Char"/>
    <w:basedOn w:val="16"/>
    <w:link w:val="6"/>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1008</Words>
  <Characters>1101</Characters>
  <Lines>8</Lines>
  <Paragraphs>2</Paragraphs>
  <TotalTime>1030</TotalTime>
  <ScaleCrop>false</ScaleCrop>
  <LinksUpToDate>false</LinksUpToDate>
  <CharactersWithSpaces>1101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2022-05-13T01:28:00Z</dcterms:created>
  <dc:creator>Windows 用户</dc:creator>
  <cp:lastModifiedBy>迷</cp:lastModifiedBy>
  <dcterms:modified xsi:type="dcterms:W3CDTF">2022-09-29T06:26:09Z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330EC86E98E7425192E9B7F1B16218CD</vt:lpwstr>
  </property>
</Properties>
</file>