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9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9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商 洛 市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地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方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标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none"/>
        </w:rPr>
        <w:t>准</w:t>
      </w:r>
    </w:p>
    <w:p>
      <w:pPr>
        <w:pStyle w:val="2"/>
        <w:ind w:left="0" w:leftChars="0" w:firstLine="0" w:firstLineChars="0"/>
        <w:rPr>
          <w:rFonts w:hint="default" w:ascii="黑体" w:hAnsi="黑体" w:eastAsia="黑体" w:cs="黑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u w:val="single"/>
          <w:lang w:val="en-US" w:eastAsia="zh-CN"/>
        </w:rPr>
        <w:t xml:space="preserve">                       </w:t>
      </w:r>
    </w:p>
    <w:p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《薄壳山核桃栽培技术规范》编制说明</w:t>
      </w:r>
    </w:p>
    <w:p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80" w:lineRule="exact"/>
        <w:textAlignment w:val="auto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商洛市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薄壳山核桃栽培技术规范</w:t>
      </w:r>
      <w:r>
        <w:rPr>
          <w:rFonts w:hint="eastAsia" w:ascii="方正小标宋简体" w:eastAsia="方正小标宋简体"/>
          <w:sz w:val="44"/>
          <w:szCs w:val="44"/>
        </w:rPr>
        <w:t>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编制说明</w:t>
      </w:r>
    </w:p>
    <w:p>
      <w:pPr>
        <w:spacing w:line="540" w:lineRule="exact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为了高质量发展商洛核桃产业，丰富核桃种质资源，提供更多差异化、有特色的核桃产品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规范薄壳山核桃栽培技术方法，提高栽植成活率，提高效益，为生产实践提供遵循，促进产业健康发展。按照地方标准制定规范(DB 61/T 1214--2020)，根据地方标准编制说明的具体要求，结合全市的实际情况，特编制此说明。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工作概况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1、任务来源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本项目是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商洛市市场</w:t>
      </w:r>
      <w:r>
        <w:rPr>
          <w:rFonts w:hint="eastAsia" w:ascii="仿宋_GB2312" w:hAnsi="仿宋_GB2312" w:eastAsia="仿宋_GB2312" w:cs="仿宋_GB2312"/>
          <w:sz w:val="32"/>
          <w:szCs w:val="32"/>
        </w:rPr>
        <w:t>监督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于2023年印发的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关于下达20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年地方标准制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目的通知》（商市监函〔2023〕355号）文件，将《薄壳山核桃栽培技术规范》列入2023年市级地方标准制定计划。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2、目的和意义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桃产业是商洛最具优势和潜力的支柱产业。经过多年的发展，总面积达350万亩，居全省第一、全国前列。目前，年产量达16万吨，综合产值达到55亿元左右。核桃产业已成为全市群众脱贫致富的支柱产业，承载着乡村振兴和广大山区群众增收的重托。由于近年来我市引进了薄壳山核桃树种，但对薄壳山核桃的栽植技术研究还是空白，没有大量的数据采集和系统的分析研究，没有总结形成可供指导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实践文件，缺乏相应的标准规程规范，群众在薄壳山核桃栽植、推广和实际的生产中缺乏统一的标准参考。通过制定薄壳山核桃栽培技术规范，解决在生产过程中的技术参数难题，通过技术规范的发布实施，促进薄壳山核桃的发展进一步加速，效益明显提升。为商洛扩大品种资源，丰富核桃种质，占领高端市场，增加群众收入有着积极的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主导单位、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主要工作过程、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组成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及任务分工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主导单位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由商洛市林业科学研究所主导。单位成立于1973年，属全额拨款事业性研究机构。是商洛核桃科技支撑单位和技术依托单位，承担全市核桃科研、技术推广、核桃产业提质增效等技术推广工作。现有科技人员17人，其中高级工程师7人，研究生4人，中级职称8人。技术力量雄厚，人员结构较合理，多数已是本市核桃行业的技术骨干。建所50多年来，立足商洛，面向全省，坚持试验、示范、推广相结合的原则，积极开展了核桃科研试验和技术推广工作，取得了显著的科技成效，为商洛市及全省核桃产业发展和科技水平的提高做出了较大贡献。先后承担国家和省市科技项目30多项，取得科研成果20余项，多数达到国内先进和省内领先水平。科研人员先后发表论文120余篇，编辑出版核桃科技书籍15本。多次被省、市政府及有关部门评为先进科技单位，受到上级表彰奖励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主要工作过程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成立项目组，进行任务分工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项目立项后，首先成立了由商洛市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、商州区林特产业发展中心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镇安县林特产业发展中心3</w:t>
      </w:r>
      <w:r>
        <w:rPr>
          <w:rFonts w:hint="eastAsia" w:ascii="仿宋_GB2312" w:hAnsi="仿宋_GB2312" w:eastAsia="仿宋_GB2312" w:cs="仿宋_GB2312"/>
          <w:sz w:val="32"/>
          <w:szCs w:val="32"/>
        </w:rPr>
        <w:t>个单位相关专家组成的“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薄壳山核桃栽培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技术规范”编制工作项目组。商洛市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研究所作为项目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单位，全面负责项目的组织、实施和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，提出项目实施的具体方案和工作进程。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商州区林特产业发展中心和镇安县林特产业发展中心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为项目协作单位，协助相关调查研究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和基础数据的提供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查阅相关资料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收集大量相关数据。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课题组查阅了国内外有关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菊芋栽培</w:t>
      </w:r>
      <w:r>
        <w:rPr>
          <w:rFonts w:hint="eastAsia" w:ascii="仿宋_GB2312" w:hAnsi="仿宋_GB2312" w:eastAsia="仿宋_GB2312" w:cs="仿宋_GB2312"/>
          <w:sz w:val="32"/>
          <w:szCs w:val="32"/>
        </w:rPr>
        <w:t>的相关研究进展情况。通过查阅中国期刊网全文数据库、中国专利数据库、万方数据资源系统、重庆维普中文科技期刊数据库、SCI（科学引文索引）、BIOSIS Previews（美国生物学文摘）等国内外主要技术资料数据库，查阅收集了相关的国家、地方行业标准：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GB 3095-2012    环境空气质量标准，GB 5084-2021    农田灌溉水质标准 ，GB 8321.10-2018 农药合理使用准则（十），GB 15618-2018   土壤环境质量 农用地土壤污染风险管控标准，LY/T 1941-2021  薄壳山核桃，LY/T 2131-2019  山核桃生产技术规程，LY/T 3004-2018  核桃 第4部分 核桃优质丰产栽培技术规程，NY/T 391-2021   绿色食品 产地环境质量，NY/T 393-2020   绿色食品 农药使用准则，NY/T 394-2021   绿色食品 肥料使用准则，DB34/T 3720-2020  薄壳山核桃主要病虫害防治技术规程，DB34/T 3841-2021  薄壳山核桃授粉树配置技术规程，DB42/T 1782-2021  薄壳山核桃丰产栽培技术规程，DB6110/T 023～032-2016  核桃丰产栽培技术规范综合体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栽植县区行政业务主管单位、科研院所、企业和专业合作社、生产大户及种植户，全面了解薄壳山栽培的实际生产现状，现行的通用做法。通过对各地的经验、问题和成果进行研究，取得了大量的珍贵技术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三是反复参与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实践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全面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积累经验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课题组专家从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年起组织参与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指导薄壳山核桃生产工作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，作为技术推广人员从事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的生产、验收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等工作，通过多年的实践，已摸清了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其生产的现状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栽培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技术进行了详细研究，开展了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大量的试验、比较和记录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借鉴外地市规范文本，形</w:t>
      </w:r>
      <w:r>
        <w:rPr>
          <w:rFonts w:hint="eastAsia" w:ascii="仿宋_GB2312" w:hAnsi="仿宋_GB2312" w:eastAsia="仿宋_GB2312" w:cs="仿宋_GB2312"/>
          <w:sz w:val="32"/>
          <w:szCs w:val="32"/>
        </w:rPr>
        <w:t>成了栽培技术相关数据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项目的参与各方，有长期从事山核桃一线生产和实践的丰富经验，经过经年累月的探索和积累，对薄壳山核桃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的栽培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研究倾注了大量的心血，在商洛全市范围内，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甚至陕西都走在前列，整个科研团队，经常受邀参加国内省内性、前沿性的学术交流和培训讲课。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四是注重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交流讨论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吸纳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修改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意见。</w:t>
      </w:r>
      <w:r>
        <w:rPr>
          <w:rFonts w:hint="eastAsia" w:ascii="仿宋_GB2312" w:hAnsi="仿宋_GB2312" w:eastAsia="仿宋_GB2312" w:cs="仿宋_GB2312"/>
          <w:sz w:val="32"/>
          <w:szCs w:val="32"/>
        </w:rPr>
        <w:t>初稿完成后，项目组内有关专家和技术人员（表1）于20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日，在商洛市林业科学研究所召开会议，对初稿进行了逐字逐句的讨论和修改，形成了可供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生产栽培的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技术服务单位和</w:t>
      </w:r>
      <w:r>
        <w:rPr>
          <w:rFonts w:hint="eastAsia" w:ascii="仿宋_GB2312" w:hAnsi="仿宋_GB2312" w:eastAsia="仿宋_GB2312" w:cs="仿宋_GB2312"/>
          <w:sz w:val="32"/>
          <w:szCs w:val="32"/>
        </w:rPr>
        <w:t>专家审阅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征求意见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的陕西省地方标准《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薄壳山核桃</w:t>
      </w:r>
      <w:r>
        <w:rPr>
          <w:rFonts w:hint="eastAsia" w:ascii="仿宋_GB2312" w:hAnsi="仿宋_GB2312" w:eastAsia="仿宋_GB2312" w:cs="仿宋_GB2312"/>
          <w:sz w:val="32"/>
          <w:szCs w:val="32"/>
        </w:rPr>
        <w:t>栽培技术规范》（征求意见稿）。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综上所述，课题组在全面了解国内外有关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薄壳山核桃</w:t>
      </w:r>
      <w:r>
        <w:rPr>
          <w:rFonts w:hint="eastAsia" w:ascii="仿宋_GB2312" w:hAnsi="仿宋_GB2312" w:eastAsia="仿宋_GB2312" w:cs="仿宋_GB2312"/>
          <w:sz w:val="32"/>
          <w:szCs w:val="32"/>
        </w:rPr>
        <w:t>栽培技术规范及课题组相关多年实践研究的基础上，进行地方标准“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薄壳山核桃</w:t>
      </w:r>
      <w:r>
        <w:rPr>
          <w:rFonts w:hint="eastAsia" w:ascii="仿宋_GB2312" w:hAnsi="仿宋_GB2312" w:eastAsia="仿宋_GB2312" w:cs="仿宋_GB2312"/>
          <w:sz w:val="32"/>
          <w:szCs w:val="32"/>
        </w:rPr>
        <w:t>栽培技术规范”（初稿）的编制工作。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  （3）组成人员及任务分工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表1 项目组成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员及分工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77"/>
        <w:gridCol w:w="1029"/>
        <w:gridCol w:w="1712"/>
        <w:gridCol w:w="2535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职称/职务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吴宽敏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大专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主持、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王敏珍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高工/所长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张治有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高工/副所长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王建军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高工/主任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商州区产业中心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张  忠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副教授 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陕西师范大学食品工程与营养科学学院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马云攀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正高/主任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镇安县产业中心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贺  磊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屈佳楠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李忠锋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高级工程师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刘建鹏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商州区产业中心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王文俊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胡  刁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研究生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王晓珂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研究生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舒淑珍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高级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解  勃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工程师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商洛市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林研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试验验证</w:t>
            </w:r>
          </w:p>
        </w:tc>
      </w:tr>
    </w:tbl>
    <w:p>
      <w:pPr>
        <w:pStyle w:val="7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标准编制原则</w:t>
      </w: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  <w:lang w:val="en-US" w:eastAsia="zh-CN"/>
        </w:rPr>
        <w:t>和标准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主要内容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1、标准编制原则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56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本标准编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的基本原则是：在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中华人民共和国国家标准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GB/T 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.1--2020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《标准化工作导则》、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GB/T 20000《标准化工作指南》、GB/T 20001《标准化编写规则》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陕西省地方标准DB 61/T 1214--2020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的指导下，遵循“实用、规范、先进和可操作性强”的原则，编写内容既适合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商洛地方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实际，而且尽可能与国内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相关本科山核桃标准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国际通行规范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接轨。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2、标准主要内容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before="0" w:beforeLines="0" w:after="0" w:afterLines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本标准主要内容包括：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阐述薄壳山核桃园址选择、建园、整形修剪、土壤管理、排灌水、树干保护、施肥、病虫害防控、霜冻预防、果实采收和档案管理等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，各部分均是在查阅国内外文献资料的基础上，结合多年的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实践编写而成。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三、试验验证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本标准主要内容是在多年实践经验的基础上，结合近年来在实施的“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商洛市薄壳山核桃引种试验于示范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项目及生产实际和调研成果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等实践中，不断总结提炼。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同时，充分吸纳借鉴《核桃丰产栽培技术规范综合体》实践经验，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经在商洛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7县区</w:t>
      </w:r>
      <w:r>
        <w:rPr>
          <w:rFonts w:hint="eastAsia" w:ascii="仿宋_GB2312" w:hAnsi="仿宋_GB2312" w:eastAsia="仿宋_GB2312" w:cs="仿宋_GB2312"/>
          <w:sz w:val="32"/>
          <w:szCs w:val="32"/>
        </w:rPr>
        <w:t>核桃主产区调查验证，具有准确度高，可靠性强，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应用性广和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易</w:t>
      </w:r>
      <w:r>
        <w:rPr>
          <w:rFonts w:hint="eastAsia" w:ascii="仿宋_GB2312" w:hAnsi="仿宋_GB2312" w:eastAsia="仿宋_GB2312" w:cs="仿宋_GB2312"/>
          <w:sz w:val="32"/>
          <w:szCs w:val="32"/>
        </w:rPr>
        <w:t>等特点，实际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应用中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取得了明显的社会效益和经济效益，受到了基层业务部门和广大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核桃生产经营者</w:t>
      </w:r>
      <w:r>
        <w:rPr>
          <w:rFonts w:hint="eastAsia" w:ascii="仿宋_GB2312" w:hAnsi="仿宋_GB2312" w:eastAsia="仿宋_GB2312" w:cs="仿宋_GB2312"/>
          <w:sz w:val="32"/>
          <w:szCs w:val="32"/>
        </w:rPr>
        <w:t>的肯定与好评。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主要参考标准及技术资料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GB 3095-2012    环境空气质量标准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GB 5084-2021    农田灌溉水质标准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GB 8321.10-2018 农药合理使用准则（十）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GB 15618-2018   土壤环境质量 农用地土壤污染风险管控标准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LY/T 1941-2021  薄壳山核桃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LY/T 2131-2019  山核桃生产技术规程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LY/T 3004-2018  核桃 第4部分 核桃优质丰产栽培技术规程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NY/T 391-2021   绿色食品 产地环境质量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NY/T 393-2020   绿色食品 农药使用准则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NY/T 394-2021   绿色食品 肥料使用准则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DB34/T 3720-2020  薄壳山核桃主要病虫害防治技术规程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DB34/T 3841-2021  薄壳山核桃授粉树配置技术规程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DB42/T 1782-2021  薄壳山核桃丰产栽培技术规程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DB6110/T 023～032-2016  核桃丰产栽培技术规范综合体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五、重大意见分歧的处理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在起草、项目组内讨论、项目组外征求意见及试验验证过程中，均未发现任何影响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制定的重大意见分歧。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560" w:lineRule="exact"/>
        <w:ind w:leftChars="0"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薄壳山核桃栽培技术规范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起草小组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3年10月27日</w:t>
      </w: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E57D58"/>
    <w:multiLevelType w:val="singleLevel"/>
    <w:tmpl w:val="D7E57D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4391027F"/>
    <w:multiLevelType w:val="singleLevel"/>
    <w:tmpl w:val="439102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wMGU4NDZkZjQ4ZmUzOTRiZDBmODhlM2JmOWYzZGQifQ=="/>
  </w:docVars>
  <w:rsids>
    <w:rsidRoot w:val="40442FE3"/>
    <w:rsid w:val="059D2615"/>
    <w:rsid w:val="1FA173F5"/>
    <w:rsid w:val="24D94295"/>
    <w:rsid w:val="40442FE3"/>
    <w:rsid w:val="556A141A"/>
    <w:rsid w:val="6BF87317"/>
    <w:rsid w:val="7868656B"/>
    <w:rsid w:val="7CF6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88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一级条标题"/>
    <w:next w:val="8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">
    <w:name w:val="二级条标题"/>
    <w:basedOn w:val="7"/>
    <w:next w:val="8"/>
    <w:qFormat/>
    <w:uiPriority w:val="0"/>
    <w:pPr>
      <w:numPr>
        <w:ilvl w:val="2"/>
        <w:numId w:val="1"/>
      </w:numPr>
      <w:spacing w:before="50" w:after="50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2023-10-26T06:54:00Z</dcterms:created>
  <dc:creator>宽容</dc:creator>
  <cp:lastModifiedBy>宽容</cp:lastModifiedBy>
  <cp:lastPrinted>2023-11-01T03:37:38Z</cp:lastPrinted>
  <dcterms:modified xsi:type="dcterms:W3CDTF">2023-11-01T03:46:12Z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A1E21CAD55C442CB99B127EF7372AA54_13</vt:lpwstr>
  </property>
</Properties>
</file>