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36"/>
          <w:szCs w:val="36"/>
          <w:highlight w:val="none"/>
        </w:rPr>
      </w:pPr>
    </w:p>
    <w:p>
      <w:pPr>
        <w:jc w:val="center"/>
        <w:rPr>
          <w:rFonts w:hint="eastAsia" w:ascii="黑体" w:hAnsi="黑体" w:eastAsia="黑体" w:cs="黑体"/>
          <w:sz w:val="36"/>
          <w:szCs w:val="36"/>
          <w:highlight w:val="none"/>
          <w:lang w:eastAsia="zh-CN"/>
        </w:rPr>
      </w:pPr>
      <w:r>
        <w:rPr>
          <w:rFonts w:hint="eastAsia" w:ascii="黑体" w:hAnsi="黑体" w:eastAsia="黑体" w:cs="黑体"/>
          <w:sz w:val="36"/>
          <w:szCs w:val="36"/>
          <w:highlight w:val="none"/>
          <w:lang w:eastAsia="zh-CN"/>
        </w:rPr>
        <w:t>商洛市社会救助中心</w:t>
      </w:r>
    </w:p>
    <w:p>
      <w:pPr>
        <w:jc w:val="center"/>
        <w:rPr>
          <w:rFonts w:hint="eastAsia" w:ascii="黑体" w:hAnsi="黑体" w:eastAsia="黑体" w:cs="黑体"/>
          <w:sz w:val="36"/>
          <w:szCs w:val="36"/>
          <w:highlight w:val="none"/>
          <w:lang w:val="en-US" w:eastAsia="zh-CN"/>
        </w:rPr>
      </w:pPr>
      <w:r>
        <w:rPr>
          <w:rFonts w:hint="eastAsia" w:ascii="黑体" w:hAnsi="黑体" w:eastAsia="黑体" w:cs="黑体"/>
          <w:sz w:val="36"/>
          <w:szCs w:val="36"/>
          <w:highlight w:val="none"/>
        </w:rPr>
        <w:t>20</w:t>
      </w:r>
      <w:r>
        <w:rPr>
          <w:rFonts w:hint="eastAsia" w:ascii="黑体" w:hAnsi="黑体" w:eastAsia="黑体" w:cs="黑体"/>
          <w:sz w:val="36"/>
          <w:szCs w:val="36"/>
          <w:highlight w:val="none"/>
          <w:lang w:val="en-US" w:eastAsia="zh-CN"/>
        </w:rPr>
        <w:t>23</w:t>
      </w:r>
      <w:r>
        <w:rPr>
          <w:rFonts w:hint="eastAsia" w:ascii="黑体" w:hAnsi="黑体" w:eastAsia="黑体" w:cs="黑体"/>
          <w:sz w:val="36"/>
          <w:szCs w:val="36"/>
          <w:highlight w:val="none"/>
        </w:rPr>
        <w:t>年</w:t>
      </w:r>
      <w:r>
        <w:rPr>
          <w:rFonts w:hint="eastAsia" w:ascii="黑体" w:hAnsi="黑体" w:eastAsia="黑体" w:cs="黑体"/>
          <w:sz w:val="36"/>
          <w:szCs w:val="36"/>
          <w:highlight w:val="none"/>
          <w:lang w:eastAsia="zh-CN"/>
        </w:rPr>
        <w:t>单位预算公开说明</w:t>
      </w:r>
    </w:p>
    <w:p>
      <w:pPr>
        <w:jc w:val="both"/>
        <w:rPr>
          <w:rFonts w:hint="eastAsia"/>
          <w:highlight w:val="none"/>
          <w:lang w:eastAsia="zh-CN"/>
        </w:rPr>
      </w:pPr>
    </w:p>
    <w:p>
      <w:pPr>
        <w:jc w:val="center"/>
        <w:rPr>
          <w:rFonts w:hint="eastAsia"/>
          <w:sz w:val="36"/>
          <w:szCs w:val="36"/>
          <w:highlight w:val="none"/>
          <w:lang w:eastAsia="zh-CN"/>
        </w:rPr>
      </w:pPr>
      <w:r>
        <w:rPr>
          <w:rFonts w:hint="eastAsia"/>
          <w:b/>
          <w:bCs/>
          <w:sz w:val="36"/>
          <w:szCs w:val="36"/>
          <w:highlight w:val="none"/>
          <w:lang w:eastAsia="zh-CN"/>
        </w:rPr>
        <w:t>目录</w:t>
      </w:r>
    </w:p>
    <w:p>
      <w:pPr>
        <w:jc w:val="left"/>
        <w:rPr>
          <w:rFonts w:hint="eastAsia" w:ascii="宋体" w:hAnsi="宋体" w:eastAsia="宋体" w:cs="宋体"/>
          <w:sz w:val="32"/>
          <w:szCs w:val="32"/>
          <w:highlight w:val="none"/>
          <w:lang w:val="en-US" w:eastAsia="zh-CN"/>
        </w:rPr>
      </w:pPr>
      <w:r>
        <w:rPr>
          <w:rFonts w:hint="eastAsia" w:ascii="宋体" w:hAnsi="宋体" w:eastAsia="宋体" w:cs="宋体"/>
          <w:b/>
          <w:bCs/>
          <w:sz w:val="32"/>
          <w:szCs w:val="32"/>
          <w:highlight w:val="none"/>
          <w:lang w:eastAsia="zh-CN"/>
        </w:rPr>
        <w:t>第一部分</w:t>
      </w:r>
      <w:r>
        <w:rPr>
          <w:rFonts w:hint="eastAsia" w:ascii="宋体" w:hAnsi="宋体" w:eastAsia="宋体" w:cs="宋体"/>
          <w:b/>
          <w:bCs/>
          <w:sz w:val="32"/>
          <w:szCs w:val="32"/>
          <w:highlight w:val="none"/>
          <w:lang w:val="en-US" w:eastAsia="zh-CN"/>
        </w:rPr>
        <w:t xml:space="preserve"> 单位概况</w:t>
      </w:r>
    </w:p>
    <w:p>
      <w:pPr>
        <w:jc w:val="left"/>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lang w:eastAsia="zh-CN"/>
        </w:rPr>
        <w:t>一、</w:t>
      </w:r>
      <w:r>
        <w:rPr>
          <w:rFonts w:hint="eastAsia" w:ascii="宋体" w:hAnsi="宋体" w:eastAsia="宋体" w:cs="宋体"/>
          <w:sz w:val="32"/>
          <w:szCs w:val="32"/>
          <w:highlight w:val="none"/>
        </w:rPr>
        <w:t>主要职责</w:t>
      </w:r>
      <w:r>
        <w:rPr>
          <w:rFonts w:hint="eastAsia" w:ascii="宋体" w:hAnsi="宋体" w:eastAsia="宋体" w:cs="宋体"/>
          <w:sz w:val="32"/>
          <w:szCs w:val="32"/>
          <w:highlight w:val="none"/>
          <w:lang w:eastAsia="zh-CN"/>
        </w:rPr>
        <w:t>及机构设置</w:t>
      </w:r>
    </w:p>
    <w:p>
      <w:pPr>
        <w:rPr>
          <w:rFonts w:hint="eastAsia" w:ascii="宋体" w:hAnsi="宋体" w:eastAsia="宋体" w:cs="宋体"/>
          <w:sz w:val="32"/>
          <w:szCs w:val="32"/>
          <w:highlight w:val="none"/>
        </w:rPr>
      </w:pPr>
      <w:r>
        <w:rPr>
          <w:rFonts w:hint="eastAsia" w:ascii="宋体" w:hAnsi="宋体" w:eastAsia="宋体" w:cs="宋体"/>
          <w:sz w:val="32"/>
          <w:szCs w:val="32"/>
          <w:highlight w:val="none"/>
        </w:rPr>
        <w:t>二、工作任务</w:t>
      </w:r>
    </w:p>
    <w:p>
      <w:pPr>
        <w:rPr>
          <w:rFonts w:hint="eastAsia" w:ascii="宋体" w:hAnsi="宋体" w:eastAsia="宋体" w:cs="宋体"/>
          <w:sz w:val="32"/>
          <w:szCs w:val="32"/>
          <w:highlight w:val="none"/>
        </w:rPr>
      </w:pPr>
      <w:r>
        <w:rPr>
          <w:rFonts w:hint="eastAsia" w:ascii="宋体" w:hAnsi="宋体" w:eastAsia="宋体" w:cs="宋体"/>
          <w:sz w:val="32"/>
          <w:szCs w:val="32"/>
          <w:highlight w:val="none"/>
          <w:lang w:eastAsia="zh-CN"/>
        </w:rPr>
        <w:t>三</w:t>
      </w:r>
      <w:r>
        <w:rPr>
          <w:rFonts w:hint="eastAsia" w:ascii="宋体" w:hAnsi="宋体" w:eastAsia="宋体" w:cs="宋体"/>
          <w:sz w:val="32"/>
          <w:szCs w:val="32"/>
          <w:highlight w:val="none"/>
        </w:rPr>
        <w:t>、人员情况说明</w:t>
      </w:r>
    </w:p>
    <w:p>
      <w:pPr>
        <w:rPr>
          <w:rFonts w:hint="eastAsia" w:ascii="宋体" w:hAnsi="宋体" w:eastAsia="宋体" w:cs="宋体"/>
          <w:sz w:val="32"/>
          <w:szCs w:val="32"/>
          <w:highlight w:val="none"/>
          <w:lang w:val="en-US" w:eastAsia="zh-CN"/>
        </w:rPr>
      </w:pPr>
      <w:r>
        <w:rPr>
          <w:rFonts w:hint="eastAsia" w:ascii="宋体" w:hAnsi="宋体" w:eastAsia="宋体" w:cs="宋体"/>
          <w:b/>
          <w:bCs/>
          <w:sz w:val="32"/>
          <w:szCs w:val="32"/>
          <w:highlight w:val="none"/>
          <w:lang w:eastAsia="zh-CN"/>
        </w:rPr>
        <w:t>第二部分</w:t>
      </w:r>
      <w:r>
        <w:rPr>
          <w:rFonts w:hint="eastAsia" w:ascii="宋体" w:hAnsi="宋体" w:eastAsia="宋体" w:cs="宋体"/>
          <w:b/>
          <w:bCs/>
          <w:sz w:val="32"/>
          <w:szCs w:val="32"/>
          <w:highlight w:val="none"/>
          <w:lang w:val="en-US" w:eastAsia="zh-CN"/>
        </w:rPr>
        <w:t xml:space="preserve"> 收支情况</w:t>
      </w:r>
    </w:p>
    <w:p>
      <w:pPr>
        <w:rPr>
          <w:rFonts w:hint="eastAsia" w:ascii="宋体" w:hAnsi="宋体" w:eastAsia="宋体" w:cs="宋体"/>
          <w:sz w:val="32"/>
          <w:szCs w:val="32"/>
          <w:highlight w:val="none"/>
        </w:rPr>
      </w:pPr>
      <w:r>
        <w:rPr>
          <w:rFonts w:hint="eastAsia" w:ascii="宋体" w:hAnsi="宋体" w:eastAsia="宋体" w:cs="宋体"/>
          <w:sz w:val="32"/>
          <w:szCs w:val="32"/>
          <w:highlight w:val="none"/>
          <w:lang w:eastAsia="zh-CN"/>
        </w:rPr>
        <w:t>四、</w:t>
      </w:r>
      <w:r>
        <w:rPr>
          <w:rFonts w:hint="eastAsia" w:ascii="宋体" w:hAnsi="宋体" w:eastAsia="宋体" w:cs="宋体"/>
          <w:sz w:val="32"/>
          <w:szCs w:val="32"/>
          <w:highlight w:val="none"/>
        </w:rPr>
        <w:t>收支说明</w:t>
      </w:r>
    </w:p>
    <w:p>
      <w:pPr>
        <w:rPr>
          <w:rFonts w:hint="eastAsia" w:ascii="宋体" w:hAnsi="宋体" w:eastAsia="宋体" w:cs="宋体"/>
          <w:sz w:val="32"/>
          <w:szCs w:val="32"/>
          <w:highlight w:val="none"/>
          <w:lang w:val="en-US" w:eastAsia="zh-CN"/>
        </w:rPr>
      </w:pPr>
      <w:r>
        <w:rPr>
          <w:rFonts w:hint="eastAsia" w:ascii="宋体" w:hAnsi="宋体" w:eastAsia="宋体" w:cs="宋体"/>
          <w:b/>
          <w:bCs/>
          <w:sz w:val="32"/>
          <w:szCs w:val="32"/>
          <w:highlight w:val="none"/>
          <w:lang w:eastAsia="zh-CN"/>
        </w:rPr>
        <w:t>第三部分</w:t>
      </w:r>
      <w:r>
        <w:rPr>
          <w:rFonts w:hint="eastAsia" w:ascii="宋体" w:hAnsi="宋体" w:eastAsia="宋体" w:cs="宋体"/>
          <w:b/>
          <w:bCs/>
          <w:sz w:val="32"/>
          <w:szCs w:val="32"/>
          <w:highlight w:val="none"/>
          <w:lang w:val="en-US" w:eastAsia="zh-CN"/>
        </w:rPr>
        <w:t xml:space="preserve">  其他情况</w:t>
      </w:r>
    </w:p>
    <w:p>
      <w:pPr>
        <w:rPr>
          <w:rFonts w:hint="eastAsia" w:ascii="宋体" w:hAnsi="宋体" w:eastAsia="宋体" w:cs="宋体"/>
          <w:sz w:val="32"/>
          <w:szCs w:val="32"/>
          <w:highlight w:val="none"/>
          <w:u w:val="single"/>
          <w:lang w:eastAsia="zh-CN"/>
        </w:rPr>
      </w:pPr>
      <w:r>
        <w:rPr>
          <w:rFonts w:hint="eastAsia" w:ascii="宋体" w:hAnsi="宋体" w:eastAsia="宋体" w:cs="宋体"/>
          <w:sz w:val="32"/>
          <w:szCs w:val="32"/>
          <w:highlight w:val="none"/>
          <w:lang w:eastAsia="zh-CN"/>
        </w:rPr>
        <w:t>五</w:t>
      </w:r>
      <w:r>
        <w:rPr>
          <w:rFonts w:hint="eastAsia" w:ascii="宋体" w:hAnsi="宋体" w:eastAsia="宋体" w:cs="宋体"/>
          <w:sz w:val="32"/>
          <w:szCs w:val="32"/>
          <w:highlight w:val="none"/>
        </w:rPr>
        <w:t>、</w:t>
      </w:r>
      <w:r>
        <w:rPr>
          <w:rFonts w:hint="eastAsia" w:ascii="宋体" w:hAnsi="宋体" w:eastAsia="宋体" w:cs="宋体"/>
          <w:sz w:val="32"/>
          <w:szCs w:val="32"/>
          <w:highlight w:val="none"/>
          <w:u w:val="none"/>
          <w:lang w:eastAsia="zh-CN"/>
        </w:rPr>
        <w:t>“三公”经费及会议费、培训费情况说明</w:t>
      </w:r>
    </w:p>
    <w:p>
      <w:pPr>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lang w:eastAsia="zh-CN"/>
        </w:rPr>
        <w:t>六</w:t>
      </w:r>
      <w:r>
        <w:rPr>
          <w:rFonts w:hint="eastAsia" w:ascii="宋体" w:hAnsi="宋体" w:eastAsia="宋体" w:cs="宋体"/>
          <w:sz w:val="32"/>
          <w:szCs w:val="32"/>
          <w:highlight w:val="none"/>
        </w:rPr>
        <w:t>、国有资产占有使用</w:t>
      </w:r>
      <w:r>
        <w:rPr>
          <w:rFonts w:hint="eastAsia" w:ascii="宋体" w:hAnsi="宋体" w:eastAsia="宋体" w:cs="宋体"/>
          <w:sz w:val="32"/>
          <w:szCs w:val="32"/>
          <w:highlight w:val="none"/>
          <w:lang w:eastAsia="zh-CN"/>
        </w:rPr>
        <w:t>及资产购置</w:t>
      </w:r>
      <w:r>
        <w:rPr>
          <w:rFonts w:hint="eastAsia" w:ascii="宋体" w:hAnsi="宋体" w:eastAsia="宋体" w:cs="宋体"/>
          <w:sz w:val="32"/>
          <w:szCs w:val="32"/>
          <w:highlight w:val="none"/>
        </w:rPr>
        <w:t>情况说明</w:t>
      </w:r>
    </w:p>
    <w:p>
      <w:pPr>
        <w:rPr>
          <w:rFonts w:hint="eastAsia" w:ascii="宋体" w:hAnsi="宋体" w:eastAsia="宋体" w:cs="宋体"/>
          <w:sz w:val="32"/>
          <w:szCs w:val="32"/>
          <w:highlight w:val="none"/>
        </w:rPr>
      </w:pPr>
      <w:r>
        <w:rPr>
          <w:rFonts w:hint="eastAsia" w:ascii="宋体" w:hAnsi="宋体" w:eastAsia="宋体" w:cs="宋体"/>
          <w:sz w:val="32"/>
          <w:szCs w:val="32"/>
          <w:highlight w:val="none"/>
          <w:lang w:eastAsia="zh-CN"/>
        </w:rPr>
        <w:t>七、政府采购</w:t>
      </w:r>
      <w:r>
        <w:rPr>
          <w:rFonts w:hint="eastAsia" w:ascii="宋体" w:hAnsi="宋体" w:eastAsia="宋体" w:cs="宋体"/>
          <w:sz w:val="32"/>
          <w:szCs w:val="32"/>
          <w:highlight w:val="none"/>
        </w:rPr>
        <w:t>情况说明</w:t>
      </w:r>
    </w:p>
    <w:p>
      <w:pPr>
        <w:rPr>
          <w:rFonts w:hint="eastAsia" w:ascii="宋体" w:hAnsi="宋体" w:eastAsia="宋体" w:cs="宋体"/>
          <w:sz w:val="32"/>
          <w:szCs w:val="32"/>
          <w:highlight w:val="none"/>
        </w:rPr>
      </w:pPr>
      <w:r>
        <w:rPr>
          <w:rFonts w:hint="eastAsia" w:ascii="宋体" w:hAnsi="宋体" w:eastAsia="宋体" w:cs="宋体"/>
          <w:sz w:val="32"/>
          <w:szCs w:val="32"/>
          <w:highlight w:val="none"/>
          <w:lang w:eastAsia="zh-CN"/>
        </w:rPr>
        <w:t>八、</w:t>
      </w:r>
      <w:r>
        <w:rPr>
          <w:rFonts w:hint="eastAsia" w:ascii="宋体" w:hAnsi="宋体" w:eastAsia="宋体" w:cs="宋体"/>
          <w:sz w:val="32"/>
          <w:szCs w:val="32"/>
          <w:highlight w:val="none"/>
        </w:rPr>
        <w:t>绩效目标说明</w:t>
      </w:r>
    </w:p>
    <w:p>
      <w:pPr>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lang w:eastAsia="zh-CN"/>
        </w:rPr>
        <w:t>九</w:t>
      </w:r>
      <w:r>
        <w:rPr>
          <w:rFonts w:hint="eastAsia" w:ascii="宋体" w:hAnsi="宋体" w:eastAsia="宋体" w:cs="宋体"/>
          <w:sz w:val="32"/>
          <w:szCs w:val="32"/>
          <w:highlight w:val="none"/>
        </w:rPr>
        <w:t>、</w:t>
      </w:r>
      <w:r>
        <w:rPr>
          <w:rFonts w:hint="eastAsia" w:ascii="宋体" w:hAnsi="宋体" w:eastAsia="宋体" w:cs="宋体"/>
          <w:sz w:val="32"/>
          <w:szCs w:val="32"/>
          <w:highlight w:val="none"/>
          <w:lang w:eastAsia="zh-CN"/>
        </w:rPr>
        <w:t>公用经费情况说明</w:t>
      </w:r>
    </w:p>
    <w:p>
      <w:pPr>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lang w:val="en-US" w:eastAsia="zh-CN"/>
        </w:rPr>
        <w:t>十、</w:t>
      </w:r>
      <w:r>
        <w:rPr>
          <w:rFonts w:hint="eastAsia" w:ascii="宋体" w:hAnsi="宋体" w:eastAsia="宋体" w:cs="宋体"/>
          <w:sz w:val="32"/>
          <w:szCs w:val="32"/>
          <w:highlight w:val="none"/>
          <w:lang w:eastAsia="zh-CN"/>
        </w:rPr>
        <w:t>专业名词解释</w:t>
      </w:r>
    </w:p>
    <w:p>
      <w:pPr>
        <w:jc w:val="both"/>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eastAsia="zh-CN"/>
        </w:rPr>
        <w:t>第四部分</w:t>
      </w:r>
      <w:r>
        <w:rPr>
          <w:rFonts w:hint="eastAsia" w:ascii="宋体" w:hAnsi="宋体" w:eastAsia="宋体" w:cs="宋体"/>
          <w:b/>
          <w:bCs/>
          <w:sz w:val="32"/>
          <w:szCs w:val="32"/>
          <w:highlight w:val="none"/>
          <w:lang w:val="en-US" w:eastAsia="zh-CN"/>
        </w:rPr>
        <w:t xml:space="preserve">  公开报表</w:t>
      </w:r>
    </w:p>
    <w:p>
      <w:pPr>
        <w:jc w:val="both"/>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lang w:eastAsia="zh-CN"/>
        </w:rPr>
        <w:t>（具体预算公开报表）</w:t>
      </w:r>
    </w:p>
    <w:p>
      <w:pPr>
        <w:jc w:val="both"/>
        <w:rPr>
          <w:rFonts w:hint="eastAsia" w:ascii="宋体" w:hAnsi="宋体" w:eastAsia="宋体" w:cs="宋体"/>
          <w:sz w:val="32"/>
          <w:szCs w:val="32"/>
          <w:highlight w:val="none"/>
          <w:lang w:eastAsia="zh-CN"/>
        </w:rPr>
      </w:pPr>
    </w:p>
    <w:p>
      <w:pPr>
        <w:rPr>
          <w:rFonts w:hint="eastAsia" w:ascii="宋体" w:hAnsi="宋体" w:eastAsia="宋体" w:cs="宋体"/>
          <w:b/>
          <w:bCs/>
          <w:sz w:val="32"/>
          <w:szCs w:val="32"/>
          <w:highlight w:val="none"/>
          <w:lang w:eastAsia="zh-CN"/>
        </w:rPr>
      </w:pPr>
      <w:r>
        <w:rPr>
          <w:rFonts w:hint="eastAsia" w:ascii="宋体" w:hAnsi="宋体" w:eastAsia="宋体" w:cs="宋体"/>
          <w:b/>
          <w:bCs/>
          <w:sz w:val="32"/>
          <w:szCs w:val="32"/>
          <w:highlight w:val="none"/>
          <w:lang w:eastAsia="zh-CN"/>
        </w:rPr>
        <w:br w:type="page"/>
      </w:r>
    </w:p>
    <w:p>
      <w:pPr>
        <w:jc w:val="center"/>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eastAsia="zh-CN"/>
        </w:rPr>
        <w:t>第一部分</w:t>
      </w:r>
      <w:r>
        <w:rPr>
          <w:rFonts w:hint="eastAsia" w:ascii="宋体" w:hAnsi="宋体" w:eastAsia="宋体" w:cs="宋体"/>
          <w:b/>
          <w:bCs/>
          <w:sz w:val="32"/>
          <w:szCs w:val="32"/>
          <w:highlight w:val="none"/>
          <w:lang w:val="en-US" w:eastAsia="zh-CN"/>
        </w:rPr>
        <w:t xml:space="preserve">  单位概况</w:t>
      </w:r>
    </w:p>
    <w:p>
      <w:pPr>
        <w:rPr>
          <w:rFonts w:hint="eastAsia"/>
          <w:highlight w:val="none"/>
        </w:rPr>
      </w:pPr>
      <w:r>
        <w:rPr>
          <w:rFonts w:hint="eastAsia"/>
          <w:highlight w:val="none"/>
        </w:rPr>
        <w:tab/>
      </w:r>
      <w:r>
        <w:rPr>
          <w:rFonts w:hint="eastAsia"/>
          <w:highlight w:val="none"/>
        </w:rPr>
        <w:tab/>
      </w:r>
      <w:r>
        <w:rPr>
          <w:rFonts w:hint="eastAsia"/>
          <w:highlight w:val="none"/>
        </w:rPr>
        <w:tab/>
      </w:r>
      <w:r>
        <w:rPr>
          <w:rFonts w:hint="eastAsia"/>
          <w:highlight w:val="none"/>
        </w:rPr>
        <w:tab/>
      </w:r>
      <w:r>
        <w:rPr>
          <w:rFonts w:hint="eastAsia"/>
          <w:highlight w:val="none"/>
        </w:rPr>
        <w:tab/>
      </w:r>
      <w:r>
        <w:rPr>
          <w:rFonts w:hint="eastAsia"/>
          <w:highlight w:val="none"/>
        </w:rPr>
        <w:tab/>
      </w:r>
      <w:r>
        <w:rPr>
          <w:rFonts w:hint="eastAsia"/>
          <w:highlight w:val="none"/>
        </w:rPr>
        <w:tab/>
      </w:r>
      <w:r>
        <w:rPr>
          <w:rFonts w:hint="eastAsia"/>
          <w:highlight w:val="none"/>
        </w:rPr>
        <w:tab/>
      </w:r>
      <w:r>
        <w:rPr>
          <w:rFonts w:hint="eastAsia"/>
          <w:highlight w:val="none"/>
        </w:rPr>
        <w:tab/>
      </w:r>
    </w:p>
    <w:p>
      <w:pPr>
        <w:ind w:firstLine="640"/>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一、主要职责</w:t>
      </w:r>
      <w:r>
        <w:rPr>
          <w:rFonts w:hint="eastAsia" w:ascii="仿宋_GB2312" w:hAnsi="仿宋_GB2312" w:eastAsia="仿宋_GB2312" w:cs="仿宋_GB2312"/>
          <w:b/>
          <w:bCs/>
          <w:sz w:val="32"/>
          <w:szCs w:val="32"/>
          <w:highlight w:val="none"/>
          <w:lang w:eastAsia="zh-CN"/>
        </w:rPr>
        <w:t>及机构设置</w:t>
      </w:r>
    </w:p>
    <w:p>
      <w:pPr>
        <w:spacing w:line="360" w:lineRule="auto"/>
        <w:ind w:left="105" w:leftChars="50" w:firstLine="643" w:firstLineChars="200"/>
        <w:jc w:val="left"/>
        <w:rPr>
          <w:rFonts w:ascii="楷体_GB2312" w:eastAsia="楷体_GB2312" w:hAnsiTheme="minorEastAsia" w:cstheme="minorEastAsia"/>
          <w:b/>
          <w:sz w:val="32"/>
          <w:szCs w:val="32"/>
        </w:rPr>
      </w:pPr>
      <w:r>
        <w:rPr>
          <w:rFonts w:hint="eastAsia" w:ascii="楷体_GB2312" w:eastAsia="楷体_GB2312" w:hAnsiTheme="minorEastAsia" w:cstheme="minorEastAsia"/>
          <w:b/>
          <w:sz w:val="32"/>
          <w:szCs w:val="32"/>
        </w:rPr>
        <w:t>（一）机构设置</w:t>
      </w:r>
    </w:p>
    <w:p>
      <w:pPr>
        <w:widowControl/>
        <w:spacing w:line="540" w:lineRule="exact"/>
        <w:ind w:firstLine="640" w:firstLineChars="200"/>
        <w:rPr>
          <w:rFonts w:ascii="黑体" w:hAnsi="黑体" w:eastAsia="黑体"/>
          <w:kern w:val="0"/>
          <w:sz w:val="32"/>
          <w:szCs w:val="32"/>
        </w:rPr>
      </w:pPr>
      <w:r>
        <w:rPr>
          <w:rFonts w:hint="eastAsia" w:ascii="仿宋_GB2312" w:eastAsia="仿宋_GB2312"/>
          <w:sz w:val="32"/>
          <w:szCs w:val="32"/>
        </w:rPr>
        <w:t>商洛市社会救助中心隶属于市民政局下属的副县级事业单位，内设城乡低保科、社会救助科、信息核对科三个科室。</w:t>
      </w:r>
    </w:p>
    <w:p>
      <w:pPr>
        <w:spacing w:line="360" w:lineRule="auto"/>
        <w:ind w:left="105" w:leftChars="50" w:firstLine="643" w:firstLineChars="200"/>
        <w:jc w:val="left"/>
        <w:rPr>
          <w:rFonts w:ascii="楷体_GB2312" w:eastAsia="楷体_GB2312" w:hAnsiTheme="minorEastAsia" w:cstheme="minorEastAsia"/>
          <w:b/>
          <w:bCs/>
          <w:sz w:val="32"/>
          <w:szCs w:val="32"/>
        </w:rPr>
      </w:pPr>
      <w:r>
        <w:rPr>
          <w:rFonts w:hint="eastAsia" w:ascii="楷体_GB2312" w:eastAsia="楷体_GB2312" w:hAnsiTheme="minorEastAsia" w:cstheme="minorEastAsia"/>
          <w:b/>
          <w:bCs/>
          <w:sz w:val="32"/>
          <w:szCs w:val="32"/>
        </w:rPr>
        <w:t>（二）主要职责</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1、负责城乡居民最低生活保障、特困人员救助供养、临时救助工作。按照上级有关要求，结合本地实际，编制城乡低保、特困人员救助供养、临时救助工作计划并组织落实。</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2、会同有关部门拟定城乡低保、特困人员救助供养、临时救助标准，并负责标准的调整和上报备案工作。</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3、负责预算城乡低保、特困人员救助供养、临时救助的资金需求计划，负责资金的发放和监管。</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4、负责宣传、贯彻、执行国家、省、市关于社会救助工作的各项法律、规章、制度和文件精神，常年公示社会救助咨询举报方式，主动接受社会监督。</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5、落实救助申请家庭经济状况核对机制，负责对救助对象收入和财产情况进行信息比对调查核实，及时掌握其家庭动态信息。</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6、负责接待、受理来信来访和群众咨询举报，配合有关部门查处社会救助工作中的违规违纪行为。</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7、按要求负责收集有关社会救助工作数据统计汇总、向相关部门、省厅报送报表和相关材料的整理归档。</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8、指导、督促、检查 各县区的社会救助工作。</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9、开展调查研究，及时解决和向上级反映工作中存在的问题。</w:t>
      </w:r>
    </w:p>
    <w:p>
      <w:pPr>
        <w:spacing w:line="52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rPr>
        <w:t>10、完成上级交办的其它工作。</w:t>
      </w:r>
    </w:p>
    <w:p>
      <w:pPr>
        <w:ind w:firstLine="640"/>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二、工作任务</w:t>
      </w:r>
    </w:p>
    <w:p>
      <w:pPr>
        <w:ind w:firstLine="643" w:firstLineChars="200"/>
        <w:rPr>
          <w:rFonts w:hint="eastAsia" w:ascii="仿宋_GB2312" w:hAnsi="仿宋_GB2312" w:eastAsia="仿宋_GB2312" w:cs="仿宋_GB2312"/>
          <w:sz w:val="32"/>
          <w:szCs w:val="32"/>
        </w:rPr>
      </w:pPr>
      <w:r>
        <w:rPr>
          <w:rFonts w:hint="eastAsia" w:ascii="楷体" w:hAnsi="楷体" w:eastAsia="楷体" w:cs="楷体"/>
          <w:b/>
          <w:bCs/>
          <w:sz w:val="32"/>
          <w:szCs w:val="32"/>
        </w:rPr>
        <w:t>（一）完善社会救助制度。</w:t>
      </w:r>
      <w:r>
        <w:rPr>
          <w:rFonts w:hint="eastAsia" w:ascii="仿宋_GB2312" w:hAnsi="仿宋" w:eastAsia="仿宋_GB2312"/>
          <w:sz w:val="32"/>
          <w:szCs w:val="32"/>
        </w:rPr>
        <w:t>加强最低生活保障对象认定规范化管理，确保应保尽保、按标施保</w:t>
      </w:r>
      <w:r>
        <w:rPr>
          <w:rFonts w:hint="eastAsia" w:ascii="仿宋_GB2312" w:hAnsi="仿宋" w:eastAsia="仿宋_GB2312"/>
          <w:sz w:val="32"/>
          <w:szCs w:val="32"/>
          <w:lang w:eastAsia="zh-CN"/>
        </w:rPr>
        <w:t>，促进</w:t>
      </w:r>
      <w:r>
        <w:rPr>
          <w:rFonts w:hint="eastAsia" w:ascii="仿宋_GB2312" w:hAnsi="仿宋" w:eastAsia="仿宋_GB2312"/>
          <w:sz w:val="32"/>
          <w:szCs w:val="32"/>
        </w:rPr>
        <w:t>城乡低保提质增效。抓紧做好</w:t>
      </w:r>
      <w:r>
        <w:rPr>
          <w:rFonts w:hint="eastAsia" w:ascii="仿宋_GB2312" w:hAnsi="仿宋" w:eastAsia="仿宋_GB2312"/>
          <w:sz w:val="32"/>
          <w:szCs w:val="32"/>
          <w:lang w:eastAsia="zh-CN"/>
        </w:rPr>
        <w:t>最低生活保障</w:t>
      </w:r>
      <w:r>
        <w:rPr>
          <w:rFonts w:hint="eastAsia" w:ascii="仿宋_GB2312" w:hAnsi="仿宋" w:eastAsia="仿宋_GB2312"/>
          <w:sz w:val="32"/>
          <w:szCs w:val="32"/>
        </w:rPr>
        <w:t>提标工作，确保保障金按时足额发放。用好刚</w:t>
      </w:r>
      <w:r>
        <w:rPr>
          <w:rFonts w:hint="eastAsia" w:ascii="仿宋_GB2312" w:hAnsi="仿宋_GB2312" w:eastAsia="仿宋_GB2312" w:cs="仿宋_GB2312"/>
          <w:sz w:val="32"/>
          <w:szCs w:val="32"/>
        </w:rPr>
        <w:t>性支出和“重病重残单人户”等低保政策，将符合条件的全部纳入救助帮扶范围，不符合条件的及时退出，做到应保尽保、应退尽退。</w:t>
      </w:r>
      <w:r>
        <w:rPr>
          <w:rFonts w:hint="eastAsia" w:ascii="仿宋_GB2312" w:hAnsi="仿宋" w:eastAsia="仿宋_GB2312"/>
          <w:sz w:val="32"/>
          <w:szCs w:val="32"/>
          <w:lang w:eastAsia="zh-CN"/>
        </w:rPr>
        <w:t>强化</w:t>
      </w:r>
      <w:r>
        <w:rPr>
          <w:rFonts w:hint="eastAsia" w:ascii="仿宋_GB2312" w:hAnsi="仿宋" w:eastAsia="仿宋_GB2312"/>
          <w:sz w:val="32"/>
          <w:szCs w:val="32"/>
        </w:rPr>
        <w:t>分散供养特困人员照料护理服务质量提升</w:t>
      </w:r>
      <w:r>
        <w:rPr>
          <w:rFonts w:hint="eastAsia" w:ascii="仿宋_GB2312" w:hAnsi="仿宋" w:eastAsia="仿宋_GB2312"/>
          <w:sz w:val="32"/>
          <w:szCs w:val="32"/>
          <w:lang w:eastAsia="zh-CN"/>
        </w:rPr>
        <w:t>，</w:t>
      </w:r>
      <w:r>
        <w:rPr>
          <w:rFonts w:hint="eastAsia" w:ascii="仿宋_GB2312" w:hAnsi="仿宋" w:eastAsia="仿宋_GB2312"/>
          <w:sz w:val="32"/>
          <w:szCs w:val="32"/>
        </w:rPr>
        <w:t>建立照料护理人信息台账</w:t>
      </w:r>
      <w:r>
        <w:rPr>
          <w:rFonts w:hint="eastAsia" w:ascii="仿宋_GB2312" w:hAnsi="仿宋" w:eastAsia="仿宋_GB2312"/>
          <w:sz w:val="32"/>
          <w:szCs w:val="32"/>
          <w:lang w:eastAsia="zh-CN"/>
        </w:rPr>
        <w:t>，</w:t>
      </w:r>
      <w:r>
        <w:rPr>
          <w:rFonts w:hint="eastAsia" w:ascii="仿宋_GB2312" w:hAnsi="仿宋" w:eastAsia="仿宋_GB2312"/>
          <w:sz w:val="32"/>
          <w:szCs w:val="32"/>
        </w:rPr>
        <w:t>健全完善委托照料服务评价考核体系</w:t>
      </w:r>
      <w:r>
        <w:rPr>
          <w:rFonts w:hint="eastAsia" w:ascii="仿宋_GB2312" w:hAnsi="仿宋" w:eastAsia="仿宋_GB2312"/>
          <w:sz w:val="32"/>
          <w:szCs w:val="32"/>
          <w:lang w:eastAsia="zh-CN"/>
        </w:rPr>
        <w:t>，</w:t>
      </w:r>
      <w:r>
        <w:rPr>
          <w:rFonts w:hint="eastAsia" w:ascii="仿宋_GB2312" w:hAnsi="仿宋" w:eastAsia="仿宋_GB2312"/>
          <w:sz w:val="32"/>
          <w:szCs w:val="32"/>
        </w:rPr>
        <w:t>督促镇(办)建立健全探访工作督查考核和绩效评价机制，层层压实责任，确保</w:t>
      </w:r>
      <w:r>
        <w:rPr>
          <w:rFonts w:hint="eastAsia" w:ascii="仿宋_GB2312" w:hAnsi="仿宋" w:eastAsia="仿宋_GB2312"/>
          <w:sz w:val="32"/>
          <w:szCs w:val="32"/>
          <w:lang w:eastAsia="zh-CN"/>
        </w:rPr>
        <w:t>照料服务工作</w:t>
      </w:r>
      <w:r>
        <w:rPr>
          <w:rFonts w:hint="eastAsia" w:ascii="仿宋_GB2312" w:hAnsi="仿宋" w:eastAsia="仿宋_GB2312"/>
          <w:sz w:val="32"/>
          <w:szCs w:val="32"/>
        </w:rPr>
        <w:t>落到实处。出台《商洛市临时救助实施细则》，细化生活必须支出范围和财产状况认定标准，规范镇(办</w:t>
      </w:r>
      <w:r>
        <w:rPr>
          <w:rFonts w:hint="eastAsia" w:ascii="仿宋_GB2312" w:hAnsi="仿宋_GB2312" w:eastAsia="仿宋_GB2312" w:cs="仿宋_GB2312"/>
          <w:sz w:val="32"/>
          <w:szCs w:val="32"/>
        </w:rPr>
        <w:t>)临时救助储备金制度，加大对镇办临时救助储备金使用情况的监管力度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切实提高临时救助应急性和时效性。加强信息核对平台建设，提升信息核对工作效能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做好现有共享数据的及时更新并积极对接相关部门拓展共享数据资源</w:t>
      </w:r>
      <w:r>
        <w:rPr>
          <w:rFonts w:hint="eastAsia" w:ascii="仿宋_GB2312" w:hAnsi="仿宋_GB2312" w:eastAsia="仿宋_GB2312" w:cs="仿宋_GB2312"/>
          <w:sz w:val="32"/>
          <w:szCs w:val="32"/>
          <w:lang w:eastAsia="zh-CN"/>
        </w:rPr>
        <w:t>，不断</w:t>
      </w:r>
      <w:r>
        <w:rPr>
          <w:rFonts w:hint="eastAsia" w:ascii="仿宋_GB2312" w:hAnsi="仿宋_GB2312" w:eastAsia="仿宋_GB2312" w:cs="仿宋_GB2312"/>
          <w:sz w:val="32"/>
          <w:szCs w:val="32"/>
        </w:rPr>
        <w:t>健全</w:t>
      </w:r>
      <w:r>
        <w:rPr>
          <w:rFonts w:hint="eastAsia" w:ascii="仿宋_GB2312" w:hAnsi="仿宋_GB2312" w:eastAsia="仿宋_GB2312" w:cs="仿宋_GB2312"/>
          <w:sz w:val="32"/>
          <w:szCs w:val="32"/>
          <w:lang w:eastAsia="zh-CN"/>
        </w:rPr>
        <w:t>完善</w:t>
      </w:r>
      <w:r>
        <w:rPr>
          <w:rFonts w:hint="eastAsia" w:ascii="仿宋_GB2312" w:hAnsi="仿宋_GB2312" w:eastAsia="仿宋_GB2312" w:cs="仿宋_GB2312"/>
          <w:sz w:val="32"/>
          <w:szCs w:val="32"/>
        </w:rPr>
        <w:t>信息核对机制。</w:t>
      </w:r>
    </w:p>
    <w:p>
      <w:pPr>
        <w:spacing w:line="560" w:lineRule="exact"/>
        <w:ind w:firstLine="643" w:firstLineChars="200"/>
        <w:rPr>
          <w:rFonts w:hint="eastAsia" w:ascii="仿宋_GB2312" w:hAnsi="仿宋_GB2312" w:eastAsia="仿宋_GB2312" w:cs="仿宋_GB2312"/>
          <w:sz w:val="32"/>
          <w:szCs w:val="32"/>
        </w:rPr>
      </w:pPr>
      <w:r>
        <w:rPr>
          <w:rFonts w:hint="eastAsia" w:ascii="楷体" w:hAnsi="楷体" w:eastAsia="楷体" w:cs="楷体"/>
          <w:b/>
          <w:bCs/>
          <w:sz w:val="32"/>
          <w:szCs w:val="32"/>
        </w:rPr>
        <w:t>（二）加强低收入人口动态监测和常态化救助帮扶。</w:t>
      </w:r>
      <w:r>
        <w:rPr>
          <w:rFonts w:hint="eastAsia" w:ascii="仿宋_GB2312" w:hAnsi="仿宋_GB2312" w:eastAsia="仿宋_GB2312" w:cs="仿宋_GB2312"/>
          <w:sz w:val="32"/>
          <w:szCs w:val="32"/>
        </w:rPr>
        <w:t>依托商洛市低收入人口动态监测预警平台功能，开展常态化筛查存在风险的低收入人口，每月月底上报预警监测台账。指导各县区定期开展数据比对，分类管理、建立台账、限时核查,及时将脱贫人口中完全丧失劳动能力或部分丧失劳动能力、且无法通过产业就业获得稳定收入的人口，按规定纳入低保、特困人员救助供养等救助保障范围，按时足额发放各类救助保障金。对已脱贫户、脱贫监测户、边缘易致贫户、突发严重困难户开展常态化摸排核查，建立排查工作台账，将日常走访摸底、常态风险排查与定期集中摸排相结合，推动走访摸排常态化，坚决守住不发生规模性返贫底线。</w:t>
      </w:r>
    </w:p>
    <w:p>
      <w:pPr>
        <w:ind w:firstLine="643" w:firstLineChars="200"/>
        <w:rPr>
          <w:rFonts w:hint="eastAsia" w:ascii="仿宋_GB2312" w:hAnsi="仿宋_GB2312" w:eastAsia="仿宋_GB2312" w:cs="仿宋_GB2312"/>
          <w:sz w:val="32"/>
          <w:szCs w:val="32"/>
        </w:rPr>
      </w:pPr>
      <w:r>
        <w:rPr>
          <w:rFonts w:hint="eastAsia" w:ascii="楷体" w:hAnsi="楷体" w:eastAsia="楷体" w:cs="楷体"/>
          <w:b/>
          <w:bCs/>
          <w:sz w:val="32"/>
          <w:szCs w:val="32"/>
        </w:rPr>
        <w:t>（三）提高社会救助服务效能。</w:t>
      </w:r>
      <w:r>
        <w:rPr>
          <w:rFonts w:hint="eastAsia" w:ascii="仿宋_GB2312" w:hAnsi="仿宋_GB2312" w:eastAsia="仿宋_GB2312" w:cs="仿宋_GB2312"/>
          <w:sz w:val="32"/>
          <w:szCs w:val="32"/>
          <w:lang w:val="en-US"/>
        </w:rPr>
        <w:t>推动“物质+服务”社会救助方式</w:t>
      </w:r>
      <w:r>
        <w:rPr>
          <w:rFonts w:hint="eastAsia" w:ascii="仿宋_GB2312" w:hAnsi="仿宋_GB2312" w:eastAsia="仿宋_GB2312" w:cs="仿宋_GB2312"/>
          <w:sz w:val="32"/>
          <w:szCs w:val="32"/>
          <w:lang w:val="en-US" w:eastAsia="zh-CN"/>
        </w:rPr>
        <w:t>，对接困难群众多样化救助需求，更好保障困难群众基本权益，实现精准救助、温暖救助、高效救助、智慧救助。</w:t>
      </w:r>
      <w:r>
        <w:rPr>
          <w:rFonts w:hint="eastAsia" w:ascii="仿宋_GB2312" w:hAnsi="仿宋_GB2312" w:eastAsia="仿宋_GB2312" w:cs="仿宋_GB2312"/>
          <w:sz w:val="32"/>
          <w:szCs w:val="32"/>
        </w:rPr>
        <w:t>健全完善主动发现机制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印发《商洛市健全完善社会救助主动发现机制十条措施》，发挥主动发现机制作用，依靠村级急难问题快速响应服务队，摸清困难群众基本生活状况，对存在生活困难问题的对象，逐户逐人制定帮扶措施，帮助解决急难问题，确保社会救助兜住底、兜准底、兜好底。时时关注“e救助”网上申请县镇是否及时进行受理、审核和审批，是否快速回应困难群众救助需求。</w:t>
      </w:r>
    </w:p>
    <w:p>
      <w:pPr>
        <w:ind w:firstLine="643" w:firstLineChars="200"/>
        <w:rPr>
          <w:rFonts w:hint="eastAsia" w:ascii="仿宋_GB2312" w:hAnsi="仿宋_GB2312" w:eastAsia="仿宋_GB2312" w:cs="仿宋_GB2312"/>
          <w:sz w:val="32"/>
          <w:szCs w:val="32"/>
          <w:lang w:eastAsia="zh-CN"/>
        </w:rPr>
      </w:pPr>
      <w:r>
        <w:rPr>
          <w:rFonts w:hint="eastAsia" w:ascii="楷体" w:hAnsi="楷体" w:eastAsia="楷体" w:cs="楷体"/>
          <w:b/>
          <w:bCs/>
          <w:sz w:val="32"/>
          <w:szCs w:val="32"/>
        </w:rPr>
        <w:t>（四）完善社会救助监督检查长效机制。</w:t>
      </w:r>
      <w:r>
        <w:rPr>
          <w:rFonts w:hint="eastAsia" w:ascii="仿宋_GB2312" w:hAnsi="仿宋" w:eastAsia="仿宋_GB2312"/>
          <w:sz w:val="32"/>
          <w:szCs w:val="32"/>
        </w:rPr>
        <w:t>按照</w:t>
      </w:r>
      <w:r>
        <w:rPr>
          <w:rFonts w:hint="eastAsia" w:ascii="仿宋_GB2312" w:hAnsi="仿宋_GB2312" w:eastAsia="仿宋_GB2312" w:cs="仿宋_GB2312"/>
          <w:sz w:val="32"/>
          <w:szCs w:val="32"/>
        </w:rPr>
        <w:t>《社会救助领域群众身边腐败和作风问题综合治理工作行动方案要求（2022-2025年），</w:t>
      </w:r>
      <w:r>
        <w:rPr>
          <w:rFonts w:hint="eastAsia" w:ascii="仿宋_GB2312" w:hAnsi="仿宋" w:eastAsia="仿宋_GB2312"/>
          <w:sz w:val="32"/>
          <w:szCs w:val="32"/>
        </w:rPr>
        <w:t>持续</w:t>
      </w:r>
      <w:r>
        <w:rPr>
          <w:rFonts w:hint="eastAsia" w:ascii="仿宋_GB2312" w:hAnsi="仿宋_GB2312" w:eastAsia="仿宋_GB2312" w:cs="仿宋_GB2312"/>
          <w:sz w:val="32"/>
          <w:szCs w:val="32"/>
        </w:rPr>
        <w:t>开展社会救助领域群众身边腐败和作风问题综合治理工作，不断强化措施，全力推进，积极维护困难群众切身利益，不断巩固提升困难群众救助保障服务水平。及时梳理查找纠正救助政策落实不到位问题，加大问题线索查处力度，强化资金监管和专项整治整改落实，严防形式主义、官僚主义。</w:t>
      </w:r>
      <w:r>
        <w:rPr>
          <w:rFonts w:hint="eastAsia" w:ascii="仿宋_GB2312" w:hAnsi="仿宋_GB2312" w:eastAsia="仿宋_GB2312" w:cs="仿宋_GB2312"/>
          <w:sz w:val="32"/>
          <w:szCs w:val="32"/>
          <w:lang w:eastAsia="zh-CN"/>
        </w:rPr>
        <w:t>对</w:t>
      </w:r>
      <w:r>
        <w:rPr>
          <w:rFonts w:hint="eastAsia" w:ascii="仿宋_GB2312" w:hAnsi="仿宋_GB2312" w:eastAsia="仿宋_GB2312" w:cs="仿宋_GB2312"/>
          <w:sz w:val="32"/>
          <w:szCs w:val="32"/>
        </w:rPr>
        <w:t>审批权限下放后，镇（办）政府审核确认程序是否规范，救助对象认定是否精准，是否落实居住地长期公示、政府网站公示，公示方式、内容是否科学合理</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不定期</w:t>
      </w:r>
      <w:r>
        <w:rPr>
          <w:rFonts w:hint="eastAsia" w:ascii="仿宋_GB2312" w:hAnsi="仿宋_GB2312" w:eastAsia="仿宋_GB2312" w:cs="仿宋_GB2312"/>
          <w:sz w:val="32"/>
          <w:szCs w:val="32"/>
          <w:lang w:eastAsia="zh-CN"/>
        </w:rPr>
        <w:t>开展督导</w:t>
      </w:r>
      <w:r>
        <w:rPr>
          <w:rFonts w:hint="eastAsia" w:ascii="仿宋_GB2312" w:hAnsi="仿宋_GB2312" w:eastAsia="仿宋_GB2312" w:cs="仿宋_GB2312"/>
          <w:sz w:val="32"/>
          <w:szCs w:val="32"/>
        </w:rPr>
        <w:t>、调研</w:t>
      </w:r>
      <w:r>
        <w:rPr>
          <w:rFonts w:hint="eastAsia" w:ascii="仿宋_GB2312" w:hAnsi="仿宋_GB2312" w:eastAsia="仿宋_GB2312" w:cs="仿宋_GB2312"/>
          <w:sz w:val="32"/>
          <w:szCs w:val="32"/>
          <w:lang w:eastAsia="zh-CN"/>
        </w:rPr>
        <w:t>，确保社会救助各项工作更加规范、救助对象更加精准。</w:t>
      </w:r>
    </w:p>
    <w:p>
      <w:pPr>
        <w:ind w:firstLine="643" w:firstLineChars="200"/>
        <w:rPr>
          <w:rFonts w:hint="default" w:ascii="仿宋_GB2312" w:hAnsi="仿宋_GB2312" w:eastAsia="仿宋_GB2312" w:cs="仿宋_GB2312"/>
          <w:sz w:val="32"/>
          <w:szCs w:val="32"/>
          <w:highlight w:val="none"/>
          <w:lang w:val="en-US" w:eastAsia="zh-CN"/>
        </w:rPr>
      </w:pPr>
      <w:r>
        <w:rPr>
          <w:rFonts w:hint="eastAsia" w:ascii="黑体" w:hAnsi="黑体" w:eastAsia="黑体" w:cs="黑体"/>
          <w:b/>
          <w:bCs/>
          <w:sz w:val="32"/>
          <w:szCs w:val="32"/>
        </w:rPr>
        <w:t>（</w:t>
      </w:r>
      <w:r>
        <w:rPr>
          <w:rFonts w:hint="eastAsia" w:ascii="楷体" w:hAnsi="楷体" w:eastAsia="楷体" w:cs="楷体"/>
          <w:b/>
          <w:bCs/>
          <w:sz w:val="32"/>
          <w:szCs w:val="32"/>
        </w:rPr>
        <w:t>五）加大政策宣传培训力度。</w:t>
      </w:r>
      <w:r>
        <w:rPr>
          <w:rFonts w:hint="eastAsia" w:ascii="仿宋" w:hAnsi="仿宋" w:eastAsia="仿宋" w:cs="仿宋"/>
          <w:sz w:val="32"/>
          <w:szCs w:val="32"/>
          <w:lang w:eastAsia="zh-CN"/>
        </w:rPr>
        <w:t>开展</w:t>
      </w:r>
      <w:r>
        <w:rPr>
          <w:rFonts w:hint="eastAsia" w:ascii="仿宋" w:hAnsi="仿宋" w:eastAsia="仿宋" w:cs="仿宋"/>
          <w:sz w:val="32"/>
          <w:szCs w:val="32"/>
        </w:rPr>
        <w:t>“救助政策进万家”宣讲活动。在两个包扶村进行一次救助政策宣讲</w:t>
      </w:r>
      <w:r>
        <w:rPr>
          <w:rFonts w:hint="eastAsia" w:ascii="仿宋" w:hAnsi="仿宋" w:eastAsia="仿宋" w:cs="仿宋"/>
          <w:sz w:val="32"/>
          <w:szCs w:val="32"/>
          <w:lang w:eastAsia="zh-CN"/>
        </w:rPr>
        <w:t>。加大政策培训力度，</w:t>
      </w:r>
      <w:r>
        <w:rPr>
          <w:rFonts w:hint="eastAsia" w:ascii="仿宋" w:hAnsi="仿宋" w:eastAsia="仿宋" w:cs="仿宋"/>
          <w:sz w:val="32"/>
          <w:szCs w:val="32"/>
        </w:rPr>
        <w:t>对98个镇办的主管民政副镇长、社保站长、社会救助主要业务人员进行一次业务培训</w:t>
      </w:r>
      <w:r>
        <w:rPr>
          <w:rFonts w:hint="eastAsia" w:ascii="仿宋" w:hAnsi="仿宋" w:eastAsia="仿宋" w:cs="仿宋"/>
          <w:sz w:val="32"/>
          <w:szCs w:val="32"/>
          <w:lang w:eastAsia="zh-CN"/>
        </w:rPr>
        <w:t>。</w:t>
      </w:r>
      <w:r>
        <w:rPr>
          <w:rFonts w:hint="eastAsia" w:ascii="仿宋" w:hAnsi="仿宋" w:eastAsia="仿宋" w:cs="仿宋"/>
          <w:sz w:val="32"/>
          <w:szCs w:val="32"/>
        </w:rPr>
        <w:t>印发《商洛市社会救助工作规范操作手册》，加强县、镇、村三级社会救助业务能力。充分利用微信、网站等网络新媒体加大宣传，</w:t>
      </w:r>
      <w:r>
        <w:rPr>
          <w:rFonts w:hint="eastAsia" w:ascii="仿宋" w:hAnsi="仿宋" w:eastAsia="仿宋" w:cs="仿宋_GB2312"/>
          <w:kern w:val="2"/>
          <w:sz w:val="32"/>
          <w:szCs w:val="32"/>
          <w:lang w:bidi="ar"/>
        </w:rPr>
        <w:t>切实增强救助工作实效。</w:t>
      </w:r>
    </w:p>
    <w:p>
      <w:pPr>
        <w:ind w:firstLine="640"/>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eastAsia="zh-CN"/>
        </w:rPr>
        <w:t>三</w:t>
      </w:r>
      <w:r>
        <w:rPr>
          <w:rFonts w:hint="eastAsia" w:ascii="仿宋_GB2312" w:hAnsi="仿宋_GB2312" w:eastAsia="仿宋_GB2312" w:cs="仿宋_GB2312"/>
          <w:b/>
          <w:bCs/>
          <w:sz w:val="32"/>
          <w:szCs w:val="32"/>
          <w:highlight w:val="none"/>
        </w:rPr>
        <w:t>、人员情况说明</w:t>
      </w:r>
    </w:p>
    <w:p>
      <w:pPr>
        <w:ind w:firstLine="64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截止</w:t>
      </w:r>
      <w:r>
        <w:rPr>
          <w:rFonts w:hint="eastAsia" w:ascii="仿宋_GB2312" w:hAnsi="仿宋_GB2312" w:eastAsia="仿宋_GB2312" w:cs="仿宋_GB2312"/>
          <w:sz w:val="32"/>
          <w:szCs w:val="32"/>
          <w:highlight w:val="none"/>
          <w:lang w:val="en-US" w:eastAsia="zh-CN"/>
        </w:rPr>
        <w:t>上年底，</w:t>
      </w:r>
      <w:r>
        <w:rPr>
          <w:rFonts w:hint="eastAsia" w:ascii="仿宋_GB2312" w:hAnsi="仿宋_GB2312" w:eastAsia="仿宋_GB2312" w:cs="仿宋_GB2312"/>
          <w:sz w:val="32"/>
          <w:szCs w:val="32"/>
          <w:highlight w:val="none"/>
          <w:lang w:eastAsia="zh-CN"/>
        </w:rPr>
        <w:t>本单位人员编制</w:t>
      </w:r>
      <w:r>
        <w:rPr>
          <w:rFonts w:hint="eastAsia" w:ascii="仿宋_GB2312" w:hAnsi="仿宋_GB2312" w:eastAsia="仿宋_GB2312" w:cs="仿宋_GB2312"/>
          <w:sz w:val="32"/>
          <w:szCs w:val="32"/>
          <w:highlight w:val="none"/>
          <w:lang w:val="en-US" w:eastAsia="zh-CN"/>
        </w:rPr>
        <w:t>11人，其中事业编制11人；实有人员9人，其中事业9人。单位管理的离退休人员0人。</w:t>
      </w:r>
    </w:p>
    <w:p>
      <w:pPr>
        <w:ind w:firstLine="640"/>
        <w:rPr>
          <w:rFonts w:hint="eastAsia" w:ascii="仿宋_GB2312" w:hAnsi="仿宋_GB2312" w:eastAsia="仿宋_GB2312" w:cs="仿宋_GB2312"/>
          <w:sz w:val="32"/>
          <w:szCs w:val="32"/>
          <w:highlight w:val="none"/>
          <w:lang w:val="en-US" w:eastAsia="zh-CN"/>
        </w:rPr>
      </w:pPr>
      <w:r>
        <w:drawing>
          <wp:inline distT="0" distB="0" distL="114300" distR="114300">
            <wp:extent cx="4572000" cy="2743200"/>
            <wp:effectExtent l="4445" t="4445" r="14605" b="14605"/>
            <wp:docPr id="5"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pPr>
        <w:pStyle w:val="3"/>
        <w:ind w:left="0" w:leftChars="0" w:firstLine="0" w:firstLineChars="0"/>
        <w:rPr>
          <w:rFonts w:hint="eastAsia"/>
          <w:lang w:val="en-US" w:eastAsia="zh-CN"/>
        </w:rPr>
      </w:pPr>
    </w:p>
    <w:p>
      <w:pPr>
        <w:ind w:firstLine="640"/>
        <w:jc w:val="center"/>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eastAsia="zh-CN"/>
        </w:rPr>
        <w:t>第二部分</w:t>
      </w:r>
      <w:r>
        <w:rPr>
          <w:rFonts w:hint="eastAsia" w:ascii="仿宋_GB2312" w:hAnsi="仿宋_GB2312" w:eastAsia="仿宋_GB2312" w:cs="仿宋_GB2312"/>
          <w:b/>
          <w:bCs/>
          <w:sz w:val="32"/>
          <w:szCs w:val="32"/>
          <w:highlight w:val="none"/>
          <w:lang w:val="en-US" w:eastAsia="zh-CN"/>
        </w:rPr>
        <w:t xml:space="preserve">  收支情况</w:t>
      </w:r>
    </w:p>
    <w:p>
      <w:pPr>
        <w:ind w:firstLine="640"/>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eastAsia="zh-CN"/>
        </w:rPr>
        <w:t>四</w:t>
      </w:r>
      <w:r>
        <w:rPr>
          <w:rFonts w:hint="eastAsia" w:ascii="仿宋_GB2312" w:hAnsi="仿宋_GB2312" w:eastAsia="仿宋_GB2312" w:cs="仿宋_GB2312"/>
          <w:b/>
          <w:bCs/>
          <w:sz w:val="32"/>
          <w:szCs w:val="32"/>
          <w:highlight w:val="none"/>
        </w:rPr>
        <w:t>、收支说明</w:t>
      </w:r>
    </w:p>
    <w:p>
      <w:pPr>
        <w:ind w:firstLine="640"/>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lang w:eastAsia="zh-CN"/>
        </w:rPr>
        <w:t>（一）</w:t>
      </w:r>
      <w:r>
        <w:rPr>
          <w:rFonts w:hint="eastAsia" w:ascii="仿宋_GB2312" w:hAnsi="仿宋_GB2312" w:eastAsia="仿宋_GB2312" w:cs="仿宋_GB2312"/>
          <w:b/>
          <w:bCs/>
          <w:sz w:val="32"/>
          <w:szCs w:val="32"/>
          <w:highlight w:val="none"/>
        </w:rPr>
        <w:t>收支预算总体情况</w:t>
      </w:r>
    </w:p>
    <w:p>
      <w:pPr>
        <w:ind w:firstLine="64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按照综合预算的原则，本单位所有收入和支出均纳入部门预算管理。</w:t>
      </w:r>
      <w:r>
        <w:rPr>
          <w:rFonts w:hint="eastAsia" w:ascii="仿宋_GB2312" w:hAnsi="仿宋_GB2312" w:eastAsia="仿宋_GB2312" w:cs="仿宋_GB2312"/>
          <w:sz w:val="32"/>
          <w:szCs w:val="32"/>
          <w:highlight w:val="none"/>
          <w:lang w:val="en-US" w:eastAsia="zh-CN"/>
        </w:rPr>
        <w:t>本单位当年预算收入111.54万元，其中一般公共预算拨款收入111.54万元，较上年增加17.59万元，主要原因是工资标准变动</w:t>
      </w:r>
      <w:r>
        <w:rPr>
          <w:rFonts w:hint="eastAsia" w:ascii="仿宋_GB2312" w:hAnsi="仿宋_GB2312" w:eastAsia="仿宋_GB2312" w:cs="仿宋_GB2312"/>
          <w:sz w:val="32"/>
          <w:szCs w:val="32"/>
        </w:rPr>
        <w:t>增加预算收入</w:t>
      </w:r>
      <w:r>
        <w:rPr>
          <w:rFonts w:hint="eastAsia" w:ascii="仿宋_GB2312" w:hAnsi="仿宋_GB2312" w:eastAsia="仿宋_GB2312" w:cs="仿宋_GB2312"/>
          <w:sz w:val="32"/>
          <w:szCs w:val="32"/>
          <w:highlight w:val="none"/>
          <w:lang w:val="en-US" w:eastAsia="zh-CN"/>
        </w:rPr>
        <w:t>；本单位当年预算支出111.54万元，其中一般公共预算拨款支出111.54万元，较上年增加17.59万元，主要原因是工资标准变动</w:t>
      </w:r>
      <w:r>
        <w:rPr>
          <w:rFonts w:hint="eastAsia" w:ascii="仿宋_GB2312" w:hAnsi="仿宋_GB2312" w:eastAsia="仿宋_GB2312" w:cs="仿宋_GB2312"/>
          <w:sz w:val="32"/>
          <w:szCs w:val="32"/>
        </w:rPr>
        <w:t>增加预算</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highlight w:val="none"/>
          <w:lang w:val="en-US" w:eastAsia="zh-CN"/>
        </w:rPr>
        <w:t>。</w:t>
      </w:r>
    </w:p>
    <w:p>
      <w:pPr>
        <w:pStyle w:val="2"/>
        <w:jc w:val="center"/>
        <w:rPr>
          <w:rFonts w:hint="eastAsia"/>
          <w:lang w:eastAsia="zh-CN"/>
        </w:rPr>
      </w:pPr>
      <w:r>
        <w:drawing>
          <wp:inline distT="0" distB="0" distL="114300" distR="114300">
            <wp:extent cx="4572000" cy="2743200"/>
            <wp:effectExtent l="4445" t="4445" r="14605" b="14605"/>
            <wp:docPr id="1"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ind w:firstLine="640"/>
        <w:rPr>
          <w:rFonts w:hint="eastAsia" w:ascii="仿宋_GB2312" w:hAnsi="仿宋_GB2312" w:eastAsia="仿宋_GB2312" w:cs="仿宋_GB2312"/>
          <w:b/>
          <w:bCs/>
          <w:sz w:val="32"/>
          <w:szCs w:val="32"/>
          <w:highlight w:val="none"/>
          <w:lang w:eastAsia="zh-CN"/>
        </w:rPr>
      </w:pPr>
      <w:r>
        <w:rPr>
          <w:rFonts w:hint="eastAsia" w:ascii="仿宋_GB2312" w:hAnsi="仿宋_GB2312" w:eastAsia="仿宋_GB2312" w:cs="仿宋_GB2312"/>
          <w:b/>
          <w:bCs/>
          <w:sz w:val="32"/>
          <w:szCs w:val="32"/>
          <w:highlight w:val="none"/>
          <w:lang w:eastAsia="zh-CN"/>
        </w:rPr>
        <w:t>（二）财政拨款收支情况</w:t>
      </w:r>
    </w:p>
    <w:p>
      <w:pPr>
        <w:ind w:firstLine="64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本</w:t>
      </w:r>
      <w:r>
        <w:rPr>
          <w:rFonts w:hint="eastAsia" w:ascii="仿宋_GB2312" w:hAnsi="仿宋_GB2312" w:eastAsia="仿宋_GB2312" w:cs="仿宋_GB2312"/>
          <w:sz w:val="32"/>
          <w:szCs w:val="32"/>
          <w:highlight w:val="none"/>
          <w:lang w:val="en-US" w:eastAsia="zh-CN"/>
        </w:rPr>
        <w:t>单位</w:t>
      </w:r>
      <w:r>
        <w:rPr>
          <w:rFonts w:hint="eastAsia" w:ascii="仿宋_GB2312" w:hAnsi="仿宋_GB2312" w:eastAsia="仿宋_GB2312" w:cs="仿宋_GB2312"/>
          <w:sz w:val="32"/>
          <w:szCs w:val="32"/>
          <w:highlight w:val="none"/>
          <w:lang w:eastAsia="zh-CN"/>
        </w:rPr>
        <w:t>当年财政拨款收入</w:t>
      </w:r>
      <w:r>
        <w:rPr>
          <w:rFonts w:hint="eastAsia" w:ascii="仿宋_GB2312" w:hAnsi="仿宋_GB2312" w:eastAsia="仿宋_GB2312" w:cs="仿宋_GB2312"/>
          <w:sz w:val="32"/>
          <w:szCs w:val="32"/>
          <w:highlight w:val="none"/>
          <w:lang w:val="en-US" w:eastAsia="zh-CN"/>
        </w:rPr>
        <w:t>111.54万元，其中一般公共预算拨款收入111.54万元，较上年增加17.59万元，主要原因是工资标准变动</w:t>
      </w:r>
      <w:r>
        <w:rPr>
          <w:rFonts w:hint="eastAsia" w:ascii="仿宋_GB2312" w:hAnsi="仿宋_GB2312" w:eastAsia="仿宋_GB2312" w:cs="仿宋_GB2312"/>
          <w:sz w:val="32"/>
          <w:szCs w:val="32"/>
        </w:rPr>
        <w:t>增加预算收入</w:t>
      </w:r>
      <w:r>
        <w:rPr>
          <w:rFonts w:hint="eastAsia" w:ascii="仿宋_GB2312" w:hAnsi="仿宋_GB2312" w:eastAsia="仿宋_GB2312" w:cs="仿宋_GB2312"/>
          <w:sz w:val="32"/>
          <w:szCs w:val="32"/>
          <w:highlight w:val="none"/>
          <w:lang w:eastAsia="zh-CN"/>
        </w:rPr>
        <w:t>；本</w:t>
      </w:r>
      <w:r>
        <w:rPr>
          <w:rFonts w:hint="eastAsia" w:ascii="仿宋_GB2312" w:hAnsi="仿宋_GB2312" w:eastAsia="仿宋_GB2312" w:cs="仿宋_GB2312"/>
          <w:sz w:val="32"/>
          <w:szCs w:val="32"/>
          <w:highlight w:val="none"/>
          <w:lang w:val="en-US" w:eastAsia="zh-CN"/>
        </w:rPr>
        <w:t>单位</w:t>
      </w:r>
      <w:r>
        <w:rPr>
          <w:rFonts w:hint="eastAsia" w:ascii="仿宋_GB2312" w:hAnsi="仿宋_GB2312" w:eastAsia="仿宋_GB2312" w:cs="仿宋_GB2312"/>
          <w:sz w:val="32"/>
          <w:szCs w:val="32"/>
          <w:highlight w:val="none"/>
          <w:lang w:eastAsia="zh-CN"/>
        </w:rPr>
        <w:t>当年财政拨款支出</w:t>
      </w:r>
      <w:r>
        <w:rPr>
          <w:rFonts w:hint="eastAsia" w:ascii="仿宋_GB2312" w:hAnsi="仿宋_GB2312" w:eastAsia="仿宋_GB2312" w:cs="仿宋_GB2312"/>
          <w:sz w:val="32"/>
          <w:szCs w:val="32"/>
          <w:highlight w:val="none"/>
          <w:lang w:val="en-US" w:eastAsia="zh-CN"/>
        </w:rPr>
        <w:t>111.54万元，其中一般公共预算拨款支出111.54万元，较上年增加17.59万元，主要原因是工资标准变动</w:t>
      </w:r>
      <w:r>
        <w:rPr>
          <w:rFonts w:hint="eastAsia" w:ascii="仿宋_GB2312" w:hAnsi="仿宋_GB2312" w:eastAsia="仿宋_GB2312" w:cs="仿宋_GB2312"/>
          <w:sz w:val="32"/>
          <w:szCs w:val="32"/>
        </w:rPr>
        <w:t>增加预算</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highlight w:val="none"/>
          <w:lang w:val="en-US" w:eastAsia="zh-CN"/>
        </w:rPr>
        <w:t>。</w:t>
      </w:r>
    </w:p>
    <w:p>
      <w:pPr>
        <w:jc w:val="center"/>
        <w:rPr>
          <w:rFonts w:hint="eastAsia" w:ascii="仿宋_GB2312" w:hAnsi="仿宋_GB2312" w:eastAsia="仿宋_GB2312" w:cs="仿宋_GB2312"/>
          <w:b/>
          <w:bCs/>
          <w:sz w:val="32"/>
          <w:szCs w:val="32"/>
          <w:highlight w:val="none"/>
          <w:lang w:eastAsia="zh-CN"/>
        </w:rPr>
      </w:pPr>
      <w:r>
        <w:drawing>
          <wp:inline distT="0" distB="0" distL="114300" distR="114300">
            <wp:extent cx="4572000" cy="2743200"/>
            <wp:effectExtent l="4445" t="4445" r="14605" b="14605"/>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ind w:firstLine="640"/>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lang w:eastAsia="zh-CN"/>
        </w:rPr>
        <w:t>（三）一般</w:t>
      </w:r>
      <w:r>
        <w:rPr>
          <w:rFonts w:hint="eastAsia" w:ascii="仿宋_GB2312" w:hAnsi="仿宋_GB2312" w:eastAsia="仿宋_GB2312" w:cs="仿宋_GB2312"/>
          <w:b/>
          <w:bCs/>
          <w:sz w:val="32"/>
          <w:szCs w:val="32"/>
          <w:highlight w:val="none"/>
        </w:rPr>
        <w:t>公共预算拨款支出明细情况</w:t>
      </w:r>
    </w:p>
    <w:p>
      <w:pPr>
        <w:ind w:firstLine="64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eastAsia="zh-CN"/>
        </w:rPr>
        <w:t>一般</w:t>
      </w:r>
      <w:r>
        <w:rPr>
          <w:rFonts w:hint="eastAsia" w:ascii="仿宋_GB2312" w:hAnsi="仿宋_GB2312" w:eastAsia="仿宋_GB2312" w:cs="仿宋_GB2312"/>
          <w:sz w:val="32"/>
          <w:szCs w:val="32"/>
          <w:highlight w:val="none"/>
        </w:rPr>
        <w:t>公共预算</w:t>
      </w:r>
      <w:r>
        <w:rPr>
          <w:rFonts w:hint="eastAsia" w:ascii="仿宋_GB2312" w:hAnsi="仿宋_GB2312" w:eastAsia="仿宋_GB2312" w:cs="仿宋_GB2312"/>
          <w:sz w:val="32"/>
          <w:szCs w:val="32"/>
          <w:highlight w:val="none"/>
          <w:lang w:eastAsia="zh-CN"/>
        </w:rPr>
        <w:t>当年拨款规模变化情况</w:t>
      </w:r>
    </w:p>
    <w:p>
      <w:pPr>
        <w:ind w:firstLine="64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本</w:t>
      </w:r>
      <w:r>
        <w:rPr>
          <w:rFonts w:hint="eastAsia" w:ascii="仿宋_GB2312" w:hAnsi="仿宋_GB2312" w:eastAsia="仿宋_GB2312" w:cs="仿宋_GB2312"/>
          <w:sz w:val="32"/>
          <w:szCs w:val="32"/>
          <w:highlight w:val="none"/>
          <w:lang w:val="en-US" w:eastAsia="zh-CN"/>
        </w:rPr>
        <w:t>单位</w:t>
      </w:r>
      <w:r>
        <w:rPr>
          <w:rFonts w:hint="eastAsia" w:ascii="仿宋_GB2312" w:hAnsi="仿宋_GB2312" w:eastAsia="仿宋_GB2312" w:cs="仿宋_GB2312"/>
          <w:sz w:val="32"/>
          <w:szCs w:val="32"/>
          <w:highlight w:val="none"/>
          <w:lang w:eastAsia="zh-CN"/>
        </w:rPr>
        <w:t>当年一般公共预算拨款支出</w:t>
      </w:r>
      <w:r>
        <w:rPr>
          <w:rFonts w:hint="eastAsia" w:ascii="仿宋_GB2312" w:hAnsi="仿宋_GB2312" w:eastAsia="仿宋_GB2312" w:cs="仿宋_GB2312"/>
          <w:sz w:val="32"/>
          <w:szCs w:val="32"/>
          <w:highlight w:val="none"/>
          <w:lang w:val="en-US" w:eastAsia="zh-CN"/>
        </w:rPr>
        <w:t>111.54</w:t>
      </w:r>
      <w:r>
        <w:rPr>
          <w:rFonts w:hint="eastAsia" w:ascii="仿宋_GB2312" w:hAnsi="仿宋_GB2312" w:eastAsia="仿宋_GB2312" w:cs="仿宋_GB2312"/>
          <w:sz w:val="32"/>
          <w:szCs w:val="32"/>
          <w:highlight w:val="none"/>
          <w:lang w:eastAsia="zh-CN"/>
        </w:rPr>
        <w:t>万元，较上年增加</w:t>
      </w:r>
      <w:r>
        <w:rPr>
          <w:rFonts w:hint="eastAsia" w:ascii="仿宋_GB2312" w:hAnsi="仿宋_GB2312" w:eastAsia="仿宋_GB2312" w:cs="仿宋_GB2312"/>
          <w:sz w:val="32"/>
          <w:szCs w:val="32"/>
          <w:highlight w:val="none"/>
          <w:lang w:val="en-US" w:eastAsia="zh-CN"/>
        </w:rPr>
        <w:t>17.59</w:t>
      </w:r>
      <w:r>
        <w:rPr>
          <w:rFonts w:hint="eastAsia" w:ascii="仿宋_GB2312" w:hAnsi="仿宋_GB2312" w:eastAsia="仿宋_GB2312" w:cs="仿宋_GB2312"/>
          <w:sz w:val="32"/>
          <w:szCs w:val="32"/>
          <w:highlight w:val="none"/>
          <w:lang w:eastAsia="zh-CN"/>
        </w:rPr>
        <w:t>万元，主要原因是</w:t>
      </w:r>
      <w:r>
        <w:rPr>
          <w:rFonts w:hint="eastAsia" w:ascii="仿宋_GB2312" w:hAnsi="仿宋_GB2312" w:eastAsia="仿宋_GB2312" w:cs="仿宋_GB2312"/>
          <w:sz w:val="32"/>
          <w:szCs w:val="32"/>
          <w:highlight w:val="none"/>
          <w:lang w:val="en-US" w:eastAsia="zh-CN"/>
        </w:rPr>
        <w:t>工资标准变动</w:t>
      </w:r>
      <w:r>
        <w:rPr>
          <w:rFonts w:hint="eastAsia" w:ascii="仿宋_GB2312" w:hAnsi="仿宋_GB2312" w:eastAsia="仿宋_GB2312" w:cs="仿宋_GB2312"/>
          <w:sz w:val="32"/>
          <w:szCs w:val="32"/>
        </w:rPr>
        <w:t>增加预算</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highlight w:val="none"/>
          <w:lang w:eastAsia="zh-CN"/>
        </w:rPr>
        <w:t>。</w:t>
      </w:r>
    </w:p>
    <w:p>
      <w:pPr>
        <w:ind w:firstLine="64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2、支出按功能科目分类的明细情况</w:t>
      </w:r>
    </w:p>
    <w:p>
      <w:pPr>
        <w:ind w:firstLine="64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本</w:t>
      </w:r>
      <w:r>
        <w:rPr>
          <w:rFonts w:hint="eastAsia" w:ascii="仿宋_GB2312" w:hAnsi="仿宋_GB2312" w:eastAsia="仿宋_GB2312" w:cs="仿宋_GB2312"/>
          <w:sz w:val="32"/>
          <w:szCs w:val="32"/>
          <w:highlight w:val="none"/>
          <w:lang w:val="en-US" w:eastAsia="zh-CN"/>
        </w:rPr>
        <w:t>单位当年一般公共预算支出111.54万元，其中：</w:t>
      </w:r>
    </w:p>
    <w:p>
      <w:pPr>
        <w:numPr>
          <w:ilvl w:val="0"/>
          <w:numId w:val="0"/>
        </w:numPr>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其他民政管理事务支出（2080299）</w:t>
      </w:r>
      <w:r>
        <w:rPr>
          <w:rFonts w:hint="eastAsia" w:ascii="仿宋_GB2312" w:hAnsi="仿宋_GB2312" w:eastAsia="仿宋_GB2312" w:cs="仿宋_GB2312"/>
          <w:sz w:val="32"/>
          <w:szCs w:val="32"/>
          <w:lang w:val="en-US" w:eastAsia="zh-CN"/>
        </w:rPr>
        <w:t>82.27</w:t>
      </w:r>
      <w:r>
        <w:rPr>
          <w:rFonts w:hint="eastAsia" w:ascii="仿宋_GB2312" w:hAnsi="仿宋_GB2312" w:eastAsia="仿宋_GB2312" w:cs="仿宋_GB2312"/>
          <w:sz w:val="32"/>
          <w:szCs w:val="32"/>
        </w:rPr>
        <w:t>万元，较上年增加</w:t>
      </w:r>
      <w:r>
        <w:rPr>
          <w:rFonts w:hint="eastAsia" w:ascii="仿宋_GB2312" w:hAnsi="仿宋_GB2312" w:eastAsia="仿宋_GB2312" w:cs="仿宋_GB2312"/>
          <w:sz w:val="32"/>
          <w:szCs w:val="32"/>
          <w:lang w:val="en-US" w:eastAsia="zh-CN"/>
        </w:rPr>
        <w:t>12.56</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其中人员经费支出</w:t>
      </w:r>
      <w:r>
        <w:rPr>
          <w:rFonts w:hint="eastAsia" w:ascii="仿宋_GB2312" w:hAnsi="仿宋_GB2312" w:eastAsia="仿宋_GB2312" w:cs="仿宋_GB2312"/>
          <w:sz w:val="32"/>
          <w:szCs w:val="32"/>
          <w:lang w:val="en-US" w:eastAsia="zh-CN"/>
        </w:rPr>
        <w:t>74.26万元，较上年增加14.37万元，主要</w:t>
      </w:r>
      <w:r>
        <w:rPr>
          <w:rFonts w:hint="eastAsia" w:ascii="仿宋_GB2312" w:hAnsi="仿宋_GB2312" w:eastAsia="仿宋_GB2312" w:cs="仿宋_GB2312"/>
          <w:sz w:val="32"/>
          <w:szCs w:val="32"/>
        </w:rPr>
        <w:t>原因是人员工资</w:t>
      </w:r>
      <w:r>
        <w:rPr>
          <w:rFonts w:hint="eastAsia" w:ascii="仿宋_GB2312" w:hAnsi="仿宋_GB2312" w:eastAsia="仿宋_GB2312" w:cs="仿宋_GB2312"/>
          <w:sz w:val="32"/>
          <w:szCs w:val="32"/>
          <w:lang w:eastAsia="zh-CN"/>
        </w:rPr>
        <w:t>标准</w:t>
      </w:r>
      <w:r>
        <w:rPr>
          <w:rFonts w:hint="eastAsia" w:ascii="仿宋_GB2312" w:hAnsi="仿宋_GB2312" w:eastAsia="仿宋_GB2312" w:cs="仿宋_GB2312"/>
          <w:sz w:val="32"/>
          <w:szCs w:val="32"/>
        </w:rPr>
        <w:t>增加，预算</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rPr>
        <w:t>增加</w:t>
      </w:r>
      <w:r>
        <w:rPr>
          <w:rFonts w:hint="eastAsia" w:ascii="仿宋_GB2312" w:hAnsi="仿宋_GB2312" w:eastAsia="仿宋_GB2312" w:cs="仿宋_GB2312"/>
          <w:sz w:val="32"/>
          <w:szCs w:val="32"/>
          <w:lang w:eastAsia="zh-CN"/>
        </w:rPr>
        <w:t>；公用经费支出</w:t>
      </w:r>
      <w:r>
        <w:rPr>
          <w:rFonts w:hint="eastAsia" w:ascii="仿宋_GB2312" w:hAnsi="仿宋_GB2312" w:eastAsia="仿宋_GB2312" w:cs="仿宋_GB2312"/>
          <w:sz w:val="32"/>
          <w:szCs w:val="32"/>
          <w:lang w:val="en-US" w:eastAsia="zh-CN"/>
        </w:rPr>
        <w:t>8.01万元，较上年减少1.81万元，主要原因是</w:t>
      </w:r>
      <w:r>
        <w:rPr>
          <w:rFonts w:hint="eastAsia" w:ascii="仿宋_GB2312" w:hAnsi="仿宋_GB2312" w:eastAsia="仿宋_GB2312" w:cs="仿宋_GB2312"/>
          <w:sz w:val="32"/>
          <w:szCs w:val="32"/>
          <w:highlight w:val="none"/>
          <w:lang w:eastAsia="zh-CN"/>
        </w:rPr>
        <w:t>工作人员人数变动，导致预算支出减少。</w:t>
      </w:r>
    </w:p>
    <w:p>
      <w:pPr>
        <w:numPr>
          <w:ilvl w:val="0"/>
          <w:numId w:val="0"/>
        </w:numPr>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）事业单位离退休干部公用经费支出（2080502）</w:t>
      </w:r>
      <w:r>
        <w:rPr>
          <w:rFonts w:hint="eastAsia" w:ascii="仿宋_GB2312" w:hAnsi="仿宋_GB2312" w:eastAsia="仿宋_GB2312" w:cs="仿宋_GB2312"/>
          <w:sz w:val="32"/>
          <w:szCs w:val="32"/>
          <w:lang w:val="en-US" w:eastAsia="zh-CN"/>
        </w:rPr>
        <w:t>0.03万元，其中公用经费支出0.03万元，较上年增加0.03万元，主要原因是退休1人，经费预算支出增加</w:t>
      </w:r>
      <w:r>
        <w:rPr>
          <w:rFonts w:hint="eastAsia" w:ascii="仿宋_GB2312" w:hAnsi="仿宋_GB2312" w:eastAsia="仿宋_GB2312" w:cs="仿宋_GB2312"/>
          <w:sz w:val="32"/>
          <w:szCs w:val="32"/>
          <w:lang w:eastAsia="zh-CN"/>
        </w:rPr>
        <w:t>。</w:t>
      </w:r>
    </w:p>
    <w:p>
      <w:pPr>
        <w:numPr>
          <w:ilvl w:val="0"/>
          <w:numId w:val="0"/>
        </w:num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）机关事业单位基本养老保险缴费支出（2080505）</w:t>
      </w:r>
      <w:r>
        <w:rPr>
          <w:rFonts w:hint="eastAsia" w:ascii="仿宋_GB2312" w:hAnsi="仿宋_GB2312" w:eastAsia="仿宋_GB2312" w:cs="仿宋_GB2312"/>
          <w:sz w:val="32"/>
          <w:szCs w:val="32"/>
          <w:lang w:val="en-US" w:eastAsia="zh-CN"/>
        </w:rPr>
        <w:t>10.53</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其中人员经费支出</w:t>
      </w:r>
      <w:r>
        <w:rPr>
          <w:rFonts w:hint="eastAsia" w:ascii="仿宋_GB2312" w:hAnsi="仿宋_GB2312" w:eastAsia="仿宋_GB2312" w:cs="仿宋_GB2312"/>
          <w:sz w:val="32"/>
          <w:szCs w:val="32"/>
          <w:lang w:val="en-US" w:eastAsia="zh-CN"/>
        </w:rPr>
        <w:t>10.53万元，</w:t>
      </w:r>
      <w:r>
        <w:rPr>
          <w:rFonts w:hint="eastAsia" w:ascii="仿宋_GB2312" w:hAnsi="仿宋_GB2312" w:eastAsia="仿宋_GB2312" w:cs="仿宋_GB2312"/>
          <w:sz w:val="32"/>
          <w:szCs w:val="32"/>
        </w:rPr>
        <w:t>较上年增加</w:t>
      </w:r>
      <w:r>
        <w:rPr>
          <w:rFonts w:hint="eastAsia" w:ascii="仿宋_GB2312" w:hAnsi="仿宋_GB2312" w:eastAsia="仿宋_GB2312" w:cs="仿宋_GB2312"/>
          <w:sz w:val="32"/>
          <w:szCs w:val="32"/>
          <w:lang w:val="en-US" w:eastAsia="zh-CN"/>
        </w:rPr>
        <w:t>1.61</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主要</w:t>
      </w:r>
      <w:r>
        <w:rPr>
          <w:rFonts w:hint="eastAsia" w:ascii="仿宋_GB2312" w:hAnsi="仿宋_GB2312" w:eastAsia="仿宋_GB2312" w:cs="仿宋_GB2312"/>
          <w:sz w:val="32"/>
          <w:szCs w:val="32"/>
        </w:rPr>
        <w:t>原因是人员工资</w:t>
      </w:r>
      <w:r>
        <w:rPr>
          <w:rFonts w:hint="eastAsia" w:ascii="仿宋_GB2312" w:hAnsi="仿宋_GB2312" w:eastAsia="仿宋_GB2312" w:cs="仿宋_GB2312"/>
          <w:sz w:val="32"/>
          <w:szCs w:val="32"/>
          <w:lang w:eastAsia="zh-CN"/>
        </w:rPr>
        <w:t>标准调高</w:t>
      </w:r>
      <w:r>
        <w:rPr>
          <w:rFonts w:hint="eastAsia" w:ascii="仿宋_GB2312" w:hAnsi="仿宋_GB2312" w:eastAsia="仿宋_GB2312" w:cs="仿宋_GB2312"/>
          <w:sz w:val="32"/>
          <w:szCs w:val="32"/>
        </w:rPr>
        <w:t>后养老保险缴费基数增加，预算</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rPr>
        <w:t>增加。</w:t>
      </w:r>
    </w:p>
    <w:p>
      <w:pPr>
        <w:numPr>
          <w:ilvl w:val="0"/>
          <w:numId w:val="0"/>
        </w:num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）机关事业单位职业年金缴费支出（2080506）</w:t>
      </w:r>
      <w:r>
        <w:rPr>
          <w:rFonts w:hint="eastAsia" w:ascii="仿宋_GB2312" w:hAnsi="仿宋_GB2312" w:eastAsia="仿宋_GB2312" w:cs="仿宋_GB2312"/>
          <w:sz w:val="32"/>
          <w:szCs w:val="32"/>
          <w:lang w:val="en-US" w:eastAsia="zh-CN"/>
        </w:rPr>
        <w:t>5.26</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其中人员经费支出</w:t>
      </w:r>
      <w:r>
        <w:rPr>
          <w:rFonts w:hint="eastAsia" w:ascii="仿宋_GB2312" w:hAnsi="仿宋_GB2312" w:eastAsia="仿宋_GB2312" w:cs="仿宋_GB2312"/>
          <w:sz w:val="32"/>
          <w:szCs w:val="32"/>
          <w:lang w:val="en-US" w:eastAsia="zh-CN"/>
        </w:rPr>
        <w:t>5.26万元，</w:t>
      </w:r>
      <w:r>
        <w:rPr>
          <w:rFonts w:hint="eastAsia" w:ascii="仿宋_GB2312" w:hAnsi="仿宋_GB2312" w:eastAsia="仿宋_GB2312" w:cs="仿宋_GB2312"/>
          <w:sz w:val="32"/>
          <w:szCs w:val="32"/>
        </w:rPr>
        <w:t>较上年增加0.</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万元，原因是人员工资</w:t>
      </w:r>
      <w:r>
        <w:rPr>
          <w:rFonts w:hint="eastAsia" w:ascii="仿宋_GB2312" w:hAnsi="仿宋_GB2312" w:eastAsia="仿宋_GB2312" w:cs="仿宋_GB2312"/>
          <w:sz w:val="32"/>
          <w:szCs w:val="32"/>
          <w:lang w:eastAsia="zh-CN"/>
        </w:rPr>
        <w:t>标准调高</w:t>
      </w:r>
      <w:r>
        <w:rPr>
          <w:rFonts w:hint="eastAsia" w:ascii="仿宋_GB2312" w:hAnsi="仿宋_GB2312" w:eastAsia="仿宋_GB2312" w:cs="仿宋_GB2312"/>
          <w:sz w:val="32"/>
          <w:szCs w:val="32"/>
        </w:rPr>
        <w:t>后</w:t>
      </w:r>
      <w:r>
        <w:rPr>
          <w:rFonts w:hint="eastAsia" w:ascii="仿宋_GB2312" w:hAnsi="仿宋_GB2312" w:eastAsia="仿宋_GB2312" w:cs="仿宋_GB2312"/>
          <w:sz w:val="32"/>
          <w:szCs w:val="32"/>
          <w:lang w:eastAsia="zh-CN"/>
        </w:rPr>
        <w:t>职业年金</w:t>
      </w:r>
      <w:r>
        <w:rPr>
          <w:rFonts w:hint="eastAsia" w:ascii="仿宋_GB2312" w:hAnsi="仿宋_GB2312" w:eastAsia="仿宋_GB2312" w:cs="仿宋_GB2312"/>
          <w:sz w:val="32"/>
          <w:szCs w:val="32"/>
        </w:rPr>
        <w:t>缴费基数增加，预算</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rPr>
        <w:t>增加。</w:t>
      </w:r>
    </w:p>
    <w:p>
      <w:pPr>
        <w:numPr>
          <w:ilvl w:val="0"/>
          <w:numId w:val="0"/>
        </w:num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）事业单位医疗（2101102）4.</w:t>
      </w:r>
      <w:r>
        <w:rPr>
          <w:rFonts w:hint="eastAsia" w:ascii="仿宋_GB2312" w:hAnsi="仿宋_GB2312" w:eastAsia="仿宋_GB2312" w:cs="仿宋_GB2312"/>
          <w:sz w:val="32"/>
          <w:szCs w:val="32"/>
          <w:lang w:val="en-US" w:eastAsia="zh-CN"/>
        </w:rPr>
        <w:t>88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其中人员经费支出</w:t>
      </w:r>
      <w:r>
        <w:rPr>
          <w:rFonts w:hint="eastAsia" w:ascii="仿宋_GB2312" w:hAnsi="仿宋_GB2312" w:eastAsia="仿宋_GB2312" w:cs="仿宋_GB2312"/>
          <w:sz w:val="32"/>
          <w:szCs w:val="32"/>
          <w:lang w:val="en-US" w:eastAsia="zh-CN"/>
        </w:rPr>
        <w:t>4.88万元，</w:t>
      </w:r>
      <w:r>
        <w:rPr>
          <w:rFonts w:hint="eastAsia" w:ascii="仿宋_GB2312" w:hAnsi="仿宋_GB2312" w:eastAsia="仿宋_GB2312" w:cs="仿宋_GB2312"/>
          <w:sz w:val="32"/>
          <w:szCs w:val="32"/>
        </w:rPr>
        <w:t>较上年增加0.</w:t>
      </w:r>
      <w:r>
        <w:rPr>
          <w:rFonts w:hint="eastAsia" w:ascii="仿宋_GB2312" w:hAnsi="仿宋_GB2312" w:eastAsia="仿宋_GB2312" w:cs="仿宋_GB2312"/>
          <w:sz w:val="32"/>
          <w:szCs w:val="32"/>
          <w:lang w:val="en-US" w:eastAsia="zh-CN"/>
        </w:rPr>
        <w:t>71</w:t>
      </w:r>
      <w:r>
        <w:rPr>
          <w:rFonts w:hint="eastAsia" w:ascii="仿宋_GB2312" w:hAnsi="仿宋_GB2312" w:eastAsia="仿宋_GB2312" w:cs="仿宋_GB2312"/>
          <w:sz w:val="32"/>
          <w:szCs w:val="32"/>
        </w:rPr>
        <w:t>万元，原因是人员工资</w:t>
      </w:r>
      <w:r>
        <w:rPr>
          <w:rFonts w:hint="eastAsia" w:ascii="仿宋_GB2312" w:hAnsi="仿宋_GB2312" w:eastAsia="仿宋_GB2312" w:cs="仿宋_GB2312"/>
          <w:sz w:val="32"/>
          <w:szCs w:val="32"/>
          <w:lang w:eastAsia="zh-CN"/>
        </w:rPr>
        <w:t>标准调高</w:t>
      </w:r>
      <w:r>
        <w:rPr>
          <w:rFonts w:hint="eastAsia" w:ascii="仿宋_GB2312" w:hAnsi="仿宋_GB2312" w:eastAsia="仿宋_GB2312" w:cs="仿宋_GB2312"/>
          <w:sz w:val="32"/>
          <w:szCs w:val="32"/>
        </w:rPr>
        <w:t>后事业单位医疗缴费基数增加，预算</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rPr>
        <w:t>增加。</w:t>
      </w:r>
    </w:p>
    <w:p>
      <w:pPr>
        <w:numPr>
          <w:ilvl w:val="0"/>
          <w:numId w:val="0"/>
        </w:num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）住房公积金（2210201）</w:t>
      </w:r>
      <w:r>
        <w:rPr>
          <w:rFonts w:hint="eastAsia" w:ascii="仿宋_GB2312" w:hAnsi="仿宋_GB2312" w:eastAsia="仿宋_GB2312" w:cs="仿宋_GB2312"/>
          <w:sz w:val="32"/>
          <w:szCs w:val="32"/>
          <w:lang w:val="en-US" w:eastAsia="zh-CN"/>
        </w:rPr>
        <w:t>8.57</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其中人员经费支出</w:t>
      </w:r>
      <w:r>
        <w:rPr>
          <w:rFonts w:hint="eastAsia" w:ascii="仿宋_GB2312" w:hAnsi="仿宋_GB2312" w:eastAsia="仿宋_GB2312" w:cs="仿宋_GB2312"/>
          <w:sz w:val="32"/>
          <w:szCs w:val="32"/>
          <w:lang w:val="en-US" w:eastAsia="zh-CN"/>
        </w:rPr>
        <w:t>8.57万元，</w:t>
      </w:r>
      <w:r>
        <w:rPr>
          <w:rFonts w:hint="eastAsia" w:ascii="仿宋_GB2312" w:hAnsi="仿宋_GB2312" w:eastAsia="仿宋_GB2312" w:cs="仿宋_GB2312"/>
          <w:sz w:val="32"/>
          <w:szCs w:val="32"/>
        </w:rPr>
        <w:t>较上年增加</w:t>
      </w:r>
      <w:r>
        <w:rPr>
          <w:rFonts w:hint="eastAsia" w:ascii="仿宋_GB2312" w:hAnsi="仿宋_GB2312" w:eastAsia="仿宋_GB2312" w:cs="仿宋_GB2312"/>
          <w:sz w:val="32"/>
          <w:szCs w:val="32"/>
          <w:lang w:val="en-US" w:eastAsia="zh-CN"/>
        </w:rPr>
        <w:t>1.88</w:t>
      </w:r>
      <w:r>
        <w:rPr>
          <w:rFonts w:hint="eastAsia" w:ascii="仿宋_GB2312" w:hAnsi="仿宋_GB2312" w:eastAsia="仿宋_GB2312" w:cs="仿宋_GB2312"/>
          <w:sz w:val="32"/>
          <w:szCs w:val="32"/>
        </w:rPr>
        <w:t>万元，原因是人员工资</w:t>
      </w:r>
      <w:r>
        <w:rPr>
          <w:rFonts w:hint="eastAsia" w:ascii="仿宋_GB2312" w:hAnsi="仿宋_GB2312" w:eastAsia="仿宋_GB2312" w:cs="仿宋_GB2312"/>
          <w:sz w:val="32"/>
          <w:szCs w:val="32"/>
          <w:lang w:eastAsia="zh-CN"/>
        </w:rPr>
        <w:t>标准调高</w:t>
      </w:r>
      <w:r>
        <w:rPr>
          <w:rFonts w:hint="eastAsia" w:ascii="仿宋_GB2312" w:hAnsi="仿宋_GB2312" w:eastAsia="仿宋_GB2312" w:cs="仿宋_GB2312"/>
          <w:sz w:val="32"/>
          <w:szCs w:val="32"/>
        </w:rPr>
        <w:t>后住房公积金缴费基数增加，预算</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rPr>
        <w:t>增加。</w:t>
      </w:r>
    </w:p>
    <w:p>
      <w:pPr>
        <w:pStyle w:val="2"/>
        <w:jc w:val="center"/>
      </w:pPr>
      <w:r>
        <w:drawing>
          <wp:inline distT="0" distB="0" distL="114300" distR="114300">
            <wp:extent cx="4400550" cy="3075940"/>
            <wp:effectExtent l="4445" t="4445" r="14605" b="5715"/>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pStyle w:val="2"/>
      </w:pPr>
    </w:p>
    <w:p/>
    <w:p>
      <w:pPr>
        <w:pStyle w:val="2"/>
        <w:jc w:val="center"/>
      </w:pPr>
      <w:r>
        <w:drawing>
          <wp:inline distT="0" distB="0" distL="114300" distR="114300">
            <wp:extent cx="5019675" cy="2723515"/>
            <wp:effectExtent l="4445" t="4445" r="5080" b="15240"/>
            <wp:docPr id="8"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pStyle w:val="2"/>
        <w:jc w:val="both"/>
      </w:pPr>
    </w:p>
    <w:p/>
    <w:p>
      <w:pPr>
        <w:ind w:firstLine="64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3、支出按经济科目分类的明细情况</w:t>
      </w:r>
    </w:p>
    <w:p>
      <w:pPr>
        <w:ind w:firstLine="64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按照部门</w:t>
      </w:r>
      <w:r>
        <w:rPr>
          <w:rFonts w:hint="eastAsia" w:ascii="仿宋_GB2312" w:hAnsi="仿宋_GB2312" w:eastAsia="仿宋_GB2312" w:cs="仿宋_GB2312"/>
          <w:sz w:val="32"/>
          <w:szCs w:val="32"/>
          <w:highlight w:val="none"/>
          <w:lang w:eastAsia="zh-CN"/>
        </w:rPr>
        <w:t>预算</w:t>
      </w:r>
      <w:r>
        <w:rPr>
          <w:rFonts w:hint="eastAsia" w:ascii="仿宋_GB2312" w:hAnsi="仿宋_GB2312" w:eastAsia="仿宋_GB2312" w:cs="仿宋_GB2312"/>
          <w:sz w:val="32"/>
          <w:szCs w:val="32"/>
          <w:highlight w:val="none"/>
        </w:rPr>
        <w:t>支出</w:t>
      </w:r>
      <w:r>
        <w:rPr>
          <w:rFonts w:hint="eastAsia" w:ascii="仿宋_GB2312" w:hAnsi="仿宋_GB2312" w:eastAsia="仿宋_GB2312" w:cs="仿宋_GB2312"/>
          <w:sz w:val="32"/>
          <w:szCs w:val="32"/>
          <w:highlight w:val="none"/>
          <w:lang w:eastAsia="zh-CN"/>
        </w:rPr>
        <w:t>经济</w:t>
      </w:r>
      <w:r>
        <w:rPr>
          <w:rFonts w:hint="eastAsia" w:ascii="仿宋_GB2312" w:hAnsi="仿宋_GB2312" w:eastAsia="仿宋_GB2312" w:cs="仿宋_GB2312"/>
          <w:sz w:val="32"/>
          <w:szCs w:val="32"/>
          <w:highlight w:val="none"/>
        </w:rPr>
        <w:t>分类的类级科目说明</w:t>
      </w:r>
      <w:r>
        <w:rPr>
          <w:rFonts w:hint="eastAsia" w:ascii="仿宋_GB2312" w:hAnsi="仿宋_GB2312" w:eastAsia="仿宋_GB2312" w:cs="仿宋_GB2312"/>
          <w:sz w:val="32"/>
          <w:szCs w:val="32"/>
          <w:highlight w:val="none"/>
          <w:lang w:eastAsia="zh-CN"/>
        </w:rPr>
        <w:t>当年一般</w:t>
      </w:r>
      <w:r>
        <w:rPr>
          <w:rFonts w:hint="eastAsia" w:ascii="仿宋_GB2312" w:hAnsi="仿宋_GB2312" w:eastAsia="仿宋_GB2312" w:cs="仿宋_GB2312"/>
          <w:sz w:val="32"/>
          <w:szCs w:val="32"/>
          <w:highlight w:val="none"/>
        </w:rPr>
        <w:t>公共预算拨款支出情况，将相关数据与上年对比，分析增减</w:t>
      </w:r>
      <w:r>
        <w:rPr>
          <w:rFonts w:hint="eastAsia" w:ascii="仿宋_GB2312" w:hAnsi="仿宋_GB2312" w:eastAsia="仿宋_GB2312" w:cs="仿宋_GB2312"/>
          <w:sz w:val="32"/>
          <w:szCs w:val="32"/>
          <w:highlight w:val="none"/>
          <w:lang w:eastAsia="zh-CN"/>
        </w:rPr>
        <w:t>变化</w:t>
      </w:r>
      <w:r>
        <w:rPr>
          <w:rFonts w:hint="eastAsia" w:ascii="仿宋_GB2312" w:hAnsi="仿宋_GB2312" w:eastAsia="仿宋_GB2312" w:cs="仿宋_GB2312"/>
          <w:sz w:val="32"/>
          <w:szCs w:val="32"/>
          <w:highlight w:val="none"/>
        </w:rPr>
        <w:t>原因。</w:t>
      </w:r>
      <w:r>
        <w:rPr>
          <w:rFonts w:hint="eastAsia" w:ascii="仿宋_GB2312" w:hAnsi="仿宋_GB2312" w:eastAsia="仿宋_GB2312" w:cs="仿宋_GB2312"/>
          <w:sz w:val="32"/>
          <w:szCs w:val="32"/>
          <w:highlight w:val="none"/>
          <w:lang w:eastAsia="zh-CN"/>
        </w:rPr>
        <w:t>）</w:t>
      </w:r>
    </w:p>
    <w:p>
      <w:pPr>
        <w:ind w:firstLine="64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本单位当年一般公共预算支出111.54万元，其中：</w:t>
      </w:r>
    </w:p>
    <w:p>
      <w:pPr>
        <w:ind w:firstLine="64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工资福利支出（</w:t>
      </w:r>
      <w:r>
        <w:rPr>
          <w:rFonts w:hint="eastAsia" w:ascii="仿宋_GB2312" w:hAnsi="仿宋_GB2312" w:eastAsia="仿宋_GB2312" w:cs="仿宋_GB2312"/>
          <w:sz w:val="32"/>
          <w:szCs w:val="32"/>
          <w:highlight w:val="none"/>
          <w:lang w:val="en-US" w:eastAsia="zh-CN"/>
        </w:rPr>
        <w:t>301</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103.5万元，较上年增加</w:t>
      </w:r>
      <w:r>
        <w:rPr>
          <w:rFonts w:hint="eastAsia" w:ascii="仿宋_GB2312" w:hAnsi="仿宋_GB2312" w:eastAsia="仿宋_GB2312" w:cs="仿宋_GB2312"/>
          <w:sz w:val="32"/>
          <w:szCs w:val="32"/>
          <w:highlight w:val="none"/>
          <w:lang w:eastAsia="zh-CN"/>
        </w:rPr>
        <w:t>（减少）</w:t>
      </w:r>
      <w:r>
        <w:rPr>
          <w:rFonts w:hint="eastAsia" w:ascii="仿宋_GB2312" w:hAnsi="仿宋_GB2312" w:eastAsia="仿宋_GB2312" w:cs="仿宋_GB2312"/>
          <w:sz w:val="32"/>
          <w:szCs w:val="32"/>
          <w:highlight w:val="none"/>
          <w:lang w:val="en-US" w:eastAsia="zh-CN"/>
        </w:rPr>
        <w:t>20.1</w:t>
      </w:r>
      <w:r>
        <w:rPr>
          <w:rFonts w:hint="eastAsia" w:ascii="仿宋_GB2312" w:hAnsi="仿宋_GB2312" w:eastAsia="仿宋_GB2312" w:cs="仿宋_GB2312"/>
          <w:sz w:val="32"/>
          <w:szCs w:val="32"/>
          <w:highlight w:val="none"/>
          <w:lang w:eastAsia="zh-CN"/>
        </w:rPr>
        <w:t>万元，原因是</w:t>
      </w:r>
      <w:r>
        <w:rPr>
          <w:rFonts w:hint="eastAsia" w:ascii="仿宋_GB2312" w:hAnsi="仿宋_GB2312" w:eastAsia="仿宋_GB2312" w:cs="仿宋_GB2312"/>
          <w:sz w:val="32"/>
          <w:szCs w:val="32"/>
        </w:rPr>
        <w:t>人员工资</w:t>
      </w:r>
      <w:r>
        <w:rPr>
          <w:rFonts w:hint="eastAsia" w:ascii="仿宋_GB2312" w:hAnsi="仿宋_GB2312" w:eastAsia="仿宋_GB2312" w:cs="仿宋_GB2312"/>
          <w:sz w:val="32"/>
          <w:szCs w:val="32"/>
          <w:lang w:eastAsia="zh-CN"/>
        </w:rPr>
        <w:t>标准调高</w:t>
      </w:r>
      <w:r>
        <w:rPr>
          <w:rFonts w:hint="eastAsia" w:ascii="仿宋_GB2312" w:hAnsi="仿宋_GB2312" w:eastAsia="仿宋_GB2312" w:cs="仿宋_GB2312"/>
          <w:sz w:val="32"/>
          <w:szCs w:val="32"/>
        </w:rPr>
        <w:t>后</w:t>
      </w:r>
      <w:r>
        <w:rPr>
          <w:rFonts w:hint="eastAsia" w:ascii="仿宋_GB2312" w:hAnsi="仿宋_GB2312" w:eastAsia="仿宋_GB2312" w:cs="仿宋_GB2312"/>
          <w:sz w:val="32"/>
          <w:szCs w:val="32"/>
          <w:lang w:eastAsia="zh-CN"/>
        </w:rPr>
        <w:t>工资福利预算支出增加</w:t>
      </w:r>
      <w:r>
        <w:rPr>
          <w:rFonts w:hint="eastAsia" w:ascii="仿宋_GB2312" w:hAnsi="仿宋_GB2312" w:eastAsia="仿宋_GB2312" w:cs="仿宋_GB2312"/>
          <w:sz w:val="32"/>
          <w:szCs w:val="32"/>
          <w:highlight w:val="none"/>
          <w:lang w:eastAsia="zh-CN"/>
        </w:rPr>
        <w:t>；</w:t>
      </w:r>
    </w:p>
    <w:p>
      <w:pPr>
        <w:ind w:firstLine="64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商品和服务支出（</w:t>
      </w:r>
      <w:r>
        <w:rPr>
          <w:rFonts w:hint="eastAsia" w:ascii="仿宋_GB2312" w:hAnsi="仿宋_GB2312" w:eastAsia="仿宋_GB2312" w:cs="仿宋_GB2312"/>
          <w:sz w:val="32"/>
          <w:szCs w:val="32"/>
          <w:highlight w:val="none"/>
          <w:lang w:val="en-US" w:eastAsia="zh-CN"/>
        </w:rPr>
        <w:t>302</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8.04万元，较上年</w:t>
      </w:r>
      <w:r>
        <w:rPr>
          <w:rFonts w:hint="eastAsia" w:ascii="仿宋_GB2312" w:hAnsi="仿宋_GB2312" w:eastAsia="仿宋_GB2312" w:cs="仿宋_GB2312"/>
          <w:sz w:val="32"/>
          <w:szCs w:val="32"/>
          <w:highlight w:val="none"/>
          <w:lang w:eastAsia="zh-CN"/>
        </w:rPr>
        <w:t>减少</w:t>
      </w:r>
      <w:r>
        <w:rPr>
          <w:rFonts w:hint="eastAsia" w:ascii="仿宋_GB2312" w:hAnsi="仿宋_GB2312" w:eastAsia="仿宋_GB2312" w:cs="仿宋_GB2312"/>
          <w:sz w:val="32"/>
          <w:szCs w:val="32"/>
          <w:highlight w:val="none"/>
          <w:lang w:val="en-US" w:eastAsia="zh-CN"/>
        </w:rPr>
        <w:t>2.51</w:t>
      </w:r>
      <w:r>
        <w:rPr>
          <w:rFonts w:hint="eastAsia" w:ascii="仿宋_GB2312" w:hAnsi="仿宋_GB2312" w:eastAsia="仿宋_GB2312" w:cs="仿宋_GB2312"/>
          <w:sz w:val="32"/>
          <w:szCs w:val="32"/>
          <w:highlight w:val="none"/>
          <w:lang w:eastAsia="zh-CN"/>
        </w:rPr>
        <w:t>万元，原因是工作人员人数变动，导致预算支出减少。</w:t>
      </w:r>
    </w:p>
    <w:p>
      <w:pPr>
        <w:pStyle w:val="2"/>
        <w:jc w:val="center"/>
        <w:rPr>
          <w:rFonts w:hint="eastAsia" w:ascii="仿宋_GB2312" w:hAnsi="仿宋_GB2312" w:eastAsia="仿宋_GB2312" w:cs="仿宋_GB2312"/>
          <w:sz w:val="32"/>
          <w:szCs w:val="32"/>
          <w:highlight w:val="none"/>
          <w:lang w:eastAsia="zh-CN"/>
        </w:rPr>
      </w:pPr>
      <w:r>
        <w:drawing>
          <wp:inline distT="0" distB="0" distL="114300" distR="114300">
            <wp:extent cx="4572000" cy="2743200"/>
            <wp:effectExtent l="4445" t="4445" r="14605" b="14605"/>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pStyle w:val="2"/>
        <w:rPr>
          <w:rFonts w:hint="eastAsia"/>
          <w:lang w:eastAsia="zh-CN"/>
        </w:rPr>
      </w:pPr>
    </w:p>
    <w:p>
      <w:pPr>
        <w:ind w:firstLine="64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按照</w:t>
      </w:r>
      <w:r>
        <w:rPr>
          <w:rFonts w:hint="eastAsia" w:ascii="仿宋_GB2312" w:hAnsi="仿宋_GB2312" w:eastAsia="仿宋_GB2312" w:cs="仿宋_GB2312"/>
          <w:sz w:val="32"/>
          <w:szCs w:val="32"/>
          <w:highlight w:val="none"/>
          <w:lang w:eastAsia="zh-CN"/>
        </w:rPr>
        <w:t>政府预算</w:t>
      </w:r>
      <w:r>
        <w:rPr>
          <w:rFonts w:hint="eastAsia" w:ascii="仿宋_GB2312" w:hAnsi="仿宋_GB2312" w:eastAsia="仿宋_GB2312" w:cs="仿宋_GB2312"/>
          <w:sz w:val="32"/>
          <w:szCs w:val="32"/>
          <w:highlight w:val="none"/>
        </w:rPr>
        <w:t>支出</w:t>
      </w:r>
      <w:r>
        <w:rPr>
          <w:rFonts w:hint="eastAsia" w:ascii="仿宋_GB2312" w:hAnsi="仿宋_GB2312" w:eastAsia="仿宋_GB2312" w:cs="仿宋_GB2312"/>
          <w:sz w:val="32"/>
          <w:szCs w:val="32"/>
          <w:highlight w:val="none"/>
          <w:lang w:eastAsia="zh-CN"/>
        </w:rPr>
        <w:t>经济</w:t>
      </w:r>
      <w:r>
        <w:rPr>
          <w:rFonts w:hint="eastAsia" w:ascii="仿宋_GB2312" w:hAnsi="仿宋_GB2312" w:eastAsia="仿宋_GB2312" w:cs="仿宋_GB2312"/>
          <w:sz w:val="32"/>
          <w:szCs w:val="32"/>
          <w:highlight w:val="none"/>
        </w:rPr>
        <w:t>分类的类级科目</w:t>
      </w:r>
      <w:r>
        <w:rPr>
          <w:rFonts w:hint="eastAsia" w:ascii="仿宋_GB2312" w:hAnsi="仿宋_GB2312" w:eastAsia="仿宋_GB2312" w:cs="仿宋_GB2312"/>
          <w:sz w:val="32"/>
          <w:szCs w:val="32"/>
          <w:highlight w:val="none"/>
          <w:lang w:eastAsia="zh-CN"/>
        </w:rPr>
        <w:t>说明当年一般</w:t>
      </w:r>
      <w:r>
        <w:rPr>
          <w:rFonts w:hint="eastAsia" w:ascii="仿宋_GB2312" w:hAnsi="仿宋_GB2312" w:eastAsia="仿宋_GB2312" w:cs="仿宋_GB2312"/>
          <w:sz w:val="32"/>
          <w:szCs w:val="32"/>
          <w:highlight w:val="none"/>
        </w:rPr>
        <w:t>公共预算拨款支出情况。</w:t>
      </w:r>
      <w:r>
        <w:rPr>
          <w:rFonts w:hint="eastAsia" w:ascii="仿宋_GB2312" w:hAnsi="仿宋_GB2312" w:eastAsia="仿宋_GB2312" w:cs="仿宋_GB2312"/>
          <w:sz w:val="32"/>
          <w:szCs w:val="32"/>
          <w:highlight w:val="none"/>
          <w:lang w:eastAsia="zh-CN"/>
        </w:rPr>
        <w:t>）</w:t>
      </w:r>
    </w:p>
    <w:p>
      <w:pPr>
        <w:ind w:firstLine="64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本单位当年一般公共预算支出111.54万元，其中：</w:t>
      </w:r>
    </w:p>
    <w:p>
      <w:pPr>
        <w:ind w:firstLine="64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工资福利支出（</w:t>
      </w:r>
      <w:r>
        <w:rPr>
          <w:rFonts w:hint="eastAsia" w:ascii="仿宋_GB2312" w:hAnsi="仿宋_GB2312" w:eastAsia="仿宋_GB2312" w:cs="仿宋_GB2312"/>
          <w:sz w:val="32"/>
          <w:szCs w:val="32"/>
          <w:highlight w:val="none"/>
          <w:lang w:val="en-US" w:eastAsia="zh-CN"/>
        </w:rPr>
        <w:t>501</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103.5万元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较上年增加</w:t>
      </w:r>
      <w:r>
        <w:rPr>
          <w:rFonts w:hint="eastAsia" w:ascii="仿宋_GB2312" w:hAnsi="仿宋_GB2312" w:eastAsia="仿宋_GB2312" w:cs="仿宋_GB2312"/>
          <w:sz w:val="32"/>
          <w:szCs w:val="32"/>
          <w:highlight w:val="none"/>
          <w:lang w:eastAsia="zh-CN"/>
        </w:rPr>
        <w:t>（减少）</w:t>
      </w:r>
      <w:r>
        <w:rPr>
          <w:rFonts w:hint="eastAsia" w:ascii="仿宋_GB2312" w:hAnsi="仿宋_GB2312" w:eastAsia="仿宋_GB2312" w:cs="仿宋_GB2312"/>
          <w:sz w:val="32"/>
          <w:szCs w:val="32"/>
          <w:highlight w:val="none"/>
          <w:lang w:val="en-US" w:eastAsia="zh-CN"/>
        </w:rPr>
        <w:t>20.1</w:t>
      </w:r>
      <w:r>
        <w:rPr>
          <w:rFonts w:hint="eastAsia" w:ascii="仿宋_GB2312" w:hAnsi="仿宋_GB2312" w:eastAsia="仿宋_GB2312" w:cs="仿宋_GB2312"/>
          <w:sz w:val="32"/>
          <w:szCs w:val="32"/>
          <w:highlight w:val="none"/>
          <w:lang w:eastAsia="zh-CN"/>
        </w:rPr>
        <w:t>万元，原因是</w:t>
      </w:r>
      <w:r>
        <w:rPr>
          <w:rFonts w:hint="eastAsia" w:ascii="仿宋_GB2312" w:hAnsi="仿宋_GB2312" w:eastAsia="仿宋_GB2312" w:cs="仿宋_GB2312"/>
          <w:sz w:val="32"/>
          <w:szCs w:val="32"/>
        </w:rPr>
        <w:t>人员工资</w:t>
      </w:r>
      <w:r>
        <w:rPr>
          <w:rFonts w:hint="eastAsia" w:ascii="仿宋_GB2312" w:hAnsi="仿宋_GB2312" w:eastAsia="仿宋_GB2312" w:cs="仿宋_GB2312"/>
          <w:sz w:val="32"/>
          <w:szCs w:val="32"/>
          <w:lang w:eastAsia="zh-CN"/>
        </w:rPr>
        <w:t>标准调高</w:t>
      </w:r>
      <w:r>
        <w:rPr>
          <w:rFonts w:hint="eastAsia" w:ascii="仿宋_GB2312" w:hAnsi="仿宋_GB2312" w:eastAsia="仿宋_GB2312" w:cs="仿宋_GB2312"/>
          <w:sz w:val="32"/>
          <w:szCs w:val="32"/>
        </w:rPr>
        <w:t>后</w:t>
      </w:r>
      <w:r>
        <w:rPr>
          <w:rFonts w:hint="eastAsia" w:ascii="仿宋_GB2312" w:hAnsi="仿宋_GB2312" w:eastAsia="仿宋_GB2312" w:cs="仿宋_GB2312"/>
          <w:sz w:val="32"/>
          <w:szCs w:val="32"/>
          <w:lang w:eastAsia="zh-CN"/>
        </w:rPr>
        <w:t>工资福利预算支出增加</w:t>
      </w:r>
      <w:r>
        <w:rPr>
          <w:rFonts w:hint="eastAsia" w:ascii="仿宋_GB2312" w:hAnsi="仿宋_GB2312" w:eastAsia="仿宋_GB2312" w:cs="仿宋_GB2312"/>
          <w:sz w:val="32"/>
          <w:szCs w:val="32"/>
          <w:highlight w:val="none"/>
          <w:lang w:eastAsia="zh-CN"/>
        </w:rPr>
        <w:t>；</w:t>
      </w:r>
    </w:p>
    <w:p>
      <w:pPr>
        <w:ind w:firstLine="64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商品和服务支出（</w:t>
      </w:r>
      <w:r>
        <w:rPr>
          <w:rFonts w:hint="eastAsia" w:ascii="仿宋_GB2312" w:hAnsi="仿宋_GB2312" w:eastAsia="仿宋_GB2312" w:cs="仿宋_GB2312"/>
          <w:sz w:val="32"/>
          <w:szCs w:val="32"/>
          <w:highlight w:val="none"/>
          <w:lang w:val="en-US" w:eastAsia="zh-CN"/>
        </w:rPr>
        <w:t>502</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8.04万元，较上年</w:t>
      </w:r>
      <w:r>
        <w:rPr>
          <w:rFonts w:hint="eastAsia" w:ascii="仿宋_GB2312" w:hAnsi="仿宋_GB2312" w:eastAsia="仿宋_GB2312" w:cs="仿宋_GB2312"/>
          <w:sz w:val="32"/>
          <w:szCs w:val="32"/>
          <w:highlight w:val="none"/>
          <w:lang w:eastAsia="zh-CN"/>
        </w:rPr>
        <w:t>减少</w:t>
      </w:r>
      <w:r>
        <w:rPr>
          <w:rFonts w:hint="eastAsia" w:ascii="仿宋_GB2312" w:hAnsi="仿宋_GB2312" w:eastAsia="仿宋_GB2312" w:cs="仿宋_GB2312"/>
          <w:sz w:val="32"/>
          <w:szCs w:val="32"/>
          <w:highlight w:val="none"/>
          <w:lang w:val="en-US" w:eastAsia="zh-CN"/>
        </w:rPr>
        <w:t>2.51</w:t>
      </w:r>
      <w:r>
        <w:rPr>
          <w:rFonts w:hint="eastAsia" w:ascii="仿宋_GB2312" w:hAnsi="仿宋_GB2312" w:eastAsia="仿宋_GB2312" w:cs="仿宋_GB2312"/>
          <w:sz w:val="32"/>
          <w:szCs w:val="32"/>
          <w:highlight w:val="none"/>
          <w:lang w:eastAsia="zh-CN"/>
        </w:rPr>
        <w:t>万元，原因是工作人员人数变动，导致预算支出减少。</w:t>
      </w:r>
    </w:p>
    <w:p>
      <w:pPr>
        <w:pStyle w:val="2"/>
        <w:jc w:val="center"/>
        <w:rPr>
          <w:rFonts w:hint="eastAsia" w:ascii="仿宋_GB2312" w:hAnsi="仿宋_GB2312" w:eastAsia="仿宋_GB2312" w:cs="仿宋_GB2312"/>
          <w:sz w:val="32"/>
          <w:szCs w:val="32"/>
          <w:highlight w:val="none"/>
          <w:lang w:eastAsia="zh-CN"/>
        </w:rPr>
      </w:pPr>
      <w:r>
        <w:drawing>
          <wp:inline distT="0" distB="0" distL="114300" distR="114300">
            <wp:extent cx="4572000" cy="2743200"/>
            <wp:effectExtent l="4445" t="4445" r="14605" b="14605"/>
            <wp:docPr id="9"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pStyle w:val="2"/>
        <w:jc w:val="center"/>
        <w:rPr>
          <w:rFonts w:hint="eastAsia"/>
          <w:lang w:val="en-US" w:eastAsia="zh-CN"/>
        </w:rPr>
      </w:pPr>
    </w:p>
    <w:p>
      <w:pPr>
        <w:ind w:firstLine="640"/>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lang w:eastAsia="zh-CN"/>
        </w:rPr>
        <w:t>（四）</w:t>
      </w:r>
      <w:r>
        <w:rPr>
          <w:rFonts w:hint="eastAsia" w:ascii="仿宋_GB2312" w:hAnsi="仿宋_GB2312" w:eastAsia="仿宋_GB2312" w:cs="仿宋_GB2312"/>
          <w:b/>
          <w:bCs/>
          <w:sz w:val="32"/>
          <w:szCs w:val="32"/>
          <w:highlight w:val="none"/>
        </w:rPr>
        <w:t>政府性基金预算支出情况</w:t>
      </w:r>
    </w:p>
    <w:p>
      <w:pPr>
        <w:ind w:firstLine="64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本</w:t>
      </w:r>
      <w:r>
        <w:rPr>
          <w:rFonts w:hint="eastAsia" w:ascii="仿宋_GB2312" w:hAnsi="仿宋_GB2312" w:eastAsia="仿宋_GB2312" w:cs="仿宋_GB2312"/>
          <w:sz w:val="32"/>
          <w:szCs w:val="32"/>
          <w:highlight w:val="none"/>
          <w:lang w:val="en-US" w:eastAsia="zh-CN"/>
        </w:rPr>
        <w:t>单位</w:t>
      </w:r>
      <w:r>
        <w:rPr>
          <w:rFonts w:hint="eastAsia" w:ascii="仿宋_GB2312" w:hAnsi="仿宋_GB2312" w:eastAsia="仿宋_GB2312" w:cs="仿宋_GB2312"/>
          <w:sz w:val="32"/>
          <w:szCs w:val="32"/>
          <w:highlight w:val="none"/>
        </w:rPr>
        <w:t>无</w:t>
      </w:r>
      <w:r>
        <w:rPr>
          <w:rFonts w:hint="eastAsia" w:ascii="仿宋_GB2312" w:hAnsi="仿宋_GB2312" w:eastAsia="仿宋_GB2312" w:cs="仿宋_GB2312"/>
          <w:sz w:val="32"/>
          <w:szCs w:val="32"/>
          <w:highlight w:val="none"/>
          <w:lang w:eastAsia="zh-CN"/>
        </w:rPr>
        <w:t>当年</w:t>
      </w:r>
      <w:r>
        <w:rPr>
          <w:rFonts w:hint="eastAsia" w:ascii="仿宋_GB2312" w:hAnsi="仿宋_GB2312" w:eastAsia="仿宋_GB2312" w:cs="仿宋_GB2312"/>
          <w:sz w:val="32"/>
          <w:szCs w:val="32"/>
          <w:highlight w:val="none"/>
        </w:rPr>
        <w:t>政府性基金预算</w:t>
      </w:r>
      <w:r>
        <w:rPr>
          <w:rFonts w:hint="eastAsia" w:ascii="仿宋_GB2312" w:hAnsi="仿宋_GB2312" w:eastAsia="仿宋_GB2312" w:cs="仿宋_GB2312"/>
          <w:sz w:val="32"/>
          <w:szCs w:val="32"/>
          <w:highlight w:val="none"/>
          <w:lang w:eastAsia="zh-CN"/>
        </w:rPr>
        <w:t>收支，并</w:t>
      </w:r>
      <w:r>
        <w:rPr>
          <w:rFonts w:hint="eastAsia" w:ascii="仿宋_GB2312" w:hAnsi="仿宋_GB2312" w:eastAsia="仿宋_GB2312" w:cs="仿宋_GB2312"/>
          <w:sz w:val="32"/>
          <w:szCs w:val="32"/>
          <w:highlight w:val="none"/>
        </w:rPr>
        <w:t>已公开空表</w:t>
      </w:r>
      <w:r>
        <w:rPr>
          <w:rFonts w:hint="eastAsia" w:ascii="仿宋_GB2312" w:hAnsi="仿宋_GB2312" w:eastAsia="仿宋_GB2312" w:cs="仿宋_GB2312"/>
          <w:sz w:val="32"/>
          <w:szCs w:val="32"/>
          <w:highlight w:val="none"/>
          <w:lang w:eastAsia="zh-CN"/>
        </w:rPr>
        <w:t>。</w:t>
      </w:r>
    </w:p>
    <w:p>
      <w:pPr>
        <w:ind w:firstLine="640"/>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lang w:eastAsia="zh-CN"/>
        </w:rPr>
        <w:t>（五）</w:t>
      </w:r>
      <w:r>
        <w:rPr>
          <w:rFonts w:hint="eastAsia" w:ascii="仿宋_GB2312" w:hAnsi="仿宋_GB2312" w:eastAsia="仿宋_GB2312" w:cs="仿宋_GB2312"/>
          <w:b/>
          <w:bCs/>
          <w:sz w:val="32"/>
          <w:szCs w:val="32"/>
          <w:highlight w:val="none"/>
        </w:rPr>
        <w:t>国有资本经营预算拨款收支情况</w:t>
      </w:r>
    </w:p>
    <w:p>
      <w:pPr>
        <w:ind w:firstLine="64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本</w:t>
      </w:r>
      <w:r>
        <w:rPr>
          <w:rFonts w:hint="eastAsia" w:ascii="仿宋_GB2312" w:hAnsi="仿宋_GB2312" w:eastAsia="仿宋_GB2312" w:cs="仿宋_GB2312"/>
          <w:sz w:val="32"/>
          <w:szCs w:val="32"/>
          <w:highlight w:val="none"/>
          <w:lang w:val="en-US" w:eastAsia="zh-CN"/>
        </w:rPr>
        <w:t>单位</w:t>
      </w:r>
      <w:r>
        <w:rPr>
          <w:rFonts w:hint="eastAsia" w:ascii="仿宋_GB2312" w:hAnsi="仿宋_GB2312" w:eastAsia="仿宋_GB2312" w:cs="仿宋_GB2312"/>
          <w:sz w:val="32"/>
          <w:szCs w:val="32"/>
          <w:highlight w:val="none"/>
        </w:rPr>
        <w:t>无</w:t>
      </w:r>
      <w:r>
        <w:rPr>
          <w:rFonts w:hint="eastAsia" w:ascii="仿宋_GB2312" w:hAnsi="仿宋_GB2312" w:eastAsia="仿宋_GB2312" w:cs="仿宋_GB2312"/>
          <w:sz w:val="32"/>
          <w:szCs w:val="32"/>
          <w:highlight w:val="none"/>
          <w:lang w:eastAsia="zh-CN"/>
        </w:rPr>
        <w:t>当年</w:t>
      </w:r>
      <w:r>
        <w:rPr>
          <w:rFonts w:hint="eastAsia" w:ascii="仿宋_GB2312" w:hAnsi="仿宋_GB2312" w:eastAsia="仿宋_GB2312" w:cs="仿宋_GB2312"/>
          <w:sz w:val="32"/>
          <w:szCs w:val="32"/>
          <w:highlight w:val="none"/>
        </w:rPr>
        <w:t>国有资本经营预算收支</w:t>
      </w:r>
      <w:r>
        <w:rPr>
          <w:rFonts w:hint="eastAsia" w:ascii="仿宋_GB2312" w:hAnsi="仿宋_GB2312" w:eastAsia="仿宋_GB2312" w:cs="仿宋_GB2312"/>
          <w:sz w:val="32"/>
          <w:szCs w:val="32"/>
          <w:highlight w:val="none"/>
          <w:lang w:eastAsia="zh-CN"/>
        </w:rPr>
        <w:t>，并</w:t>
      </w:r>
      <w:r>
        <w:rPr>
          <w:rFonts w:hint="eastAsia" w:ascii="仿宋_GB2312" w:hAnsi="仿宋_GB2312" w:eastAsia="仿宋_GB2312" w:cs="仿宋_GB2312"/>
          <w:sz w:val="32"/>
          <w:szCs w:val="32"/>
          <w:highlight w:val="none"/>
        </w:rPr>
        <w:t>已公开空表。</w:t>
      </w:r>
    </w:p>
    <w:p>
      <w:pPr>
        <w:jc w:val="center"/>
        <w:rPr>
          <w:rFonts w:hint="default" w:ascii="仿宋_GB2312" w:hAnsi="仿宋_GB2312" w:eastAsia="仿宋_GB2312" w:cs="仿宋_GB2312"/>
          <w:sz w:val="32"/>
          <w:szCs w:val="32"/>
          <w:highlight w:val="none"/>
          <w:lang w:val="en-US" w:eastAsia="zh-CN"/>
        </w:rPr>
      </w:pPr>
      <w:r>
        <w:rPr>
          <w:rFonts w:hint="eastAsia" w:ascii="宋体" w:hAnsi="宋体" w:eastAsia="宋体" w:cs="宋体"/>
          <w:b/>
          <w:bCs/>
          <w:sz w:val="32"/>
          <w:szCs w:val="32"/>
          <w:highlight w:val="none"/>
          <w:lang w:eastAsia="zh-CN"/>
        </w:rPr>
        <w:t>第三部分</w:t>
      </w:r>
      <w:r>
        <w:rPr>
          <w:rFonts w:hint="eastAsia" w:ascii="宋体" w:hAnsi="宋体" w:eastAsia="宋体" w:cs="宋体"/>
          <w:b/>
          <w:bCs/>
          <w:sz w:val="32"/>
          <w:szCs w:val="32"/>
          <w:highlight w:val="none"/>
          <w:lang w:val="en-US" w:eastAsia="zh-CN"/>
        </w:rPr>
        <w:t xml:space="preserve">  其他情况</w:t>
      </w:r>
    </w:p>
    <w:p>
      <w:pPr>
        <w:ind w:firstLine="640"/>
        <w:rPr>
          <w:rFonts w:hint="eastAsia" w:ascii="仿宋_GB2312" w:hAnsi="仿宋_GB2312" w:eastAsia="仿宋_GB2312" w:cs="仿宋_GB2312"/>
          <w:b w:val="0"/>
          <w:bCs w:val="0"/>
          <w:sz w:val="32"/>
          <w:szCs w:val="32"/>
          <w:highlight w:val="none"/>
          <w:u w:val="single"/>
        </w:rPr>
      </w:pPr>
      <w:r>
        <w:rPr>
          <w:rFonts w:hint="eastAsia" w:ascii="仿宋_GB2312" w:hAnsi="仿宋_GB2312" w:eastAsia="仿宋_GB2312" w:cs="仿宋_GB2312"/>
          <w:b/>
          <w:bCs/>
          <w:sz w:val="32"/>
          <w:szCs w:val="32"/>
          <w:highlight w:val="none"/>
          <w:u w:val="none"/>
          <w:lang w:eastAsia="zh-CN"/>
        </w:rPr>
        <w:t>五</w:t>
      </w:r>
      <w:r>
        <w:rPr>
          <w:rFonts w:hint="eastAsia" w:ascii="仿宋_GB2312" w:hAnsi="仿宋_GB2312" w:eastAsia="仿宋_GB2312" w:cs="仿宋_GB2312"/>
          <w:b/>
          <w:bCs/>
          <w:sz w:val="32"/>
          <w:szCs w:val="32"/>
          <w:highlight w:val="none"/>
          <w:u w:val="none"/>
        </w:rPr>
        <w:t>、“三公”经费</w:t>
      </w:r>
      <w:r>
        <w:rPr>
          <w:rFonts w:hint="eastAsia" w:ascii="仿宋_GB2312" w:hAnsi="仿宋_GB2312" w:eastAsia="仿宋_GB2312" w:cs="仿宋_GB2312"/>
          <w:b/>
          <w:bCs/>
          <w:sz w:val="32"/>
          <w:szCs w:val="32"/>
          <w:highlight w:val="none"/>
          <w:u w:val="none"/>
          <w:lang w:eastAsia="zh-CN"/>
        </w:rPr>
        <w:t>及会议费、培训费</w:t>
      </w:r>
      <w:r>
        <w:rPr>
          <w:rFonts w:hint="eastAsia" w:ascii="仿宋_GB2312" w:hAnsi="仿宋_GB2312" w:eastAsia="仿宋_GB2312" w:cs="仿宋_GB2312"/>
          <w:b/>
          <w:bCs/>
          <w:sz w:val="32"/>
          <w:szCs w:val="32"/>
          <w:highlight w:val="none"/>
          <w:u w:val="none"/>
        </w:rPr>
        <w:t>情况</w:t>
      </w:r>
      <w:r>
        <w:rPr>
          <w:rFonts w:hint="eastAsia" w:ascii="仿宋_GB2312" w:hAnsi="仿宋_GB2312" w:eastAsia="仿宋_GB2312" w:cs="仿宋_GB2312"/>
          <w:b/>
          <w:bCs/>
          <w:sz w:val="32"/>
          <w:szCs w:val="32"/>
          <w:highlight w:val="none"/>
          <w:u w:val="none"/>
          <w:lang w:eastAsia="zh-CN"/>
        </w:rPr>
        <w:t>说明</w:t>
      </w:r>
    </w:p>
    <w:p>
      <w:pPr>
        <w:ind w:firstLine="640"/>
        <w:rPr>
          <w:rFonts w:hint="eastAsia" w:ascii="仿宋_GB2312" w:hAnsi="仿宋_GB2312" w:eastAsia="仿宋_GB2312" w:cs="仿宋_GB2312"/>
          <w:sz w:val="32"/>
          <w:szCs w:val="32"/>
          <w:highlight w:val="none"/>
          <w:u w:val="none"/>
          <w:lang w:val="en-US" w:eastAsia="zh-CN"/>
        </w:rPr>
      </w:pPr>
      <w:r>
        <w:rPr>
          <w:rFonts w:hint="eastAsia" w:ascii="仿宋_GB2312" w:hAnsi="仿宋_GB2312" w:eastAsia="仿宋_GB2312" w:cs="仿宋_GB2312"/>
          <w:sz w:val="32"/>
          <w:szCs w:val="32"/>
          <w:highlight w:val="none"/>
          <w:lang w:val="en-US" w:eastAsia="zh-CN"/>
        </w:rPr>
        <w:t>本单位当年一般公共预算“三公”经费预算支出0.21万元，较上年减少0.06万元（22.22%），减少的主要原因是工作人员人数变动，预算支出减少。其中：因公出国（境）经费0万元，较上年增加（减少）0万元（0%），主要原因是</w:t>
      </w:r>
      <w:r>
        <w:rPr>
          <w:rFonts w:hint="eastAsia" w:ascii="仿宋_GB2312" w:hAnsi="仿宋_GB2312" w:eastAsia="仿宋_GB2312" w:cs="仿宋_GB2312"/>
          <w:sz w:val="32"/>
          <w:szCs w:val="32"/>
        </w:rPr>
        <w:t>本部门均无此项经费预算</w:t>
      </w:r>
      <w:r>
        <w:rPr>
          <w:rFonts w:hint="eastAsia" w:ascii="仿宋_GB2312" w:hAnsi="仿宋_GB2312" w:eastAsia="仿宋_GB2312" w:cs="仿宋_GB2312"/>
          <w:sz w:val="32"/>
          <w:szCs w:val="32"/>
          <w:highlight w:val="none"/>
          <w:lang w:val="en-US" w:eastAsia="zh-CN"/>
        </w:rPr>
        <w:t>；公务接待费费0.21万元，较上年减少0.06万元（22.22%），减少的主要原因是工作人员人数变动，预算支出减少；公务用车运行维护费0万元，较上年增加（减少）0万元（0%），主要原因是</w:t>
      </w:r>
      <w:r>
        <w:rPr>
          <w:rFonts w:hint="eastAsia" w:ascii="仿宋_GB2312" w:hAnsi="仿宋_GB2312" w:eastAsia="仿宋_GB2312" w:cs="仿宋_GB2312"/>
          <w:sz w:val="32"/>
          <w:szCs w:val="32"/>
        </w:rPr>
        <w:t>本部门均无此项经费预算</w:t>
      </w:r>
      <w:r>
        <w:rPr>
          <w:rFonts w:hint="eastAsia" w:ascii="仿宋_GB2312" w:hAnsi="仿宋_GB2312" w:eastAsia="仿宋_GB2312" w:cs="仿宋_GB2312"/>
          <w:sz w:val="32"/>
          <w:szCs w:val="32"/>
          <w:highlight w:val="none"/>
          <w:lang w:val="en-US" w:eastAsia="zh-CN"/>
        </w:rPr>
        <w:t>；公务用车购置费0万元，较上年增加（减少）0万元（0%），主要原因是</w:t>
      </w:r>
      <w:r>
        <w:rPr>
          <w:rFonts w:hint="eastAsia" w:ascii="仿宋_GB2312" w:hAnsi="仿宋_GB2312" w:eastAsia="仿宋_GB2312" w:cs="仿宋_GB2312"/>
          <w:sz w:val="32"/>
          <w:szCs w:val="32"/>
        </w:rPr>
        <w:t>本部门均无此项经费预算</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u w:val="none"/>
          <w:lang w:val="en-US" w:eastAsia="zh-CN"/>
        </w:rPr>
        <w:t>本</w:t>
      </w:r>
      <w:r>
        <w:rPr>
          <w:rFonts w:hint="eastAsia" w:ascii="仿宋_GB2312" w:hAnsi="仿宋_GB2312" w:eastAsia="仿宋_GB2312" w:cs="仿宋_GB2312"/>
          <w:sz w:val="32"/>
          <w:szCs w:val="32"/>
          <w:highlight w:val="none"/>
          <w:lang w:val="en-US" w:eastAsia="zh-CN"/>
        </w:rPr>
        <w:t>单位</w:t>
      </w:r>
      <w:r>
        <w:rPr>
          <w:rFonts w:hint="eastAsia" w:ascii="仿宋_GB2312" w:hAnsi="仿宋_GB2312" w:eastAsia="仿宋_GB2312" w:cs="仿宋_GB2312"/>
          <w:sz w:val="32"/>
          <w:szCs w:val="32"/>
          <w:highlight w:val="none"/>
          <w:u w:val="none"/>
          <w:lang w:val="en-US" w:eastAsia="zh-CN"/>
        </w:rPr>
        <w:t>当年一般公共预算会议费预算支出0万元，较上年增加（减少）0万元（0%），主要原因是</w:t>
      </w:r>
      <w:r>
        <w:rPr>
          <w:rFonts w:hint="eastAsia" w:ascii="仿宋_GB2312" w:hAnsi="仿宋_GB2312" w:eastAsia="仿宋_GB2312" w:cs="仿宋_GB2312"/>
          <w:sz w:val="32"/>
          <w:szCs w:val="32"/>
        </w:rPr>
        <w:t>本部门均无此项经费预算</w:t>
      </w:r>
      <w:r>
        <w:rPr>
          <w:rFonts w:hint="eastAsia" w:ascii="仿宋_GB2312" w:hAnsi="仿宋_GB2312" w:eastAsia="仿宋_GB2312" w:cs="仿宋_GB2312"/>
          <w:sz w:val="32"/>
          <w:szCs w:val="32"/>
          <w:highlight w:val="none"/>
          <w:u w:val="none"/>
          <w:lang w:val="en-US" w:eastAsia="zh-CN"/>
        </w:rPr>
        <w:t>。本</w:t>
      </w:r>
      <w:r>
        <w:rPr>
          <w:rFonts w:hint="eastAsia" w:ascii="仿宋_GB2312" w:hAnsi="仿宋_GB2312" w:eastAsia="仿宋_GB2312" w:cs="仿宋_GB2312"/>
          <w:sz w:val="32"/>
          <w:szCs w:val="32"/>
          <w:highlight w:val="none"/>
          <w:lang w:val="en-US" w:eastAsia="zh-CN"/>
        </w:rPr>
        <w:t>单位</w:t>
      </w:r>
      <w:r>
        <w:rPr>
          <w:rFonts w:hint="eastAsia" w:ascii="仿宋_GB2312" w:hAnsi="仿宋_GB2312" w:eastAsia="仿宋_GB2312" w:cs="仿宋_GB2312"/>
          <w:sz w:val="32"/>
          <w:szCs w:val="32"/>
          <w:highlight w:val="none"/>
          <w:u w:val="none"/>
          <w:lang w:val="en-US" w:eastAsia="zh-CN"/>
        </w:rPr>
        <w:t>当年一般公共预算培训费预算支出0万元，较上年增加（减少）0万元（0%），主要原因是</w:t>
      </w:r>
      <w:r>
        <w:rPr>
          <w:rFonts w:hint="eastAsia" w:ascii="仿宋_GB2312" w:hAnsi="仿宋_GB2312" w:eastAsia="仿宋_GB2312" w:cs="仿宋_GB2312"/>
          <w:sz w:val="32"/>
          <w:szCs w:val="32"/>
        </w:rPr>
        <w:t>本部门均无此项经费预算</w:t>
      </w:r>
      <w:r>
        <w:rPr>
          <w:rFonts w:hint="eastAsia" w:ascii="仿宋_GB2312" w:hAnsi="仿宋_GB2312" w:eastAsia="仿宋_GB2312" w:cs="仿宋_GB2312"/>
          <w:sz w:val="32"/>
          <w:szCs w:val="32"/>
          <w:highlight w:val="none"/>
          <w:u w:val="none"/>
          <w:lang w:val="en-US" w:eastAsia="zh-CN"/>
        </w:rPr>
        <w:t xml:space="preserve">。 </w:t>
      </w:r>
    </w:p>
    <w:p>
      <w:pPr>
        <w:ind w:left="0" w:leftChars="0" w:firstLine="0" w:firstLineChars="0"/>
        <w:jc w:val="center"/>
        <w:rPr>
          <w:rFonts w:hint="eastAsia" w:ascii="黑体" w:hAnsi="黑体" w:eastAsia="黑体" w:cs="黑体"/>
          <w:sz w:val="32"/>
          <w:szCs w:val="32"/>
          <w:highlight w:val="none"/>
          <w:u w:val="none"/>
          <w:lang w:val="en-US" w:eastAsia="zh-CN"/>
        </w:rPr>
      </w:pPr>
      <w:r>
        <w:rPr>
          <w:rFonts w:hint="eastAsia" w:ascii="黑体" w:hAnsi="黑体" w:eastAsia="黑体" w:cs="黑体"/>
          <w:sz w:val="32"/>
          <w:szCs w:val="32"/>
          <w:highlight w:val="none"/>
          <w:u w:val="none"/>
          <w:lang w:val="en-US" w:eastAsia="zh-CN"/>
        </w:rPr>
        <w:t xml:space="preserve">会议费培训费明细 </w:t>
      </w:r>
    </w:p>
    <w:p>
      <w:pPr>
        <w:ind w:firstLine="640"/>
        <w:jc w:val="right"/>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u w:val="none"/>
          <w:lang w:val="en-US" w:eastAsia="zh-CN"/>
        </w:rPr>
        <w:t>单位：万元</w:t>
      </w:r>
    </w:p>
    <w:tbl>
      <w:tblPr>
        <w:tblStyle w:val="6"/>
        <w:tblW w:w="85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1"/>
        <w:gridCol w:w="2250"/>
        <w:gridCol w:w="2693"/>
        <w:gridCol w:w="870"/>
        <w:gridCol w:w="990"/>
        <w:gridCol w:w="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pPr>
              <w:spacing w:line="360" w:lineRule="auto"/>
              <w:jc w:val="center"/>
              <w:rPr>
                <w:rFonts w:hint="eastAsia" w:ascii="黑体" w:hAnsi="黑体" w:eastAsia="黑体" w:cs="黑体"/>
                <w:sz w:val="30"/>
                <w:szCs w:val="30"/>
                <w:highlight w:val="none"/>
                <w:vertAlign w:val="baseline"/>
                <w:lang w:eastAsia="zh-CN"/>
              </w:rPr>
            </w:pPr>
            <w:r>
              <w:rPr>
                <w:rFonts w:hint="eastAsia" w:ascii="黑体" w:hAnsi="黑体" w:eastAsia="黑体" w:cs="黑体"/>
                <w:sz w:val="30"/>
                <w:szCs w:val="30"/>
                <w:highlight w:val="none"/>
                <w:vertAlign w:val="baseline"/>
                <w:lang w:eastAsia="zh-CN"/>
              </w:rPr>
              <w:t>序号</w:t>
            </w:r>
          </w:p>
        </w:tc>
        <w:tc>
          <w:tcPr>
            <w:tcW w:w="2250" w:type="dxa"/>
            <w:noWrap w:val="0"/>
            <w:vAlign w:val="top"/>
          </w:tcPr>
          <w:p>
            <w:pPr>
              <w:spacing w:line="360" w:lineRule="auto"/>
              <w:jc w:val="center"/>
              <w:rPr>
                <w:rFonts w:hint="eastAsia" w:ascii="黑体" w:hAnsi="黑体" w:eastAsia="黑体" w:cs="黑体"/>
                <w:sz w:val="30"/>
                <w:szCs w:val="30"/>
                <w:highlight w:val="none"/>
                <w:vertAlign w:val="baseline"/>
                <w:lang w:eastAsia="zh-CN"/>
              </w:rPr>
            </w:pPr>
            <w:r>
              <w:rPr>
                <w:rFonts w:hint="eastAsia" w:ascii="黑体" w:hAnsi="黑体" w:eastAsia="黑体" w:cs="黑体"/>
                <w:sz w:val="30"/>
                <w:szCs w:val="30"/>
                <w:highlight w:val="none"/>
                <w:vertAlign w:val="baseline"/>
                <w:lang w:eastAsia="zh-CN"/>
              </w:rPr>
              <w:t>会议</w:t>
            </w:r>
            <w:r>
              <w:rPr>
                <w:rFonts w:hint="eastAsia" w:ascii="黑体" w:hAnsi="黑体" w:eastAsia="黑体" w:cs="黑体"/>
                <w:sz w:val="30"/>
                <w:szCs w:val="30"/>
                <w:highlight w:val="none"/>
                <w:vertAlign w:val="baseline"/>
                <w:lang w:val="en-US" w:eastAsia="zh-CN"/>
              </w:rPr>
              <w:t>/培训</w:t>
            </w:r>
            <w:r>
              <w:rPr>
                <w:rFonts w:hint="eastAsia" w:ascii="黑体" w:hAnsi="黑体" w:eastAsia="黑体" w:cs="黑体"/>
                <w:sz w:val="30"/>
                <w:szCs w:val="30"/>
                <w:highlight w:val="none"/>
                <w:vertAlign w:val="baseline"/>
                <w:lang w:eastAsia="zh-CN"/>
              </w:rPr>
              <w:t>名称</w:t>
            </w:r>
          </w:p>
        </w:tc>
        <w:tc>
          <w:tcPr>
            <w:tcW w:w="2693" w:type="dxa"/>
            <w:noWrap w:val="0"/>
            <w:vAlign w:val="top"/>
          </w:tcPr>
          <w:p>
            <w:pPr>
              <w:spacing w:line="360" w:lineRule="auto"/>
              <w:jc w:val="center"/>
              <w:rPr>
                <w:rFonts w:hint="eastAsia" w:ascii="黑体" w:hAnsi="黑体" w:eastAsia="黑体" w:cs="黑体"/>
                <w:sz w:val="30"/>
                <w:szCs w:val="30"/>
                <w:highlight w:val="none"/>
                <w:vertAlign w:val="baseline"/>
                <w:lang w:eastAsia="zh-CN"/>
              </w:rPr>
            </w:pPr>
            <w:r>
              <w:rPr>
                <w:rFonts w:hint="eastAsia" w:ascii="黑体" w:hAnsi="黑体" w:eastAsia="黑体" w:cs="黑体"/>
                <w:sz w:val="30"/>
                <w:szCs w:val="30"/>
                <w:highlight w:val="none"/>
                <w:vertAlign w:val="baseline"/>
                <w:lang w:eastAsia="zh-CN"/>
              </w:rPr>
              <w:t>时间</w:t>
            </w:r>
          </w:p>
        </w:tc>
        <w:tc>
          <w:tcPr>
            <w:tcW w:w="870" w:type="dxa"/>
            <w:noWrap w:val="0"/>
            <w:vAlign w:val="top"/>
          </w:tcPr>
          <w:p>
            <w:pPr>
              <w:spacing w:line="360" w:lineRule="auto"/>
              <w:jc w:val="center"/>
              <w:rPr>
                <w:rFonts w:hint="eastAsia" w:ascii="黑体" w:hAnsi="黑体" w:eastAsia="黑体" w:cs="黑体"/>
                <w:sz w:val="30"/>
                <w:szCs w:val="30"/>
                <w:highlight w:val="none"/>
                <w:vertAlign w:val="baseline"/>
                <w:lang w:eastAsia="zh-CN"/>
              </w:rPr>
            </w:pPr>
            <w:r>
              <w:rPr>
                <w:rFonts w:hint="eastAsia" w:ascii="黑体" w:hAnsi="黑体" w:eastAsia="黑体" w:cs="黑体"/>
                <w:sz w:val="30"/>
                <w:szCs w:val="30"/>
                <w:highlight w:val="none"/>
                <w:vertAlign w:val="baseline"/>
                <w:lang w:eastAsia="zh-CN"/>
              </w:rPr>
              <w:t>人数</w:t>
            </w:r>
          </w:p>
        </w:tc>
        <w:tc>
          <w:tcPr>
            <w:tcW w:w="990" w:type="dxa"/>
            <w:noWrap w:val="0"/>
            <w:vAlign w:val="top"/>
          </w:tcPr>
          <w:p>
            <w:pPr>
              <w:spacing w:line="360" w:lineRule="auto"/>
              <w:jc w:val="center"/>
              <w:rPr>
                <w:rFonts w:hint="eastAsia" w:ascii="黑体" w:hAnsi="黑体" w:eastAsia="黑体" w:cs="黑体"/>
                <w:sz w:val="30"/>
                <w:szCs w:val="30"/>
                <w:highlight w:val="none"/>
                <w:vertAlign w:val="baseline"/>
                <w:lang w:eastAsia="zh-CN"/>
              </w:rPr>
            </w:pPr>
            <w:r>
              <w:rPr>
                <w:rFonts w:hint="eastAsia" w:ascii="黑体" w:hAnsi="黑体" w:eastAsia="黑体" w:cs="黑体"/>
                <w:sz w:val="30"/>
                <w:szCs w:val="30"/>
                <w:highlight w:val="none"/>
                <w:vertAlign w:val="baseline"/>
                <w:lang w:eastAsia="zh-CN"/>
              </w:rPr>
              <w:t>金额</w:t>
            </w:r>
          </w:p>
        </w:tc>
        <w:tc>
          <w:tcPr>
            <w:tcW w:w="880" w:type="dxa"/>
            <w:noWrap w:val="0"/>
            <w:vAlign w:val="top"/>
          </w:tcPr>
          <w:p>
            <w:pPr>
              <w:spacing w:line="360" w:lineRule="auto"/>
              <w:jc w:val="center"/>
              <w:rPr>
                <w:rFonts w:hint="eastAsia" w:ascii="黑体" w:hAnsi="黑体" w:eastAsia="黑体" w:cs="黑体"/>
                <w:sz w:val="30"/>
                <w:szCs w:val="30"/>
                <w:highlight w:val="none"/>
                <w:vertAlign w:val="baseline"/>
                <w:lang w:eastAsia="zh-CN"/>
              </w:rPr>
            </w:pPr>
            <w:r>
              <w:rPr>
                <w:rFonts w:hint="eastAsia" w:ascii="黑体" w:hAnsi="黑体" w:eastAsia="黑体" w:cs="黑体"/>
                <w:sz w:val="30"/>
                <w:szCs w:val="30"/>
                <w:highlight w:val="none"/>
                <w:vertAlign w:val="baseli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841" w:type="dxa"/>
            <w:noWrap w:val="0"/>
            <w:vAlign w:val="top"/>
          </w:tcPr>
          <w:p>
            <w:pPr>
              <w:spacing w:line="360" w:lineRule="auto"/>
              <w:jc w:val="center"/>
              <w:rPr>
                <w:rFonts w:hint="eastAsia" w:ascii="仿宋_GB2312" w:hAnsi="仿宋_GB2312" w:eastAsia="仿宋_GB2312" w:cs="仿宋_GB2312"/>
                <w:sz w:val="24"/>
                <w:szCs w:val="24"/>
                <w:highlight w:val="none"/>
                <w:vertAlign w:val="baseline"/>
                <w:lang w:val="en-US" w:eastAsia="zh-CN"/>
              </w:rPr>
            </w:pPr>
          </w:p>
        </w:tc>
        <w:tc>
          <w:tcPr>
            <w:tcW w:w="2250" w:type="dxa"/>
            <w:noWrap w:val="0"/>
            <w:vAlign w:val="top"/>
          </w:tcPr>
          <w:p>
            <w:pPr>
              <w:spacing w:line="360" w:lineRule="auto"/>
              <w:rPr>
                <w:rFonts w:hint="default" w:ascii="仿宋_GB2312" w:hAnsi="仿宋_GB2312" w:eastAsia="仿宋_GB2312" w:cs="仿宋_GB2312"/>
                <w:sz w:val="24"/>
                <w:szCs w:val="24"/>
                <w:highlight w:val="none"/>
                <w:vertAlign w:val="baseline"/>
                <w:lang w:val="en-US" w:eastAsia="zh-CN"/>
              </w:rPr>
            </w:pPr>
          </w:p>
        </w:tc>
        <w:tc>
          <w:tcPr>
            <w:tcW w:w="2693" w:type="dxa"/>
            <w:noWrap w:val="0"/>
            <w:vAlign w:val="top"/>
          </w:tcPr>
          <w:p>
            <w:pPr>
              <w:spacing w:line="360" w:lineRule="auto"/>
              <w:rPr>
                <w:rFonts w:hint="default" w:ascii="仿宋_GB2312" w:hAnsi="仿宋_GB2312" w:eastAsia="仿宋_GB2312" w:cs="仿宋_GB2312"/>
                <w:sz w:val="24"/>
                <w:szCs w:val="24"/>
                <w:highlight w:val="none"/>
                <w:vertAlign w:val="baseline"/>
                <w:lang w:val="en-US" w:eastAsia="zh-CN"/>
              </w:rPr>
            </w:pPr>
          </w:p>
        </w:tc>
        <w:tc>
          <w:tcPr>
            <w:tcW w:w="870" w:type="dxa"/>
            <w:noWrap w:val="0"/>
            <w:vAlign w:val="top"/>
          </w:tcPr>
          <w:p>
            <w:pPr>
              <w:spacing w:line="360" w:lineRule="auto"/>
              <w:rPr>
                <w:rFonts w:hint="default" w:ascii="仿宋_GB2312" w:hAnsi="仿宋_GB2312" w:eastAsia="仿宋_GB2312" w:cs="仿宋_GB2312"/>
                <w:sz w:val="24"/>
                <w:szCs w:val="24"/>
                <w:highlight w:val="none"/>
                <w:vertAlign w:val="baseline"/>
                <w:lang w:val="en-US" w:eastAsia="zh-CN"/>
              </w:rPr>
            </w:pPr>
          </w:p>
        </w:tc>
        <w:tc>
          <w:tcPr>
            <w:tcW w:w="990" w:type="dxa"/>
            <w:noWrap w:val="0"/>
            <w:vAlign w:val="top"/>
          </w:tcPr>
          <w:p>
            <w:pPr>
              <w:spacing w:line="360" w:lineRule="auto"/>
              <w:jc w:val="center"/>
              <w:rPr>
                <w:rFonts w:hint="default" w:ascii="仿宋_GB2312" w:hAnsi="仿宋_GB2312" w:eastAsia="仿宋_GB2312" w:cs="仿宋_GB2312"/>
                <w:sz w:val="24"/>
                <w:szCs w:val="24"/>
                <w:highlight w:val="none"/>
                <w:vertAlign w:val="baseline"/>
                <w:lang w:val="en-US" w:eastAsia="zh-CN"/>
              </w:rPr>
            </w:pPr>
          </w:p>
        </w:tc>
        <w:tc>
          <w:tcPr>
            <w:tcW w:w="880" w:type="dxa"/>
            <w:noWrap w:val="0"/>
            <w:vAlign w:val="top"/>
          </w:tcPr>
          <w:p>
            <w:pPr>
              <w:spacing w:line="360" w:lineRule="auto"/>
              <w:rPr>
                <w:rFonts w:hint="eastAsia" w:ascii="仿宋_GB2312" w:hAnsi="仿宋_GB2312" w:eastAsia="仿宋_GB2312" w:cs="仿宋_GB2312"/>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pPr>
              <w:spacing w:line="360" w:lineRule="auto"/>
              <w:jc w:val="center"/>
              <w:rPr>
                <w:rFonts w:hint="eastAsia" w:ascii="仿宋_GB2312" w:hAnsi="仿宋_GB2312" w:eastAsia="仿宋_GB2312" w:cs="仿宋_GB2312"/>
                <w:sz w:val="24"/>
                <w:szCs w:val="24"/>
                <w:highlight w:val="none"/>
                <w:vertAlign w:val="baseline"/>
                <w:lang w:val="en-US" w:eastAsia="zh-CN"/>
              </w:rPr>
            </w:pPr>
          </w:p>
        </w:tc>
        <w:tc>
          <w:tcPr>
            <w:tcW w:w="2250" w:type="dxa"/>
            <w:noWrap w:val="0"/>
            <w:vAlign w:val="top"/>
          </w:tcPr>
          <w:p>
            <w:pPr>
              <w:spacing w:line="360" w:lineRule="auto"/>
              <w:rPr>
                <w:rFonts w:hint="default" w:ascii="仿宋_GB2312" w:hAnsi="仿宋_GB2312" w:eastAsia="仿宋_GB2312" w:cs="仿宋_GB2312"/>
                <w:sz w:val="24"/>
                <w:szCs w:val="24"/>
                <w:highlight w:val="none"/>
                <w:vertAlign w:val="baseline"/>
                <w:lang w:val="en-US" w:eastAsia="zh-CN"/>
              </w:rPr>
            </w:pPr>
          </w:p>
        </w:tc>
        <w:tc>
          <w:tcPr>
            <w:tcW w:w="2693" w:type="dxa"/>
            <w:noWrap w:val="0"/>
            <w:vAlign w:val="top"/>
          </w:tcPr>
          <w:p>
            <w:pPr>
              <w:spacing w:line="360" w:lineRule="auto"/>
              <w:rPr>
                <w:rFonts w:hint="eastAsia" w:ascii="仿宋_GB2312" w:hAnsi="仿宋_GB2312" w:eastAsia="仿宋_GB2312" w:cs="仿宋_GB2312"/>
                <w:sz w:val="24"/>
                <w:szCs w:val="24"/>
                <w:highlight w:val="none"/>
                <w:vertAlign w:val="baseline"/>
                <w:lang w:val="en-US" w:eastAsia="zh-CN"/>
              </w:rPr>
            </w:pPr>
          </w:p>
        </w:tc>
        <w:tc>
          <w:tcPr>
            <w:tcW w:w="870" w:type="dxa"/>
            <w:noWrap w:val="0"/>
            <w:vAlign w:val="top"/>
          </w:tcPr>
          <w:p>
            <w:pPr>
              <w:spacing w:line="360" w:lineRule="auto"/>
              <w:rPr>
                <w:rFonts w:hint="eastAsia" w:ascii="仿宋_GB2312" w:hAnsi="仿宋_GB2312" w:eastAsia="仿宋_GB2312" w:cs="仿宋_GB2312"/>
                <w:sz w:val="24"/>
                <w:szCs w:val="24"/>
                <w:highlight w:val="none"/>
                <w:vertAlign w:val="baseline"/>
                <w:lang w:val="en-US" w:eastAsia="zh-CN"/>
              </w:rPr>
            </w:pPr>
          </w:p>
        </w:tc>
        <w:tc>
          <w:tcPr>
            <w:tcW w:w="990" w:type="dxa"/>
            <w:noWrap w:val="0"/>
            <w:vAlign w:val="top"/>
          </w:tcPr>
          <w:p>
            <w:pPr>
              <w:spacing w:line="360" w:lineRule="auto"/>
              <w:jc w:val="center"/>
              <w:rPr>
                <w:rFonts w:hint="eastAsia" w:ascii="仿宋_GB2312" w:hAnsi="仿宋_GB2312" w:eastAsia="仿宋_GB2312" w:cs="仿宋_GB2312"/>
                <w:sz w:val="24"/>
                <w:szCs w:val="24"/>
                <w:highlight w:val="none"/>
                <w:vertAlign w:val="baseline"/>
                <w:lang w:val="en-US" w:eastAsia="zh-CN"/>
              </w:rPr>
            </w:pPr>
          </w:p>
        </w:tc>
        <w:tc>
          <w:tcPr>
            <w:tcW w:w="880" w:type="dxa"/>
            <w:noWrap w:val="0"/>
            <w:vAlign w:val="top"/>
          </w:tcPr>
          <w:p>
            <w:pPr>
              <w:spacing w:line="360" w:lineRule="auto"/>
              <w:rPr>
                <w:rFonts w:hint="eastAsia" w:ascii="仿宋_GB2312" w:hAnsi="仿宋_GB2312" w:eastAsia="仿宋_GB2312" w:cs="仿宋_GB2312"/>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pPr>
              <w:spacing w:line="360" w:lineRule="auto"/>
              <w:jc w:val="center"/>
              <w:rPr>
                <w:rFonts w:hint="eastAsia" w:ascii="仿宋_GB2312" w:hAnsi="仿宋_GB2312" w:eastAsia="仿宋_GB2312" w:cs="仿宋_GB2312"/>
                <w:sz w:val="24"/>
                <w:szCs w:val="24"/>
                <w:highlight w:val="none"/>
                <w:vertAlign w:val="baseline"/>
                <w:lang w:val="en-US" w:eastAsia="zh-CN"/>
              </w:rPr>
            </w:pPr>
          </w:p>
        </w:tc>
        <w:tc>
          <w:tcPr>
            <w:tcW w:w="2250" w:type="dxa"/>
            <w:noWrap w:val="0"/>
            <w:vAlign w:val="top"/>
          </w:tcPr>
          <w:p>
            <w:pPr>
              <w:spacing w:line="360" w:lineRule="auto"/>
              <w:rPr>
                <w:rFonts w:hint="eastAsia" w:ascii="仿宋_GB2312" w:hAnsi="仿宋_GB2312" w:eastAsia="仿宋_GB2312" w:cs="仿宋_GB2312"/>
                <w:sz w:val="24"/>
                <w:szCs w:val="24"/>
                <w:highlight w:val="none"/>
                <w:vertAlign w:val="baseline"/>
              </w:rPr>
            </w:pPr>
          </w:p>
        </w:tc>
        <w:tc>
          <w:tcPr>
            <w:tcW w:w="2693" w:type="dxa"/>
            <w:noWrap w:val="0"/>
            <w:vAlign w:val="top"/>
          </w:tcPr>
          <w:p>
            <w:pPr>
              <w:spacing w:line="360" w:lineRule="auto"/>
              <w:rPr>
                <w:rFonts w:hint="eastAsia" w:ascii="仿宋_GB2312" w:hAnsi="仿宋_GB2312" w:eastAsia="仿宋_GB2312" w:cs="仿宋_GB2312"/>
                <w:sz w:val="24"/>
                <w:szCs w:val="24"/>
                <w:highlight w:val="none"/>
                <w:vertAlign w:val="baseline"/>
                <w:lang w:eastAsia="zh-CN"/>
              </w:rPr>
            </w:pPr>
          </w:p>
        </w:tc>
        <w:tc>
          <w:tcPr>
            <w:tcW w:w="870" w:type="dxa"/>
            <w:noWrap w:val="0"/>
            <w:vAlign w:val="top"/>
          </w:tcPr>
          <w:p>
            <w:pPr>
              <w:spacing w:line="360" w:lineRule="auto"/>
              <w:rPr>
                <w:rFonts w:hint="eastAsia" w:ascii="仿宋_GB2312" w:hAnsi="仿宋_GB2312" w:eastAsia="仿宋_GB2312" w:cs="仿宋_GB2312"/>
                <w:sz w:val="24"/>
                <w:szCs w:val="24"/>
                <w:highlight w:val="none"/>
                <w:vertAlign w:val="baseline"/>
                <w:lang w:eastAsia="zh-CN"/>
              </w:rPr>
            </w:pPr>
          </w:p>
        </w:tc>
        <w:tc>
          <w:tcPr>
            <w:tcW w:w="990" w:type="dxa"/>
            <w:noWrap w:val="0"/>
            <w:vAlign w:val="top"/>
          </w:tcPr>
          <w:p>
            <w:pPr>
              <w:spacing w:line="360" w:lineRule="auto"/>
              <w:rPr>
                <w:rFonts w:hint="eastAsia" w:ascii="仿宋_GB2312" w:hAnsi="仿宋_GB2312" w:eastAsia="仿宋_GB2312" w:cs="仿宋_GB2312"/>
                <w:sz w:val="24"/>
                <w:szCs w:val="24"/>
                <w:highlight w:val="none"/>
                <w:vertAlign w:val="baseline"/>
                <w:lang w:eastAsia="zh-CN"/>
              </w:rPr>
            </w:pPr>
          </w:p>
        </w:tc>
        <w:tc>
          <w:tcPr>
            <w:tcW w:w="880" w:type="dxa"/>
            <w:noWrap w:val="0"/>
            <w:vAlign w:val="top"/>
          </w:tcPr>
          <w:p>
            <w:pPr>
              <w:spacing w:line="360" w:lineRule="auto"/>
              <w:rPr>
                <w:rFonts w:hint="eastAsia" w:ascii="仿宋_GB2312" w:hAnsi="仿宋_GB2312" w:eastAsia="仿宋_GB2312" w:cs="仿宋_GB2312"/>
                <w:sz w:val="24"/>
                <w:szCs w:val="24"/>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1" w:type="dxa"/>
            <w:noWrap w:val="0"/>
            <w:vAlign w:val="top"/>
          </w:tcPr>
          <w:p>
            <w:pPr>
              <w:spacing w:line="360" w:lineRule="auto"/>
              <w:jc w:val="center"/>
              <w:rPr>
                <w:rFonts w:hint="eastAsia" w:ascii="仿宋_GB2312" w:hAnsi="仿宋_GB2312" w:eastAsia="仿宋_GB2312" w:cs="仿宋_GB2312"/>
                <w:sz w:val="24"/>
                <w:szCs w:val="24"/>
                <w:highlight w:val="none"/>
                <w:vertAlign w:val="baseline"/>
                <w:lang w:val="en-US" w:eastAsia="zh-CN"/>
              </w:rPr>
            </w:pPr>
          </w:p>
        </w:tc>
        <w:tc>
          <w:tcPr>
            <w:tcW w:w="2250" w:type="dxa"/>
            <w:noWrap w:val="0"/>
            <w:vAlign w:val="top"/>
          </w:tcPr>
          <w:p>
            <w:pPr>
              <w:spacing w:line="360" w:lineRule="auto"/>
              <w:rPr>
                <w:rFonts w:hint="eastAsia" w:ascii="仿宋_GB2312" w:hAnsi="仿宋_GB2312" w:eastAsia="仿宋_GB2312" w:cs="仿宋_GB2312"/>
                <w:sz w:val="24"/>
                <w:szCs w:val="24"/>
                <w:highlight w:val="none"/>
                <w:vertAlign w:val="baseline"/>
                <w:lang w:eastAsia="zh-CN"/>
              </w:rPr>
            </w:pPr>
          </w:p>
        </w:tc>
        <w:tc>
          <w:tcPr>
            <w:tcW w:w="2693" w:type="dxa"/>
            <w:noWrap w:val="0"/>
            <w:vAlign w:val="top"/>
          </w:tcPr>
          <w:p>
            <w:pPr>
              <w:spacing w:line="360" w:lineRule="auto"/>
              <w:rPr>
                <w:rFonts w:hint="eastAsia" w:ascii="仿宋_GB2312" w:hAnsi="仿宋_GB2312" w:eastAsia="仿宋_GB2312" w:cs="仿宋_GB2312"/>
                <w:sz w:val="24"/>
                <w:szCs w:val="24"/>
                <w:highlight w:val="none"/>
                <w:vertAlign w:val="baseline"/>
                <w:lang w:eastAsia="zh-CN"/>
              </w:rPr>
            </w:pPr>
          </w:p>
        </w:tc>
        <w:tc>
          <w:tcPr>
            <w:tcW w:w="870" w:type="dxa"/>
            <w:noWrap w:val="0"/>
            <w:vAlign w:val="top"/>
          </w:tcPr>
          <w:p>
            <w:pPr>
              <w:spacing w:line="360" w:lineRule="auto"/>
              <w:rPr>
                <w:rFonts w:hint="eastAsia" w:ascii="仿宋_GB2312" w:hAnsi="仿宋_GB2312" w:eastAsia="仿宋_GB2312" w:cs="仿宋_GB2312"/>
                <w:sz w:val="24"/>
                <w:szCs w:val="24"/>
                <w:highlight w:val="none"/>
                <w:vertAlign w:val="baseline"/>
                <w:lang w:eastAsia="zh-CN"/>
              </w:rPr>
            </w:pPr>
          </w:p>
        </w:tc>
        <w:tc>
          <w:tcPr>
            <w:tcW w:w="990" w:type="dxa"/>
            <w:noWrap w:val="0"/>
            <w:vAlign w:val="top"/>
          </w:tcPr>
          <w:p>
            <w:pPr>
              <w:spacing w:line="360" w:lineRule="auto"/>
              <w:rPr>
                <w:rFonts w:hint="eastAsia" w:ascii="仿宋_GB2312" w:hAnsi="仿宋_GB2312" w:eastAsia="仿宋_GB2312" w:cs="仿宋_GB2312"/>
                <w:sz w:val="24"/>
                <w:szCs w:val="24"/>
                <w:highlight w:val="none"/>
                <w:vertAlign w:val="baseline"/>
                <w:lang w:eastAsia="zh-CN"/>
              </w:rPr>
            </w:pPr>
          </w:p>
        </w:tc>
        <w:tc>
          <w:tcPr>
            <w:tcW w:w="880" w:type="dxa"/>
            <w:noWrap w:val="0"/>
            <w:vAlign w:val="top"/>
          </w:tcPr>
          <w:p>
            <w:pPr>
              <w:spacing w:line="360" w:lineRule="auto"/>
              <w:rPr>
                <w:rFonts w:hint="eastAsia" w:ascii="仿宋_GB2312" w:hAnsi="仿宋_GB2312" w:eastAsia="仿宋_GB2312" w:cs="仿宋_GB2312"/>
                <w:sz w:val="24"/>
                <w:szCs w:val="24"/>
                <w:highlight w:val="none"/>
                <w:vertAlign w:val="baseline"/>
                <w:lang w:eastAsia="zh-CN"/>
              </w:rPr>
            </w:pPr>
          </w:p>
        </w:tc>
      </w:tr>
    </w:tbl>
    <w:p>
      <w:pPr>
        <w:ind w:firstLine="640"/>
        <w:rPr>
          <w:rFonts w:hint="eastAsia" w:ascii="仿宋_GB2312" w:hAnsi="仿宋_GB2312" w:eastAsia="仿宋_GB2312" w:cs="仿宋_GB2312"/>
          <w:sz w:val="32"/>
          <w:szCs w:val="32"/>
          <w:highlight w:val="none"/>
          <w:lang w:val="en-US" w:eastAsia="zh-CN"/>
        </w:rPr>
      </w:pPr>
    </w:p>
    <w:p>
      <w:pPr>
        <w:ind w:firstLine="640"/>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lang w:eastAsia="zh-CN"/>
        </w:rPr>
        <w:t>六、</w:t>
      </w:r>
      <w:r>
        <w:rPr>
          <w:rFonts w:hint="eastAsia" w:ascii="仿宋_GB2312" w:hAnsi="仿宋_GB2312" w:eastAsia="仿宋_GB2312" w:cs="仿宋_GB2312"/>
          <w:b/>
          <w:bCs/>
          <w:sz w:val="32"/>
          <w:szCs w:val="32"/>
          <w:highlight w:val="none"/>
        </w:rPr>
        <w:t>国有资产占有使用</w:t>
      </w:r>
      <w:r>
        <w:rPr>
          <w:rFonts w:hint="eastAsia" w:ascii="仿宋_GB2312" w:hAnsi="仿宋_GB2312" w:eastAsia="仿宋_GB2312" w:cs="仿宋_GB2312"/>
          <w:b/>
          <w:bCs/>
          <w:sz w:val="32"/>
          <w:szCs w:val="32"/>
          <w:highlight w:val="none"/>
          <w:lang w:eastAsia="zh-CN"/>
        </w:rPr>
        <w:t>及资产购置</w:t>
      </w:r>
      <w:r>
        <w:rPr>
          <w:rFonts w:hint="eastAsia" w:ascii="仿宋_GB2312" w:hAnsi="仿宋_GB2312" w:eastAsia="仿宋_GB2312" w:cs="仿宋_GB2312"/>
          <w:b/>
          <w:bCs/>
          <w:sz w:val="32"/>
          <w:szCs w:val="32"/>
          <w:highlight w:val="none"/>
        </w:rPr>
        <w:t>情况说明</w:t>
      </w:r>
    </w:p>
    <w:p>
      <w:pPr>
        <w:ind w:firstLine="64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截止</w:t>
      </w:r>
      <w:r>
        <w:rPr>
          <w:rFonts w:hint="eastAsia" w:ascii="仿宋_GB2312" w:hAnsi="仿宋_GB2312" w:eastAsia="仿宋_GB2312" w:cs="仿宋_GB2312"/>
          <w:sz w:val="32"/>
          <w:szCs w:val="32"/>
          <w:highlight w:val="none"/>
          <w:lang w:val="en-US" w:eastAsia="zh-CN"/>
        </w:rPr>
        <w:t>上年底，本单位共有车辆0辆，单价20万元以上的设备0台（套）。当年部门预算安排购置车辆0辆；安排购置单价20万元以上的设备0台（套）。</w:t>
      </w:r>
    </w:p>
    <w:p>
      <w:pPr>
        <w:ind w:firstLine="640"/>
        <w:rPr>
          <w:rFonts w:hint="eastAsia" w:ascii="仿宋_GB2312" w:hAnsi="仿宋_GB2312" w:eastAsia="仿宋_GB2312" w:cs="仿宋_GB2312"/>
          <w:b/>
          <w:bCs/>
          <w:sz w:val="32"/>
          <w:szCs w:val="32"/>
          <w:highlight w:val="none"/>
          <w:lang w:eastAsia="zh-CN"/>
        </w:rPr>
      </w:pPr>
      <w:r>
        <w:rPr>
          <w:rFonts w:hint="eastAsia" w:ascii="仿宋_GB2312" w:hAnsi="仿宋_GB2312" w:eastAsia="仿宋_GB2312" w:cs="仿宋_GB2312"/>
          <w:b/>
          <w:bCs/>
          <w:sz w:val="32"/>
          <w:szCs w:val="32"/>
          <w:highlight w:val="none"/>
          <w:lang w:eastAsia="zh-CN"/>
        </w:rPr>
        <w:t>七</w:t>
      </w:r>
      <w:r>
        <w:rPr>
          <w:rFonts w:hint="eastAsia" w:ascii="仿宋_GB2312" w:hAnsi="仿宋_GB2312" w:eastAsia="仿宋_GB2312" w:cs="仿宋_GB2312"/>
          <w:b/>
          <w:bCs/>
          <w:sz w:val="32"/>
          <w:szCs w:val="32"/>
          <w:highlight w:val="none"/>
        </w:rPr>
        <w:t>、政府采购情况</w:t>
      </w:r>
      <w:r>
        <w:rPr>
          <w:rFonts w:hint="eastAsia" w:ascii="仿宋_GB2312" w:hAnsi="仿宋_GB2312" w:eastAsia="仿宋_GB2312" w:cs="仿宋_GB2312"/>
          <w:b/>
          <w:bCs/>
          <w:sz w:val="32"/>
          <w:szCs w:val="32"/>
          <w:highlight w:val="none"/>
          <w:lang w:eastAsia="zh-CN"/>
        </w:rPr>
        <w:t>说明</w:t>
      </w:r>
    </w:p>
    <w:p>
      <w:pPr>
        <w:ind w:firstLine="64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本</w:t>
      </w:r>
      <w:r>
        <w:rPr>
          <w:rFonts w:hint="eastAsia" w:ascii="仿宋_GB2312" w:hAnsi="仿宋_GB2312" w:eastAsia="仿宋_GB2312" w:cs="仿宋_GB2312"/>
          <w:sz w:val="32"/>
          <w:szCs w:val="32"/>
          <w:highlight w:val="none"/>
          <w:lang w:val="en-US" w:eastAsia="zh-CN"/>
        </w:rPr>
        <w:t>单位</w:t>
      </w:r>
      <w:r>
        <w:rPr>
          <w:rFonts w:hint="eastAsia" w:ascii="仿宋_GB2312" w:hAnsi="仿宋_GB2312" w:eastAsia="仿宋_GB2312" w:cs="仿宋_GB2312"/>
          <w:sz w:val="32"/>
          <w:szCs w:val="32"/>
          <w:highlight w:val="none"/>
          <w:lang w:eastAsia="zh-CN"/>
        </w:rPr>
        <w:t>当年</w:t>
      </w:r>
      <w:r>
        <w:rPr>
          <w:rFonts w:hint="eastAsia" w:ascii="仿宋_GB2312" w:hAnsi="仿宋_GB2312" w:eastAsia="仿宋_GB2312" w:cs="仿宋_GB2312"/>
          <w:sz w:val="32"/>
          <w:szCs w:val="32"/>
          <w:highlight w:val="none"/>
        </w:rPr>
        <w:t>无政府</w:t>
      </w:r>
      <w:r>
        <w:rPr>
          <w:rFonts w:hint="eastAsia" w:ascii="仿宋_GB2312" w:hAnsi="仿宋_GB2312" w:eastAsia="仿宋_GB2312" w:cs="仿宋_GB2312"/>
          <w:sz w:val="32"/>
          <w:szCs w:val="32"/>
          <w:highlight w:val="none"/>
          <w:lang w:eastAsia="zh-CN"/>
        </w:rPr>
        <w:t>采购预算，并</w:t>
      </w:r>
      <w:r>
        <w:rPr>
          <w:rFonts w:hint="eastAsia" w:ascii="仿宋_GB2312" w:hAnsi="仿宋_GB2312" w:eastAsia="仿宋_GB2312" w:cs="仿宋_GB2312"/>
          <w:sz w:val="32"/>
          <w:szCs w:val="32"/>
          <w:highlight w:val="none"/>
        </w:rPr>
        <w:t>已公开空表。</w:t>
      </w:r>
    </w:p>
    <w:p>
      <w:pPr>
        <w:ind w:firstLine="640"/>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lang w:eastAsia="zh-CN"/>
        </w:rPr>
        <w:t>八、</w:t>
      </w:r>
      <w:r>
        <w:rPr>
          <w:rFonts w:hint="eastAsia" w:ascii="仿宋_GB2312" w:hAnsi="仿宋_GB2312" w:eastAsia="仿宋_GB2312" w:cs="仿宋_GB2312"/>
          <w:b/>
          <w:bCs/>
          <w:sz w:val="32"/>
          <w:szCs w:val="32"/>
          <w:highlight w:val="none"/>
        </w:rPr>
        <w:t>绩效目标</w:t>
      </w:r>
      <w:r>
        <w:rPr>
          <w:rFonts w:hint="eastAsia" w:ascii="仿宋_GB2312" w:hAnsi="仿宋_GB2312" w:eastAsia="仿宋_GB2312" w:cs="仿宋_GB2312"/>
          <w:b/>
          <w:bCs/>
          <w:sz w:val="32"/>
          <w:szCs w:val="32"/>
          <w:highlight w:val="none"/>
          <w:lang w:eastAsia="zh-CN"/>
        </w:rPr>
        <w:t>情况</w:t>
      </w:r>
      <w:r>
        <w:rPr>
          <w:rFonts w:hint="eastAsia" w:ascii="仿宋_GB2312" w:hAnsi="仿宋_GB2312" w:eastAsia="仿宋_GB2312" w:cs="仿宋_GB2312"/>
          <w:b/>
          <w:bCs/>
          <w:sz w:val="32"/>
          <w:szCs w:val="32"/>
          <w:highlight w:val="none"/>
        </w:rPr>
        <w:t>说明</w:t>
      </w:r>
    </w:p>
    <w:p>
      <w:pPr>
        <w:ind w:firstLine="64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本单位绩效目标管理全覆盖，涉及当年一般公共预算当年拨款111.54万元,当年政府性基金</w:t>
      </w:r>
      <w:r>
        <w:rPr>
          <w:rFonts w:hint="eastAsia" w:ascii="仿宋_GB2312" w:hAnsi="仿宋_GB2312" w:eastAsia="仿宋_GB2312" w:cs="仿宋_GB2312"/>
          <w:sz w:val="32"/>
          <w:szCs w:val="32"/>
          <w:highlight w:val="none"/>
          <w:lang w:eastAsia="zh-CN"/>
        </w:rPr>
        <w:t>预算当年拨款</w:t>
      </w:r>
      <w:r>
        <w:rPr>
          <w:rFonts w:hint="eastAsia" w:ascii="仿宋_GB2312" w:hAnsi="仿宋_GB2312" w:eastAsia="仿宋_GB2312" w:cs="仿宋_GB2312"/>
          <w:sz w:val="32"/>
          <w:szCs w:val="32"/>
          <w:highlight w:val="none"/>
          <w:lang w:val="en-US" w:eastAsia="zh-CN"/>
        </w:rPr>
        <w:t>0万元，当年国有资本经营预算拨款0万元（详见公开报表中的绩效目标表）。</w:t>
      </w:r>
    </w:p>
    <w:p>
      <w:pPr>
        <w:ind w:firstLine="640"/>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bCs/>
          <w:sz w:val="32"/>
          <w:szCs w:val="32"/>
          <w:highlight w:val="none"/>
          <w:lang w:eastAsia="zh-CN"/>
        </w:rPr>
        <w:t>九、公用</w:t>
      </w:r>
      <w:r>
        <w:rPr>
          <w:rFonts w:hint="eastAsia" w:ascii="仿宋_GB2312" w:hAnsi="仿宋_GB2312" w:eastAsia="仿宋_GB2312" w:cs="仿宋_GB2312"/>
          <w:b/>
          <w:bCs/>
          <w:sz w:val="32"/>
          <w:szCs w:val="32"/>
          <w:highlight w:val="none"/>
        </w:rPr>
        <w:t>经费</w:t>
      </w:r>
      <w:r>
        <w:rPr>
          <w:rFonts w:hint="eastAsia" w:ascii="仿宋_GB2312" w:hAnsi="仿宋_GB2312" w:eastAsia="仿宋_GB2312" w:cs="仿宋_GB2312"/>
          <w:b/>
          <w:bCs/>
          <w:sz w:val="32"/>
          <w:szCs w:val="32"/>
          <w:highlight w:val="none"/>
          <w:lang w:eastAsia="zh-CN"/>
        </w:rPr>
        <w:t>情况说明</w:t>
      </w:r>
    </w:p>
    <w:p>
      <w:pPr>
        <w:ind w:firstLine="64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本</w:t>
      </w:r>
      <w:r>
        <w:rPr>
          <w:rFonts w:hint="eastAsia" w:ascii="仿宋_GB2312" w:hAnsi="仿宋_GB2312" w:eastAsia="仿宋_GB2312" w:cs="仿宋_GB2312"/>
          <w:sz w:val="32"/>
          <w:szCs w:val="32"/>
          <w:highlight w:val="none"/>
          <w:lang w:val="en-US" w:eastAsia="zh-CN"/>
        </w:rPr>
        <w:t>单位当年公用经费预算安排8.04万元，较上年减少1.78万元，主要原因是</w:t>
      </w:r>
      <w:r>
        <w:rPr>
          <w:rFonts w:hint="eastAsia" w:ascii="仿宋_GB2312" w:hAnsi="仿宋_GB2312" w:eastAsia="仿宋_GB2312" w:cs="仿宋_GB2312"/>
          <w:sz w:val="32"/>
          <w:szCs w:val="32"/>
          <w:highlight w:val="none"/>
          <w:lang w:eastAsia="zh-CN"/>
        </w:rPr>
        <w:t>工作人员人数变动，导致预算支出减少。</w:t>
      </w:r>
    </w:p>
    <w:p>
      <w:pPr>
        <w:ind w:firstLine="640"/>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bCs/>
          <w:sz w:val="32"/>
          <w:szCs w:val="32"/>
          <w:highlight w:val="none"/>
          <w:lang w:eastAsia="zh-CN"/>
        </w:rPr>
        <w:t>十</w:t>
      </w:r>
      <w:r>
        <w:rPr>
          <w:rFonts w:hint="eastAsia" w:ascii="仿宋_GB2312" w:hAnsi="仿宋_GB2312" w:eastAsia="仿宋_GB2312" w:cs="仿宋_GB2312"/>
          <w:b/>
          <w:bCs/>
          <w:sz w:val="32"/>
          <w:szCs w:val="32"/>
          <w:highlight w:val="none"/>
        </w:rPr>
        <w:t>、专业名词解释</w:t>
      </w:r>
    </w:p>
    <w:p>
      <w:pPr>
        <w:ind w:firstLine="64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（公用经费为必须解释的专业名词，其他</w:t>
      </w:r>
      <w:r>
        <w:rPr>
          <w:rFonts w:hint="eastAsia" w:ascii="仿宋_GB2312" w:hAnsi="仿宋_GB2312" w:eastAsia="仿宋_GB2312" w:cs="仿宋_GB2312"/>
          <w:sz w:val="32"/>
          <w:szCs w:val="32"/>
          <w:highlight w:val="none"/>
          <w:lang w:eastAsia="zh-CN"/>
        </w:rPr>
        <w:t>专业名词解释可由</w:t>
      </w:r>
      <w:r>
        <w:rPr>
          <w:rFonts w:hint="eastAsia" w:ascii="仿宋_GB2312" w:hAnsi="仿宋_GB2312" w:eastAsia="仿宋_GB2312" w:cs="仿宋_GB2312"/>
          <w:sz w:val="32"/>
          <w:szCs w:val="32"/>
          <w:highlight w:val="none"/>
          <w:lang w:val="en-US" w:eastAsia="zh-CN"/>
        </w:rPr>
        <w:t>单位</w:t>
      </w:r>
      <w:r>
        <w:rPr>
          <w:rFonts w:hint="eastAsia" w:ascii="仿宋_GB2312" w:hAnsi="仿宋_GB2312" w:eastAsia="仿宋_GB2312" w:cs="仿宋_GB2312"/>
          <w:sz w:val="32"/>
          <w:szCs w:val="32"/>
          <w:highlight w:val="none"/>
          <w:lang w:eastAsia="zh-CN"/>
        </w:rPr>
        <w:t>根据</w:t>
      </w:r>
      <w:r>
        <w:rPr>
          <w:rFonts w:hint="eastAsia" w:ascii="仿宋_GB2312" w:hAnsi="仿宋_GB2312" w:eastAsia="仿宋_GB2312" w:cs="仿宋_GB2312"/>
          <w:sz w:val="32"/>
          <w:szCs w:val="32"/>
          <w:highlight w:val="none"/>
          <w:lang w:val="en-US" w:eastAsia="zh-CN"/>
        </w:rPr>
        <w:t>内容</w:t>
      </w:r>
      <w:r>
        <w:rPr>
          <w:rFonts w:hint="eastAsia" w:ascii="仿宋_GB2312" w:hAnsi="仿宋_GB2312" w:eastAsia="仿宋_GB2312" w:cs="仿宋_GB2312"/>
          <w:sz w:val="32"/>
          <w:szCs w:val="32"/>
          <w:highlight w:val="none"/>
          <w:lang w:eastAsia="zh-CN"/>
        </w:rPr>
        <w:t>业务内容等自行选择</w:t>
      </w:r>
      <w:r>
        <w:rPr>
          <w:rFonts w:hint="eastAsia" w:ascii="仿宋_GB2312" w:hAnsi="仿宋_GB2312" w:eastAsia="仿宋_GB2312" w:cs="仿宋_GB2312"/>
          <w:sz w:val="32"/>
          <w:szCs w:val="32"/>
          <w:highlight w:val="none"/>
          <w:lang w:val="en-US" w:eastAsia="zh-CN"/>
        </w:rPr>
        <w:t>。）</w:t>
      </w:r>
    </w:p>
    <w:p>
      <w:pPr>
        <w:ind w:firstLine="64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1.公用经费：包括办公及印刷费、邮电费、差旅费、会议费、福利费、日常维修费、专用材料及一般设备购置费、办公用房水电费、办公用房取暖费、办公用房物业管理费、公务用车运行维护费以及其他费用。</w:t>
      </w:r>
      <w:bookmarkStart w:id="0" w:name="_GoBack"/>
      <w:bookmarkEnd w:id="0"/>
      <w:r>
        <w:rPr>
          <w:rFonts w:hint="eastAsia" w:ascii="仿宋_GB2312" w:hAnsi="仿宋_GB2312" w:eastAsia="仿宋_GB2312" w:cs="仿宋_GB2312"/>
          <w:sz w:val="32"/>
          <w:szCs w:val="32"/>
          <w:highlight w:val="none"/>
        </w:rPr>
        <w:tab/>
      </w:r>
    </w:p>
    <w:p>
      <w:pPr>
        <w:ind w:firstLine="640"/>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eastAsia="zh-CN"/>
        </w:rPr>
        <w:t>第四部分</w:t>
      </w:r>
      <w:r>
        <w:rPr>
          <w:rFonts w:hint="eastAsia" w:ascii="仿宋_GB2312" w:hAnsi="仿宋_GB2312" w:eastAsia="仿宋_GB2312" w:cs="仿宋_GB2312"/>
          <w:b/>
          <w:bCs/>
          <w:sz w:val="32"/>
          <w:szCs w:val="32"/>
          <w:highlight w:val="none"/>
          <w:lang w:val="en-US" w:eastAsia="zh-CN"/>
        </w:rPr>
        <w:t xml:space="preserve">  公开报表</w:t>
      </w:r>
      <w:r>
        <w:rPr>
          <w:rFonts w:hint="eastAsia" w:ascii="仿宋_GB2312" w:hAnsi="仿宋_GB2312" w:eastAsia="仿宋_GB2312" w:cs="仿宋_GB2312"/>
          <w:sz w:val="32"/>
          <w:szCs w:val="32"/>
          <w:highlight w:val="none"/>
        </w:rPr>
        <w:tab/>
      </w:r>
    </w:p>
    <w:p>
      <w:pPr>
        <w:ind w:firstLine="64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tab/>
      </w:r>
    </w:p>
    <w:p>
      <w:pPr>
        <w:rPr>
          <w:highlight w:val="none"/>
        </w:rPr>
      </w:pPr>
    </w:p>
    <w:p/>
    <w:sectPr>
      <w:pgSz w:w="11906" w:h="16838"/>
      <w:pgMar w:top="1440" w:right="1800" w:bottom="1440" w:left="1800" w:header="851" w:footer="992" w:gutter="0"/>
      <w:cols w:space="720" w:num="1"/>
      <w:formProt w:val="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2312">
    <w:altName w:val="微软雅黑"/>
    <w:panose1 w:val="02000000000000000000"/>
    <w:charset w:val="86"/>
    <w:family w:val="auto"/>
    <w:pitch w:val="default"/>
    <w:sig w:usb0="00000000" w:usb1="00000000"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BlN2FkNmUzYTBhYzg0NmU2NTg1NmE3YzQyMjhhNzEifQ=="/>
  </w:docVars>
  <w:rsids>
    <w:rsidRoot w:val="00000000"/>
    <w:rsid w:val="00D173C6"/>
    <w:rsid w:val="0CDB72F4"/>
    <w:rsid w:val="0D3B4545"/>
    <w:rsid w:val="122C4DCB"/>
    <w:rsid w:val="208171B0"/>
    <w:rsid w:val="25701CB2"/>
    <w:rsid w:val="31311637"/>
    <w:rsid w:val="41A814A2"/>
    <w:rsid w:val="42EF2382"/>
    <w:rsid w:val="4E7D6FF4"/>
    <w:rsid w:val="57684EDC"/>
    <w:rsid w:val="5CEC6AB4"/>
    <w:rsid w:val="6BC65F83"/>
    <w:rsid w:val="76C11F92"/>
    <w:rsid w:val="7A024E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rPr>
      <w:rFonts w:ascii="宋体" w:hAnsi="宋体" w:eastAsia="宋体" w:cs="宋体"/>
      <w:sz w:val="24"/>
      <w:szCs w:val="24"/>
      <w:lang w:val="zh-CN" w:eastAsia="zh-CN"/>
    </w:rPr>
  </w:style>
  <w:style w:type="paragraph" w:styleId="3">
    <w:name w:val="index 8"/>
    <w:basedOn w:val="1"/>
    <w:next w:val="1"/>
    <w:qFormat/>
    <w:uiPriority w:val="0"/>
    <w:pPr>
      <w:adjustRightInd w:val="0"/>
      <w:snapToGrid w:val="0"/>
      <w:spacing w:line="560" w:lineRule="exact"/>
      <w:ind w:left="2942" w:firstLine="883" w:firstLineChars="200"/>
    </w:pPr>
    <w:rPr>
      <w:rFonts w:ascii="Times New Roman" w:hAnsi="Times New Roman" w:eastAsia="方正仿宋_GB2312" w:cs="Times New Roman"/>
      <w:sz w:val="32"/>
    </w:rPr>
  </w:style>
  <w:style w:type="paragraph" w:styleId="4">
    <w:name w:val="Normal Indent"/>
    <w:basedOn w:val="1"/>
    <w:qFormat/>
    <w:uiPriority w:val="0"/>
    <w:pPr>
      <w:ind w:firstLine="200" w:firstLineChars="200"/>
    </w:p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chart" Target="charts/chart6.xml"/><Relationship Id="rId8" Type="http://schemas.openxmlformats.org/officeDocument/2006/relationships/chart" Target="charts/chart5.xml"/><Relationship Id="rId7" Type="http://schemas.openxmlformats.org/officeDocument/2006/relationships/chart" Target="charts/chart4.xml"/><Relationship Id="rId6" Type="http://schemas.openxmlformats.org/officeDocument/2006/relationships/chart" Target="charts/chart3.xml"/><Relationship Id="rId5" Type="http://schemas.openxmlformats.org/officeDocument/2006/relationships/chart" Target="charts/chart2.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hart" Target="charts/chart7.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istrator\Desktop\&#26032;&#24314;%20XLS%20&#24037;&#20316;&#34920;.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dministrator\Desktop\&#26032;&#24314;%20XLS%20&#24037;&#20316;&#34920;.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dministrator\Desktop\&#26032;&#24314;%20XLS%20&#24037;&#20316;&#34920;.xls"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Administrator\Desktop\&#26032;&#24314;%20XLS%20&#24037;&#20316;&#34920;.xls"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Administrator\Desktop\&#26032;&#24314;%20XLS%20&#24037;&#20316;&#34920;.xls"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C:\Users\Administrator\Desktop\&#26032;&#24314;%20XLS%20&#24037;&#20316;&#34920;.xls"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C:\Users\Administrator\Desktop\&#26032;&#24314;%20XLS%20&#24037;&#20316;&#34920;.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商洛市社会救助中心人员柱状图</a:t>
            </a:r>
          </a:p>
        </c:rich>
      </c:tx>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'[新建 XLS 工作表.xls]Sheet1'!$A$2:$A$3</c:f>
              <c:strCache>
                <c:ptCount val="2"/>
                <c:pt idx="0">
                  <c:v>事业编制</c:v>
                </c:pt>
                <c:pt idx="1">
                  <c:v>事业人员</c:v>
                </c:pt>
              </c:strCache>
            </c:strRef>
          </c:cat>
          <c:val>
            <c:numRef>
              <c:f>'[新建 XLS 工作表.xls]Sheet1'!$B$2:$B$3</c:f>
              <c:numCache>
                <c:formatCode>General</c:formatCode>
                <c:ptCount val="2"/>
                <c:pt idx="0">
                  <c:v>11</c:v>
                </c:pt>
                <c:pt idx="1">
                  <c:v>9</c:v>
                </c:pt>
              </c:numCache>
            </c:numRef>
          </c:val>
        </c:ser>
        <c:dLbls>
          <c:showLegendKey val="0"/>
          <c:showVal val="1"/>
          <c:showCatName val="0"/>
          <c:showSerName val="0"/>
          <c:showPercent val="0"/>
          <c:showBubbleSize val="0"/>
        </c:dLbls>
        <c:gapWidth val="219"/>
        <c:overlap val="-27"/>
        <c:axId val="149509632"/>
        <c:axId val="149511552"/>
      </c:barChart>
      <c:catAx>
        <c:axId val="149509632"/>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49511552"/>
        <c:crosses val="autoZero"/>
        <c:auto val="1"/>
        <c:lblAlgn val="ctr"/>
        <c:lblOffset val="100"/>
        <c:noMultiLvlLbl val="0"/>
      </c:catAx>
      <c:valAx>
        <c:axId val="149511552"/>
        <c:scaling>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t>单位：人</a:t>
                </a:r>
              </a:p>
            </c:rich>
          </c:tx>
          <c:layout/>
          <c:overlay val="0"/>
          <c:spPr>
            <a:noFill/>
            <a:ln>
              <a:noFill/>
            </a:ln>
            <a:effectLst/>
          </c:spPr>
        </c:title>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49509632"/>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一般公共预算收支总体情况柱状图</a:t>
            </a:r>
          </a:p>
        </c:rich>
      </c:tx>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trendline>
            <c:spPr>
              <a:ln w="19050" cap="rnd" cmpd="sng" algn="ctr">
                <a:solidFill>
                  <a:schemeClr val="accent1"/>
                </a:solidFill>
                <a:prstDash val="sysDot"/>
                <a:round/>
              </a:ln>
              <a:effectLst/>
            </c:spPr>
            <c:trendlineType val="linear"/>
            <c:dispRSqr val="0"/>
            <c:dispEq val="0"/>
          </c:trendline>
          <c:cat>
            <c:strRef>
              <c:f>'[新建 XLS 工作表.xls]Sheet1'!$A$5:$A$8</c:f>
              <c:strCache>
                <c:ptCount val="4"/>
                <c:pt idx="0">
                  <c:v>2022年一般公共预算收入</c:v>
                </c:pt>
                <c:pt idx="1">
                  <c:v>2023年一般公共预算收入</c:v>
                </c:pt>
                <c:pt idx="2">
                  <c:v>2022年一般公共预算支出</c:v>
                </c:pt>
                <c:pt idx="3">
                  <c:v>2023年一般公共预算支出</c:v>
                </c:pt>
              </c:strCache>
            </c:strRef>
          </c:cat>
          <c:val>
            <c:numRef>
              <c:f>'[新建 XLS 工作表.xls]Sheet1'!$B$5:$B$8</c:f>
              <c:numCache>
                <c:formatCode>General</c:formatCode>
                <c:ptCount val="4"/>
                <c:pt idx="0">
                  <c:v>93.95</c:v>
                </c:pt>
                <c:pt idx="1">
                  <c:v>111.54</c:v>
                </c:pt>
                <c:pt idx="2">
                  <c:v>93.95</c:v>
                </c:pt>
                <c:pt idx="3">
                  <c:v>111.54</c:v>
                </c:pt>
              </c:numCache>
            </c:numRef>
          </c:val>
        </c:ser>
        <c:dLbls>
          <c:showLegendKey val="0"/>
          <c:showVal val="1"/>
          <c:showCatName val="0"/>
          <c:showSerName val="0"/>
          <c:showPercent val="0"/>
          <c:showBubbleSize val="0"/>
        </c:dLbls>
        <c:gapWidth val="219"/>
        <c:overlap val="-27"/>
        <c:axId val="415132858"/>
        <c:axId val="554897800"/>
      </c:barChart>
      <c:catAx>
        <c:axId val="415132858"/>
        <c:scaling>
          <c:orientation val="minMax"/>
        </c:scaling>
        <c:delete val="0"/>
        <c:axPos val="b"/>
        <c:title>
          <c:layout/>
          <c:overlay val="0"/>
          <c:spPr>
            <a:noFill/>
            <a:ln>
              <a:noFill/>
            </a:ln>
            <a:effectLst/>
          </c:spPr>
          <c:tx>
            <c:rich>
              <a:bodyPr/>
              <a:lstStyle/>
              <a:p>
                <a:pPr>
                  <a:defRPr/>
                </a:pPr>
              </a:p>
            </c:rich>
          </c:tx>
        </c:title>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54897800"/>
        <c:crosses val="autoZero"/>
        <c:auto val="1"/>
        <c:lblAlgn val="ctr"/>
        <c:lblOffset val="100"/>
        <c:noMultiLvlLbl val="0"/>
      </c:catAx>
      <c:valAx>
        <c:axId val="554897800"/>
        <c:scaling>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t>单位：万元</a:t>
                </a:r>
              </a:p>
            </c:rich>
          </c:tx>
          <c:layout/>
          <c:overlay val="0"/>
          <c:spPr>
            <a:noFill/>
            <a:ln>
              <a:noFill/>
            </a:ln>
            <a:effectLst/>
          </c:spPr>
        </c:title>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15132858"/>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一般公共预算财政拨款收支柱状图</a:t>
            </a:r>
          </a:p>
        </c:rich>
      </c:tx>
      <c:layout>
        <c:manualLayout>
          <c:xMode val="edge"/>
          <c:yMode val="edge"/>
          <c:x val="0.235277777777778"/>
          <c:y val="0.0347222222222222"/>
        </c:manualLayout>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trendline>
            <c:spPr>
              <a:ln w="19050" cap="rnd" cmpd="sng" algn="ctr">
                <a:solidFill>
                  <a:schemeClr val="accent1"/>
                </a:solidFill>
                <a:prstDash val="sysDot"/>
                <a:round/>
              </a:ln>
              <a:effectLst/>
            </c:spPr>
            <c:trendlineType val="linear"/>
            <c:dispRSqr val="0"/>
            <c:dispEq val="0"/>
          </c:trendline>
          <c:cat>
            <c:strRef>
              <c:f>'[新建 XLS 工作表.xls]Sheet1'!$A$5:$A$8</c:f>
              <c:strCache>
                <c:ptCount val="4"/>
                <c:pt idx="0">
                  <c:v>2022年一般公共预算财政拨款收入</c:v>
                </c:pt>
                <c:pt idx="1">
                  <c:v>2023年一般公共预算财政拨款收入</c:v>
                </c:pt>
                <c:pt idx="2">
                  <c:v>2022年一般公共预算财政拨款支出</c:v>
                </c:pt>
                <c:pt idx="3">
                  <c:v>2023年一般公共预算财政拨款支出</c:v>
                </c:pt>
              </c:strCache>
            </c:strRef>
          </c:cat>
          <c:val>
            <c:numRef>
              <c:f>'[新建 XLS 工作表.xls]Sheet1'!$B$5:$B$8</c:f>
              <c:numCache>
                <c:formatCode>General</c:formatCode>
                <c:ptCount val="4"/>
                <c:pt idx="0">
                  <c:v>93.95</c:v>
                </c:pt>
                <c:pt idx="1">
                  <c:v>111.54</c:v>
                </c:pt>
                <c:pt idx="2">
                  <c:v>93.95</c:v>
                </c:pt>
                <c:pt idx="3">
                  <c:v>111.54</c:v>
                </c:pt>
              </c:numCache>
            </c:numRef>
          </c:val>
        </c:ser>
        <c:dLbls>
          <c:showLegendKey val="0"/>
          <c:showVal val="1"/>
          <c:showCatName val="0"/>
          <c:showSerName val="0"/>
          <c:showPercent val="0"/>
          <c:showBubbleSize val="0"/>
        </c:dLbls>
        <c:gapWidth val="219"/>
        <c:overlap val="-27"/>
        <c:axId val="419910862"/>
        <c:axId val="469099392"/>
      </c:barChart>
      <c:catAx>
        <c:axId val="419910862"/>
        <c:scaling>
          <c:orientation val="minMax"/>
        </c:scaling>
        <c:delete val="0"/>
        <c:axPos val="b"/>
        <c:title>
          <c:layout/>
          <c:overlay val="0"/>
          <c:spPr>
            <a:noFill/>
            <a:ln>
              <a:noFill/>
            </a:ln>
            <a:effectLst/>
          </c:spPr>
          <c:tx>
            <c:rich>
              <a:bodyPr/>
              <a:lstStyle/>
              <a:p>
                <a:pPr>
                  <a:defRPr/>
                </a:pPr>
              </a:p>
            </c:rich>
          </c:tx>
        </c:title>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69099392"/>
        <c:crosses val="autoZero"/>
        <c:auto val="1"/>
        <c:lblAlgn val="ctr"/>
        <c:lblOffset val="100"/>
        <c:noMultiLvlLbl val="0"/>
      </c:catAx>
      <c:valAx>
        <c:axId val="469099392"/>
        <c:scaling>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t>单位：万元</a:t>
                </a:r>
              </a:p>
            </c:rich>
          </c:tx>
          <c:layout/>
          <c:overlay val="0"/>
          <c:spPr>
            <a:noFill/>
            <a:ln>
              <a:noFill/>
            </a:ln>
            <a:effectLst/>
          </c:spPr>
        </c:title>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19910862"/>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按功能科目分类支出饼状图（单位：万元）</a:t>
            </a:r>
          </a:p>
        </c:rich>
      </c:tx>
      <c:layout/>
      <c:overlay val="0"/>
      <c:spPr>
        <a:noFill/>
        <a:ln>
          <a:noFill/>
        </a:ln>
        <a:effectLst/>
      </c:spPr>
    </c:title>
    <c:autoTitleDeleted val="0"/>
    <c:plotArea>
      <c:layout>
        <c:manualLayout>
          <c:layoutTarget val="inner"/>
          <c:xMode val="edge"/>
          <c:yMode val="edge"/>
          <c:x val="0.2775"/>
          <c:y val="0.21555853611803"/>
          <c:w val="0.355"/>
          <c:h val="0.489748994060165"/>
        </c:manualLayout>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Pt>
            <c:idx val="5"/>
            <c:bubble3D val="0"/>
            <c:spPr>
              <a:solidFill>
                <a:schemeClr val="accent6"/>
              </a:solidFill>
              <a:ln w="19050">
                <a:solidFill>
                  <a:schemeClr val="lt1"/>
                </a:solidFill>
              </a:ln>
              <a:effectLst/>
            </c:spPr>
          </c:dPt>
          <c:dLbls>
            <c:dLbl>
              <c:idx val="0"/>
              <c:layout>
                <c:manualLayout>
                  <c:x val="0.177615648737856"/>
                  <c:y val="-0.0416349013406984"/>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其他民政管理事务支出</a:t>
                    </a:r>
                    <a:r>
                      <a:rPr lang="en-US" altLang="zh-CN"/>
                      <a:t>82.27</a:t>
                    </a:r>
                    <a:r>
                      <a:rPr altLang="en-US"/>
                      <a:t>，占比</a:t>
                    </a:r>
                    <a:r>
                      <a:t>74%</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manualLayout>
                  <c:x val="0.0204943848479061"/>
                  <c:y val="0.255185154524097"/>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离退休干部公用经费支出</a:t>
                    </a:r>
                    <a:r>
                      <a:rPr lang="en-US" altLang="zh-CN"/>
                      <a:t>0.03</a:t>
                    </a:r>
                    <a:r>
                      <a:rPr altLang="en-US"/>
                      <a:t>，占比</a:t>
                    </a:r>
                    <a:r>
                      <a:t>0%</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2"/>
              <c:layout>
                <c:manualLayout>
                  <c:x val="-0.0759848324405506"/>
                  <c:y val="0.187593556764757"/>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养老保险缴费支出</a:t>
                    </a:r>
                    <a:r>
                      <a:rPr lang="en-US" altLang="zh-CN"/>
                      <a:t>10.53</a:t>
                    </a:r>
                    <a:r>
                      <a:rPr altLang="en-US"/>
                      <a:t>，占比</a:t>
                    </a:r>
                    <a:r>
                      <a:t>9%</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3"/>
              <c:layout>
                <c:manualLayout>
                  <c:x val="-0.121738154315844"/>
                  <c:y val="0.122749258221793"/>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职业年金缴费支出</a:t>
                    </a:r>
                    <a:r>
                      <a:rPr lang="en-US" altLang="zh-CN"/>
                      <a:t>5.26</a:t>
                    </a:r>
                    <a:r>
                      <a:rPr altLang="en-US"/>
                      <a:t>，占比</a:t>
                    </a:r>
                    <a:r>
                      <a:t>5%</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4"/>
              <c:layout>
                <c:manualLayout>
                  <c:x val="-0.191688576898348"/>
                  <c:y val="0.0498767441347225"/>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事业单位医疗</a:t>
                    </a:r>
                    <a:r>
                      <a:rPr lang="en-US" altLang="zh-CN"/>
                      <a:t>4.88</a:t>
                    </a:r>
                    <a:r>
                      <a:rPr altLang="en-US"/>
                      <a:t>，占比</a:t>
                    </a:r>
                    <a:r>
                      <a:t>4%</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5"/>
              <c:layout>
                <c:manualLayout>
                  <c:x val="-0.235676579776129"/>
                  <c:y val="-0.0176278861550513"/>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住房公积金支出</a:t>
                    </a:r>
                    <a:r>
                      <a:rPr lang="en-US" altLang="zh-CN"/>
                      <a:t>8.57</a:t>
                    </a:r>
                    <a:r>
                      <a:rPr altLang="en-US"/>
                      <a:t>，占比</a:t>
                    </a:r>
                    <a:r>
                      <a:t>8%</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'[新建 XLS 工作表.xls]Sheet1'!$A$12:$A$17</c:f>
              <c:strCache>
                <c:ptCount val="6"/>
                <c:pt idx="0">
                  <c:v>其他民政管理事务支出</c:v>
                </c:pt>
                <c:pt idx="1">
                  <c:v>事业单位离退休干部公用经费支出</c:v>
                </c:pt>
                <c:pt idx="2">
                  <c:v>机关事业单位基本养老保险缴费支出</c:v>
                </c:pt>
                <c:pt idx="3">
                  <c:v>机关事业单位职业年金缴费支出</c:v>
                </c:pt>
                <c:pt idx="4">
                  <c:v>事业单位医疗</c:v>
                </c:pt>
                <c:pt idx="5">
                  <c:v>住房公积金</c:v>
                </c:pt>
              </c:strCache>
            </c:strRef>
          </c:cat>
          <c:val>
            <c:numRef>
              <c:f>'[新建 XLS 工作表.xls]Sheet1'!$B$12:$B$17</c:f>
              <c:numCache>
                <c:formatCode>General</c:formatCode>
                <c:ptCount val="6"/>
                <c:pt idx="0">
                  <c:v>82.27</c:v>
                </c:pt>
                <c:pt idx="1">
                  <c:v>0.03</c:v>
                </c:pt>
                <c:pt idx="2">
                  <c:v>10.53</c:v>
                </c:pt>
                <c:pt idx="3">
                  <c:v>5.26</c:v>
                </c:pt>
                <c:pt idx="4">
                  <c:v>4.88</c:v>
                </c:pt>
                <c:pt idx="5">
                  <c:v>8.57</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人员及公用经费支出饼状图（单位：万元）</a:t>
            </a:r>
          </a:p>
        </c:rich>
      </c:tx>
      <c:layout>
        <c:manualLayout>
          <c:xMode val="edge"/>
          <c:yMode val="edge"/>
          <c:x val="0.139444444444444"/>
          <c:y val="0.0486111111111111"/>
        </c:manualLayout>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Lbl>
              <c:idx val="0"/>
              <c:layout>
                <c:manualLayout>
                  <c:x val="0.200925532937143"/>
                  <c:y val="-0.0681727284760661"/>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人员经费支出</a:t>
                    </a:r>
                    <a:r>
                      <a:rPr lang="en-US" altLang="zh-CN"/>
                      <a:t>103.5</a:t>
                    </a:r>
                    <a:r>
                      <a:rPr altLang="en-US"/>
                      <a:t>，占比</a:t>
                    </a:r>
                    <a:r>
                      <a:t>93%</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manualLayout>
                  <c:x val="-0.235084178443504"/>
                  <c:y val="0.0484225698757879"/>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公用经费支出</a:t>
                    </a:r>
                    <a:r>
                      <a:rPr lang="en-US" altLang="zh-CN"/>
                      <a:t>8.04</a:t>
                    </a:r>
                    <a:r>
                      <a:rPr altLang="en-US"/>
                      <a:t>，占比</a:t>
                    </a:r>
                    <a:r>
                      <a:t>7%</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'[新建 XLS 工作表.xls]Sheet1'!$A$33:$A$34</c:f>
              <c:strCache>
                <c:ptCount val="2"/>
                <c:pt idx="0">
                  <c:v>人员经费</c:v>
                </c:pt>
                <c:pt idx="1">
                  <c:v>公用经费</c:v>
                </c:pt>
              </c:strCache>
            </c:strRef>
          </c:cat>
          <c:val>
            <c:numRef>
              <c:f>'[新建 XLS 工作表.xls]Sheet1'!$B$33:$B$34</c:f>
              <c:numCache>
                <c:formatCode>General</c:formatCode>
                <c:ptCount val="2"/>
                <c:pt idx="0">
                  <c:v>103.5</c:v>
                </c:pt>
                <c:pt idx="1">
                  <c:v>8.04</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按照部门预算支出经济分类柱状图</a:t>
            </a:r>
            <a:endParaRPr lang="en-US" altLang="zh-CN"/>
          </a:p>
        </c:rich>
      </c:tx>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'[新建 XLS 工作表.xls]Sheet1'!$A$20:$A$21</c:f>
              <c:strCache>
                <c:ptCount val="2"/>
                <c:pt idx="0">
                  <c:v>工资福利支出（301）</c:v>
                </c:pt>
                <c:pt idx="1">
                  <c:v>商品和服务支出（302）</c:v>
                </c:pt>
              </c:strCache>
            </c:strRef>
          </c:cat>
          <c:val>
            <c:numRef>
              <c:f>'[新建 XLS 工作表.xls]Sheet1'!$B$20:$B$21</c:f>
              <c:numCache>
                <c:formatCode>General</c:formatCode>
                <c:ptCount val="2"/>
                <c:pt idx="0">
                  <c:v>103.5</c:v>
                </c:pt>
                <c:pt idx="1">
                  <c:v>8.04</c:v>
                </c:pt>
              </c:numCache>
            </c:numRef>
          </c:val>
        </c:ser>
        <c:dLbls>
          <c:showLegendKey val="0"/>
          <c:showVal val="1"/>
          <c:showCatName val="0"/>
          <c:showSerName val="0"/>
          <c:showPercent val="0"/>
          <c:showBubbleSize val="0"/>
        </c:dLbls>
        <c:gapWidth val="219"/>
        <c:overlap val="-27"/>
        <c:axId val="573712745"/>
        <c:axId val="808534502"/>
      </c:barChart>
      <c:catAx>
        <c:axId val="573712745"/>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08534502"/>
        <c:crosses val="autoZero"/>
        <c:auto val="1"/>
        <c:lblAlgn val="ctr"/>
        <c:lblOffset val="100"/>
        <c:noMultiLvlLbl val="0"/>
      </c:catAx>
      <c:valAx>
        <c:axId val="80853450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t>单位：万元</a:t>
                </a:r>
              </a:p>
            </c:rich>
          </c:tx>
          <c:layout>
            <c:manualLayout>
              <c:xMode val="edge"/>
              <c:yMode val="edge"/>
              <c:x val="0.0326388888888889"/>
              <c:y val="0.339768518518519"/>
            </c:manualLayout>
          </c:layout>
          <c:overlay val="0"/>
          <c:spPr>
            <a:noFill/>
            <a:ln>
              <a:noFill/>
            </a:ln>
            <a:effectLst/>
          </c:sp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73712745"/>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按照政府预算支出经济分类柱状图</a:t>
            </a:r>
          </a:p>
        </c:rich>
      </c:tx>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'[新建 XLS 工作表.xls]Sheet1'!$A$22:$A$23</c:f>
              <c:strCache>
                <c:ptCount val="2"/>
                <c:pt idx="0">
                  <c:v>工资福利支出（501）</c:v>
                </c:pt>
                <c:pt idx="1">
                  <c:v>商品和服务支出（502）</c:v>
                </c:pt>
              </c:strCache>
            </c:strRef>
          </c:cat>
          <c:val>
            <c:numRef>
              <c:f>'[新建 XLS 工作表.xls]Sheet1'!$B$22:$B$23</c:f>
              <c:numCache>
                <c:formatCode>General</c:formatCode>
                <c:ptCount val="2"/>
                <c:pt idx="0">
                  <c:v>103.5</c:v>
                </c:pt>
                <c:pt idx="1">
                  <c:v>8.04</c:v>
                </c:pt>
              </c:numCache>
            </c:numRef>
          </c:val>
        </c:ser>
        <c:dLbls>
          <c:showLegendKey val="0"/>
          <c:showVal val="1"/>
          <c:showCatName val="0"/>
          <c:showSerName val="0"/>
          <c:showPercent val="0"/>
          <c:showBubbleSize val="0"/>
        </c:dLbls>
        <c:gapWidth val="150"/>
        <c:overlap val="0"/>
        <c:axId val="388688706"/>
        <c:axId val="724965442"/>
      </c:barChart>
      <c:catAx>
        <c:axId val="388688706"/>
        <c:scaling>
          <c:orientation val="minMax"/>
        </c:scaling>
        <c:delete val="1"/>
        <c:axPos val="b"/>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24965442"/>
        <c:crosses val="autoZero"/>
        <c:auto val="1"/>
        <c:lblAlgn val="ctr"/>
        <c:lblOffset val="100"/>
        <c:noMultiLvlLbl val="0"/>
      </c:catAx>
      <c:valAx>
        <c:axId val="724965442"/>
        <c:scaling>
          <c:orientation val="minMax"/>
        </c:scaling>
        <c:delete val="1"/>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t>单位：万元</a:t>
                </a:r>
              </a:p>
            </c:rich>
          </c:tx>
          <c:layout/>
          <c:overlay val="0"/>
          <c:spPr>
            <a:noFill/>
            <a:ln>
              <a:noFill/>
            </a:ln>
            <a:effectLst/>
          </c:spPr>
        </c:title>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88688706"/>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4284</Words>
  <Characters>4563</Characters>
  <Lines>0</Lines>
  <Paragraphs>0</Paragraphs>
  <TotalTime>6</TotalTime>
  <ScaleCrop>false</ScaleCrop>
  <LinksUpToDate>false</LinksUpToDate>
  <CharactersWithSpaces>4598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2023-02-15T00:58:00Z</dcterms:created>
  <dc:creator>Administrator</dc:creator>
  <cp:lastModifiedBy>wow</cp:lastModifiedBy>
  <dcterms:modified xsi:type="dcterms:W3CDTF">2023-03-16T03:40:34Z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E0811477AAD84C12972847B2B9EA6951</vt:lpwstr>
  </property>
</Properties>
</file>