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kern w:val="2"/>
          <w:sz w:val="44"/>
          <w:szCs w:val="44"/>
          <w:lang w:val="en-US" w:eastAsia="zh-CN"/>
        </w:rPr>
        <w:t>商洛市民政局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26262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根据中省对政府信息公开有关规定，商洛市民政局坚持依法行政，严格公开内容。现将商洛市民政局20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年政府信息公开工作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报告如下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本报告统计数据截止20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年12月31日，报告电子版可在商洛市民政局网站“商洛市民政局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（http://mzj.shangluo.gov.cn/）查阅或下载。如对本报告有任何疑问，请与商洛市民政局办公室联系（地址：商洛市商州区州城街民政路，邮编：726000，电话：0914-2312577）。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年，在市委市政府的正确领导和市政府办政务公开办精心指导下，我局认真贯彻《中华人民共和国政府信息公开条例》</w:t>
      </w:r>
      <w:r>
        <w:rPr>
          <w:rFonts w:hint="eastAsia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精神，全面落实“以公开为原则，以不公开为例外”的要求，以权力运行为重点，以政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公开为手段，以电子政务为载体，加强组织领导，完善各项制度，依法及时公开各类政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信息，推动政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信息公开工作稳步发展，取得了较好的成效。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主动公开工作情况。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市民政局按照《条例》明确的重点公开事项，切实加强政府信息主动公开，强化了群众关心关注的养老服务、社会救助、社会组织监管、殡葬改革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未成年人保护、孤儿收养、婚姻登记等信息的公开工作。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依申请公开工作情况。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2021年，市民政局进一步规范了依申请公开流程、健全了答复机制，认真落实省政府依申请公开答复示范文本，依法妥善做好了依申请公开工作。全年共接到依申请公开2件，均按规定时限办结，无意见投诉情况。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（三）政府信息公开管理情况。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auto"/>
          <w:kern w:val="2"/>
          <w:sz w:val="32"/>
          <w:szCs w:val="32"/>
          <w:lang w:val="en-US" w:eastAsia="zh-CN"/>
        </w:rPr>
        <w:t>我局领导高度重视政府信息公开工作，成立了由局长任组长、分管副局长任副组长、相关科室为成员的政府信息公开工作领导小组，严格落实各科室的职能职责。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党政办公室负责局信息公开管理工作，完善公开制度，及时开展政务信息公开问题整改，规范信息归类管理，确保信息公开的及时性、准确性。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通过商洛市民政局官方网站平台，向社会公开政务信息、宣传民政政策、解答经办事项。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市民政局把政府信息公开工作列入重要工作日程，明确了分管领导和责任科室，及时研究、调度、安排政务公开工作，并实行科室和分管领导逐级签字制度，确保了内容的真实性、准确性。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2228"/>
        <w:gridCol w:w="2228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9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262626"/>
                <w:kern w:val="0"/>
                <w:sz w:val="22"/>
                <w:szCs w:val="22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规章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行政规范性文件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9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66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9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6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6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6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9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668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62626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62626"/>
                <w:kern w:val="0"/>
                <w:sz w:val="22"/>
                <w:szCs w:val="22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right="0"/>
              <w:jc w:val="left"/>
              <w:textAlignment w:val="auto"/>
              <w:rPr>
                <w:color w:val="26262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668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11"/>
        <w:gridCol w:w="705"/>
        <w:gridCol w:w="2715"/>
        <w:gridCol w:w="645"/>
        <w:gridCol w:w="660"/>
        <w:gridCol w:w="630"/>
        <w:gridCol w:w="915"/>
        <w:gridCol w:w="900"/>
        <w:gridCol w:w="54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楷体_GB2312" w:hAnsi="楷体_GB2312" w:eastAsia="楷体_GB2312" w:cs="楷体_GB2312"/>
                <w:color w:val="262626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0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6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_GB2312" w:hAnsi="楷体_GB2312" w:eastAsia="楷体_GB2312" w:cs="楷体_GB2312"/>
                <w:color w:val="262626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</w:trPr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6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40" w:lineRule="exact"/>
              <w:ind w:left="0" w:right="0"/>
              <w:jc w:val="both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4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931" w:type="dxa"/>
            <w:gridSpan w:val="3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left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45" w:type="dxa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color w:val="262626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2" w:afterLines="2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4" w:leftChars="-20" w:right="-64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4" w:leftChars="-20" w:right="-64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4" w:leftChars="-20" w:right="-64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4" w:leftChars="-20" w:right="-64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4" w:leftChars="-20" w:right="-64" w:rightChars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60" w:lineRule="exact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color w:val="262626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62626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262626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2021年，我局在政府信息公开上取得了一定成效，但仍存在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一些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问题，主要体现在：</w:t>
      </w:r>
      <w:r>
        <w:rPr>
          <w:rFonts w:hint="eastAsia" w:ascii="仿宋_GB2312" w:hAnsi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信息公开效率仍有待提高，公开内容需要深化，需要进一步强化监督，落实责任，逐步挖掘和深化信息公开的内容和事项，推动信息公开工作进一步深入开展。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需进一步加强政府信息公开平台建设，坚持“互联网+”思维，创新信息公开形式，不断适应公众对信息公开的高要求。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下一步我局将进一步完善商洛市民政局网站建设，完善规范工作流程，加强政</w:t>
      </w:r>
      <w:r>
        <w:rPr>
          <w:rFonts w:hint="eastAsia" w:ascii="仿宋_GB2312" w:hAnsi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信息公开工作。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水平。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认真贯彻落实《政务信息公开条例》，切实加强政务信息公开业务的学习和培训，不断提升政务信息公开工作水平。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二是强化公开力度。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进一步细化、优化政府信息公开目录，不断加大政府信息的公开力度，以社会需求为导向，选择社会关注度高的信息作为突破口，不断丰富信息公开的内容，继续强化信息内容更新。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lang w:val="en-US" w:eastAsia="zh-CN"/>
        </w:rPr>
        <w:t>三是完善制度建设。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进一步探索和掌握信息公开工作规律，逐步制定完善信息公开配套制度，加强对信息公开工作的检查。重视依申请公开办理效率和答复质量，推动政府信息公开工作取得更大进展</w:t>
      </w:r>
      <w:r>
        <w:rPr>
          <w:rFonts w:hint="eastAsia" w:cs="仿宋_GB2312"/>
          <w:b w:val="0"/>
          <w:i w:val="0"/>
          <w:snapToGrid/>
          <w:color w:val="auto"/>
          <w:kern w:val="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262626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2021年，按照政府信息公开信息处理费管理办法</w:t>
      </w:r>
      <w:bookmarkStart w:id="0" w:name="_GoBack"/>
      <w:bookmarkEnd w:id="0"/>
      <w:r>
        <w:rPr>
          <w:rFonts w:hint="eastAsia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，我局在</w:t>
      </w:r>
      <w:r>
        <w:rPr>
          <w:rFonts w:hint="eastAsia" w:ascii="仿宋_GB2312" w:hAnsi="仿宋_GB2312" w:eastAsia="仿宋_GB2312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依申请公开</w:t>
      </w:r>
      <w:r>
        <w:rPr>
          <w:rFonts w:hint="eastAsia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项目方面，没有</w:t>
      </w:r>
      <w:r>
        <w:rPr>
          <w:rFonts w:hint="eastAsia" w:ascii="仿宋_GB2312" w:hAnsi="仿宋_GB2312" w:eastAsia="仿宋_GB2312" w:cs="仿宋_GB2312"/>
          <w:color w:val="262626"/>
          <w:spacing w:val="0"/>
          <w:w w:val="100"/>
          <w:kern w:val="2"/>
          <w:sz w:val="32"/>
          <w:szCs w:val="32"/>
          <w:lang w:val="en-US" w:eastAsia="zh-CN" w:bidi="ar-SA"/>
        </w:rPr>
        <w:t>收取信息处理费。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lang w:val="en-US" w:eastAsia="zh-CN"/>
        </w:rPr>
        <w:t xml:space="preserve"> 商洛市民政局      </w:t>
      </w:r>
    </w:p>
    <w:p>
      <w:pPr>
        <w:pStyle w:val="2"/>
        <w:ind w:firstLine="5120" w:firstLineChars="1600"/>
        <w:rPr>
          <w:rFonts w:hint="eastAsia" w:ascii="仿宋_GB2312" w:hAns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sz w:val="32"/>
          <w:lang w:val="en-US" w:eastAsia="zh-CN"/>
        </w:rPr>
        <w:t>2022年1月12日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DBE33"/>
    <w:multiLevelType w:val="singleLevel"/>
    <w:tmpl w:val="7F3DBE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1B6C"/>
    <w:rsid w:val="11890302"/>
    <w:rsid w:val="162B4B9C"/>
    <w:rsid w:val="20621A95"/>
    <w:rsid w:val="22EC1AEA"/>
    <w:rsid w:val="35E12B4D"/>
    <w:rsid w:val="36376546"/>
    <w:rsid w:val="385D4C77"/>
    <w:rsid w:val="4CE16841"/>
    <w:rsid w:val="4E184475"/>
    <w:rsid w:val="54302D35"/>
    <w:rsid w:val="54742D2A"/>
    <w:rsid w:val="569C2904"/>
    <w:rsid w:val="5B44356A"/>
    <w:rsid w:val="5CF27722"/>
    <w:rsid w:val="65CB4FB4"/>
    <w:rsid w:val="7655562E"/>
    <w:rsid w:val="775340DD"/>
    <w:rsid w:val="7B4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2022-01-24T06:33:00Z</dcterms:created>
  <dc:creator>Administrator</dc:creator>
  <cp:lastModifiedBy>一直很安静</cp:lastModifiedBy>
  <dcterms:modified xsi:type="dcterms:W3CDTF">2022-01-25T01:00:34Z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E2882858E7544B1A8B6A5AE415563691</vt:lpwstr>
  </property>
</Properties>
</file>