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106"/>
        <w:gridCol w:w="80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单位名称：商洛高新区（商丹园区）行政审批服务局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183619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183619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156469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30684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30684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28860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28860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2827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2827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94098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94098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84300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 xml:space="preserve">（二）商品和服务支出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 xml:space="preserve"> 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27150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19950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4250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网络机房改造费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280000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  <w:t xml:space="preserve">      网络维护费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483619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483619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0A36C37"/>
    <w:rsid w:val="018B0D51"/>
    <w:rsid w:val="040B1595"/>
    <w:rsid w:val="05FA12A8"/>
    <w:rsid w:val="07EE6927"/>
    <w:rsid w:val="0AB74142"/>
    <w:rsid w:val="0B320CFC"/>
    <w:rsid w:val="0CAF3F63"/>
    <w:rsid w:val="0E6606A1"/>
    <w:rsid w:val="129F7018"/>
    <w:rsid w:val="12AE3B6A"/>
    <w:rsid w:val="13635BCB"/>
    <w:rsid w:val="155B0BE5"/>
    <w:rsid w:val="15BA5C17"/>
    <w:rsid w:val="15EE3996"/>
    <w:rsid w:val="177416B8"/>
    <w:rsid w:val="18056894"/>
    <w:rsid w:val="19613F8E"/>
    <w:rsid w:val="1ABE2BD6"/>
    <w:rsid w:val="1C214776"/>
    <w:rsid w:val="1D291CCB"/>
    <w:rsid w:val="202907A2"/>
    <w:rsid w:val="20E770B0"/>
    <w:rsid w:val="25264EB7"/>
    <w:rsid w:val="26077A23"/>
    <w:rsid w:val="26857F41"/>
    <w:rsid w:val="28E247A7"/>
    <w:rsid w:val="2BE661BC"/>
    <w:rsid w:val="2C0506FC"/>
    <w:rsid w:val="2C3001D2"/>
    <w:rsid w:val="2DC10A9C"/>
    <w:rsid w:val="326A7FB5"/>
    <w:rsid w:val="33EF3AF3"/>
    <w:rsid w:val="3CB72032"/>
    <w:rsid w:val="3DF9545C"/>
    <w:rsid w:val="3F7319C5"/>
    <w:rsid w:val="3F883BEB"/>
    <w:rsid w:val="3FB866D5"/>
    <w:rsid w:val="42616130"/>
    <w:rsid w:val="42F3327B"/>
    <w:rsid w:val="456E4A62"/>
    <w:rsid w:val="486B45FB"/>
    <w:rsid w:val="4CAF452B"/>
    <w:rsid w:val="4DCE0567"/>
    <w:rsid w:val="4DFE5F7B"/>
    <w:rsid w:val="4F18119C"/>
    <w:rsid w:val="4F2030AA"/>
    <w:rsid w:val="51C55381"/>
    <w:rsid w:val="53A36720"/>
    <w:rsid w:val="54B2618D"/>
    <w:rsid w:val="561C6E2D"/>
    <w:rsid w:val="561F01AD"/>
    <w:rsid w:val="56F20322"/>
    <w:rsid w:val="57673638"/>
    <w:rsid w:val="59E04732"/>
    <w:rsid w:val="5B96053A"/>
    <w:rsid w:val="5BC5540F"/>
    <w:rsid w:val="5FC15400"/>
    <w:rsid w:val="63294F4A"/>
    <w:rsid w:val="653F35B8"/>
    <w:rsid w:val="68684EA9"/>
    <w:rsid w:val="69065D8F"/>
    <w:rsid w:val="69673369"/>
    <w:rsid w:val="69751BBC"/>
    <w:rsid w:val="6AC23497"/>
    <w:rsid w:val="6AEB5269"/>
    <w:rsid w:val="6CE44FDD"/>
    <w:rsid w:val="6D535020"/>
    <w:rsid w:val="6E811CCF"/>
    <w:rsid w:val="6FBF161F"/>
    <w:rsid w:val="72AD3C90"/>
    <w:rsid w:val="73A50736"/>
    <w:rsid w:val="780347A1"/>
    <w:rsid w:val="78D96114"/>
    <w:rsid w:val="7B495875"/>
    <w:rsid w:val="7EA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