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pict>
          <v:shape id="_x0000_i1025" o:spt="136" type="#_x0000_t136" style="height:61pt;width:425.1pt;" fillcolor="#FF0000" filled="t" stroked="t" coordsize="21600,21600">
            <v:path/>
            <v:fill on="t" focussize="0,0"/>
            <v:stroke color="#FF0000"/>
            <v:imagedata o:title=""/>
            <o:lock v:ext="edit"/>
            <v:textpath on="t" fitshape="t" fitpath="t" trim="t" xscale="f" string="商洛市机关事务管理局文件" style="font-family:方正小标宋简体;font-size:36pt;v-rotate-letters:f;v-same-letter-heights:f;v-text-align:center;"/>
            <w10:wrap type="none"/>
            <w10:anchorlock/>
          </v:shape>
        </w:pict>
      </w:r>
    </w:p>
    <w:p>
      <w:pPr>
        <w:rPr>
          <w:rFonts w:hint="eastAsia"/>
          <w:sz w:val="32"/>
          <w:szCs w:val="32"/>
        </w:rPr>
      </w:pPr>
    </w:p>
    <w:p>
      <w:pPr>
        <w:rPr>
          <w:rFonts w:hint="eastAsia"/>
          <w:sz w:val="32"/>
          <w:szCs w:val="32"/>
        </w:rPr>
      </w:pPr>
    </w:p>
    <w:p>
      <w:pPr>
        <w:jc w:val="center"/>
        <w:rPr>
          <w:rFonts w:hint="eastAsia"/>
          <w:sz w:val="32"/>
          <w:szCs w:val="32"/>
        </w:rPr>
      </w:pPr>
      <w:r>
        <w:rPr>
          <w:rFonts w:hint="eastAsia" w:ascii="仿宋_GB2312" w:hAnsi="仿宋_GB2312" w:eastAsia="仿宋_GB2312" w:cs="仿宋_GB2312"/>
          <w:sz w:val="32"/>
          <w:szCs w:val="32"/>
          <w:lang w:eastAsia="zh-CN"/>
        </w:rPr>
        <w:t>商机管发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rPr>
          <w:rFonts w:hint="eastAsia"/>
          <w:sz w:val="32"/>
          <w:szCs w:val="32"/>
        </w:rPr>
      </w:pPr>
      <w:r>
        <w:rPr>
          <w:rFonts w:hint="eastAsia"/>
          <w:sz w:val="32"/>
          <w:szCs w:val="3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5486400" cy="0"/>
                <wp:effectExtent l="0" t="0" r="0" b="0"/>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0pt;height:0pt;width:432pt;mso-position-horizontal:center;z-index:251658240;mso-width-relative:page;mso-height-relative:page;" filled="f" stroked="t" coordsize="21600,21600" o:gfxdata="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49K+fSAAAAAgEAAA8AAAAAAAAAAQAgAAAAIgAAAGRycy9k&#10;b3ducmV2LnhtbFBLAQIUABQAAAAIAIdO4kDT6oDuzwEAAI4DAAAOAAAAAAAAAAEAIAAAACEBAABk&#10;cnMvZTJvRG9jLnhtbFBLBQYAAAAABgAGAFkBAABi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商洛市机关事务管理局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年度公共机构能源资源消费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统计</w:t>
      </w:r>
      <w:r>
        <w:rPr>
          <w:rFonts w:hint="eastAsia" w:ascii="方正小标宋简体" w:hAnsi="方正小标宋简体" w:eastAsia="方正小标宋简体" w:cs="方正小标宋简体"/>
          <w:sz w:val="44"/>
          <w:szCs w:val="44"/>
          <w:lang w:eastAsia="zh-CN"/>
        </w:rPr>
        <w:t>报表软件系统报送</w:t>
      </w:r>
      <w:r>
        <w:rPr>
          <w:rFonts w:hint="eastAsia" w:ascii="方正小标宋简体" w:hAnsi="方正小标宋简体" w:eastAsia="方正小标宋简体" w:cs="方正小标宋简体"/>
          <w:sz w:val="44"/>
          <w:szCs w:val="44"/>
        </w:rPr>
        <w:t>工作的通知</w:t>
      </w:r>
    </w:p>
    <w:p>
      <w:pPr>
        <w:jc w:val="center"/>
        <w:rPr>
          <w:rFonts w:ascii="方正小标宋简体" w:hAnsi="仿宋" w:eastAsia="方正小标宋简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商州、丹凤、洛南、镇安县（区）机关事务管理部门，商南、山阳、柞水机关事务管理局，</w:t>
      </w:r>
      <w:r>
        <w:rPr>
          <w:rFonts w:hint="eastAsia" w:ascii="仿宋_GB2312" w:hAnsi="仿宋_GB2312" w:eastAsia="仿宋_GB2312" w:cs="仿宋_GB2312"/>
          <w:kern w:val="0"/>
          <w:sz w:val="32"/>
          <w:szCs w:val="32"/>
          <w:lang w:val="en-US" w:eastAsia="zh-CN" w:bidi="ar"/>
        </w:rPr>
        <w:t>商洛高新区（商丹园区）管委会，市直各部门、单位</w:t>
      </w:r>
      <w:r>
        <w:rPr>
          <w:rFonts w:hint="eastAsia" w:ascii="仿宋_GB2312" w:hAnsi="仿宋_GB2312" w:eastAsia="仿宋_GB2312" w:cs="仿宋_GB2312"/>
          <w:sz w:val="32"/>
          <w:szCs w:val="32"/>
          <w:lang w:eastAsia="zh-CN"/>
        </w:rPr>
        <w:t>，市属各高校：</w:t>
      </w:r>
    </w:p>
    <w:p>
      <w:pPr>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ascii="仿宋" w:hAnsi="仿宋" w:eastAsia="仿宋"/>
          <w:sz w:val="32"/>
          <w:szCs w:val="32"/>
        </w:rPr>
      </w:pPr>
      <w:bookmarkStart w:id="0" w:name="_GoBack"/>
      <w:bookmarkEnd w:id="0"/>
      <w:r>
        <w:rPr>
          <w:rFonts w:hint="eastAsia" w:ascii="仿宋" w:hAnsi="仿宋" w:eastAsia="仿宋"/>
          <w:sz w:val="32"/>
          <w:szCs w:val="32"/>
        </w:rPr>
        <w:t>为进一步加快 “十三五”以来</w:t>
      </w:r>
      <w:r>
        <w:rPr>
          <w:rFonts w:hint="eastAsia" w:ascii="仿宋" w:hAnsi="仿宋" w:eastAsia="仿宋"/>
          <w:sz w:val="32"/>
          <w:szCs w:val="32"/>
          <w:lang w:eastAsia="zh-CN"/>
        </w:rPr>
        <w:t>商洛市</w:t>
      </w:r>
      <w:r>
        <w:rPr>
          <w:rFonts w:hint="eastAsia" w:ascii="仿宋" w:hAnsi="仿宋" w:eastAsia="仿宋"/>
          <w:sz w:val="32"/>
          <w:szCs w:val="32"/>
        </w:rPr>
        <w:t>公共机构能源资源消费统计</w:t>
      </w:r>
      <w:r>
        <w:rPr>
          <w:rFonts w:hint="eastAsia" w:ascii="仿宋" w:hAnsi="仿宋" w:eastAsia="仿宋"/>
          <w:sz w:val="32"/>
          <w:szCs w:val="32"/>
          <w:lang w:eastAsia="zh-CN"/>
        </w:rPr>
        <w:t>软件</w:t>
      </w:r>
      <w:r>
        <w:rPr>
          <w:rFonts w:hint="eastAsia" w:ascii="仿宋" w:hAnsi="仿宋" w:eastAsia="仿宋"/>
          <w:sz w:val="32"/>
          <w:szCs w:val="32"/>
        </w:rPr>
        <w:t>信息系统建设，并顺利开展2018年度公共机构能源资源消费统计年报工作，规范能耗统计，提高统计效率，提升数据质量，</w:t>
      </w:r>
      <w:r>
        <w:rPr>
          <w:rFonts w:hint="eastAsia" w:ascii="仿宋_GB2312" w:hAnsi="仿宋_GB2312" w:eastAsia="仿宋_GB2312" w:cs="仿宋_GB2312"/>
          <w:sz w:val="32"/>
          <w:szCs w:val="32"/>
        </w:rPr>
        <w:t>现将开展201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年度公共机构能源资源消费数据统计和能耗分析年报工作有关事项通知如下：</w:t>
      </w:r>
    </w:p>
    <w:p>
      <w:pPr>
        <w:pStyle w:val="5"/>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sz w:val="32"/>
          <w:szCs w:val="32"/>
        </w:rPr>
      </w:pPr>
      <w:r>
        <w:rPr>
          <w:rFonts w:hint="eastAsia" w:ascii="黑体" w:hAnsi="黑体" w:eastAsia="黑体"/>
          <w:sz w:val="32"/>
          <w:szCs w:val="32"/>
        </w:rPr>
        <w:t>报送范围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全</w:t>
      </w:r>
      <w:r>
        <w:rPr>
          <w:rFonts w:hint="eastAsia" w:ascii="仿宋" w:hAnsi="仿宋" w:eastAsia="仿宋"/>
          <w:sz w:val="32"/>
          <w:szCs w:val="32"/>
          <w:lang w:eastAsia="zh-CN"/>
        </w:rPr>
        <w:t>市</w:t>
      </w:r>
      <w:r>
        <w:rPr>
          <w:rFonts w:hint="eastAsia" w:ascii="仿宋" w:hAnsi="仿宋" w:eastAsia="仿宋"/>
          <w:sz w:val="32"/>
          <w:szCs w:val="32"/>
        </w:rPr>
        <w:t>各级各类公共机构。包括：全部和部分使用财政性资金的国家机关、教科文卫体及其他类事业单位、团体组织。</w:t>
      </w:r>
    </w:p>
    <w:p>
      <w:pPr>
        <w:pStyle w:val="5"/>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sz w:val="32"/>
          <w:szCs w:val="32"/>
        </w:rPr>
      </w:pPr>
      <w:r>
        <w:rPr>
          <w:rFonts w:hint="eastAsia" w:ascii="黑体" w:hAnsi="黑体" w:eastAsia="黑体"/>
          <w:sz w:val="32"/>
          <w:szCs w:val="32"/>
        </w:rPr>
        <w:t>报送内容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一是补报2015-2017年度公共机构基本信息和能源资源消费统计数据；二是填报2018年度公共机构基本信息、</w:t>
      </w:r>
      <w:r>
        <w:rPr>
          <w:rFonts w:hint="eastAsia" w:ascii="仿宋" w:hAnsi="仿宋" w:eastAsia="仿宋"/>
          <w:sz w:val="32"/>
          <w:szCs w:val="32"/>
          <w:lang w:eastAsia="zh-CN"/>
        </w:rPr>
        <w:t>四个</w:t>
      </w:r>
      <w:r>
        <w:rPr>
          <w:rFonts w:hint="eastAsia" w:ascii="仿宋" w:hAnsi="仿宋" w:eastAsia="仿宋"/>
          <w:sz w:val="32"/>
          <w:szCs w:val="32"/>
        </w:rPr>
        <w:t>季度及年度能源资源消费统计数据；三是报送2018年度本单位能源资源消费情况分析报告及公共机构能源资源消费统计数据审核表。</w:t>
      </w:r>
    </w:p>
    <w:p>
      <w:pPr>
        <w:pStyle w:val="5"/>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sz w:val="32"/>
          <w:szCs w:val="32"/>
        </w:rPr>
      </w:pPr>
      <w:r>
        <w:rPr>
          <w:rFonts w:hint="eastAsia" w:ascii="黑体" w:hAnsi="黑体" w:eastAsia="黑体"/>
          <w:sz w:val="32"/>
          <w:szCs w:val="32"/>
        </w:rPr>
        <w:t>报送方式</w:t>
      </w:r>
    </w:p>
    <w:p>
      <w:pPr>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ascii="仿宋" w:hAnsi="仿宋" w:eastAsia="仿宋"/>
          <w:sz w:val="32"/>
          <w:szCs w:val="32"/>
        </w:rPr>
      </w:pPr>
      <w:r>
        <w:rPr>
          <w:rFonts w:hint="eastAsia" w:ascii="仿宋" w:hAnsi="仿宋" w:eastAsia="仿宋"/>
          <w:sz w:val="32"/>
          <w:szCs w:val="32"/>
        </w:rPr>
        <w:t>登录陕西省公共机构能源资源消费统计信息</w:t>
      </w:r>
      <w:r>
        <w:rPr>
          <w:rFonts w:hint="eastAsia" w:ascii="仿宋" w:hAnsi="仿宋" w:eastAsia="仿宋"/>
          <w:sz w:val="32"/>
          <w:szCs w:val="32"/>
          <w:lang w:eastAsia="zh-CN"/>
        </w:rPr>
        <w:t>平台</w:t>
      </w:r>
      <w:r>
        <w:rPr>
          <w:rFonts w:hint="eastAsia" w:ascii="仿宋" w:hAnsi="仿宋" w:eastAsia="仿宋"/>
          <w:sz w:val="32"/>
          <w:szCs w:val="32"/>
        </w:rPr>
        <w:t>(www.sxsjnb.com)，进行网络直报，并按照市、县（区）行政隶属关系加入所属地区公共机构能耗统计技术服务QQ群（</w:t>
      </w:r>
      <w:r>
        <w:rPr>
          <w:rFonts w:hint="eastAsia" w:ascii="仿宋" w:hAnsi="仿宋" w:eastAsia="仿宋"/>
          <w:sz w:val="32"/>
          <w:szCs w:val="32"/>
          <w:lang w:eastAsia="zh-CN"/>
        </w:rPr>
        <w:t>市公共机构能耗统计群</w:t>
      </w:r>
      <w:r>
        <w:rPr>
          <w:rFonts w:hint="eastAsia" w:ascii="仿宋" w:hAnsi="仿宋" w:eastAsia="仿宋"/>
          <w:sz w:val="32"/>
          <w:szCs w:val="32"/>
        </w:rPr>
        <w:t>：</w:t>
      </w:r>
      <w:r>
        <w:rPr>
          <w:rFonts w:hint="eastAsia" w:ascii="仿宋" w:hAnsi="仿宋" w:eastAsia="仿宋"/>
          <w:sz w:val="32"/>
          <w:szCs w:val="32"/>
          <w:lang w:val="en-US" w:eastAsia="zh-CN"/>
        </w:rPr>
        <w:t>62274179</w:t>
      </w:r>
      <w:r>
        <w:rPr>
          <w:rFonts w:hint="eastAsia" w:ascii="仿宋" w:hAnsi="仿宋" w:eastAsia="仿宋"/>
          <w:sz w:val="32"/>
          <w:szCs w:val="32"/>
        </w:rPr>
        <w:t>）或拨打</w:t>
      </w:r>
      <w:r>
        <w:rPr>
          <w:rFonts w:hint="eastAsia" w:ascii="仿宋" w:hAnsi="仿宋" w:eastAsia="仿宋"/>
          <w:sz w:val="32"/>
          <w:szCs w:val="32"/>
          <w:lang w:eastAsia="zh-CN"/>
        </w:rPr>
        <w:t>软件</w:t>
      </w:r>
      <w:r>
        <w:rPr>
          <w:rFonts w:hint="eastAsia" w:ascii="仿宋" w:hAnsi="仿宋" w:eastAsia="仿宋"/>
          <w:sz w:val="32"/>
          <w:szCs w:val="32"/>
        </w:rPr>
        <w:t>技术服务支持电话：400-070-8626，咨询数据报送相关问题。2018年度本单位能源资源消费情况分析报告及</w:t>
      </w:r>
      <w:r>
        <w:rPr>
          <w:rFonts w:hint="eastAsia" w:ascii="仿宋" w:hAnsi="仿宋" w:eastAsia="仿宋"/>
          <w:spacing w:val="5"/>
          <w:kern w:val="0"/>
          <w:sz w:val="32"/>
          <w:szCs w:val="32"/>
        </w:rPr>
        <w:t>公共机构能源资源消费统计数据审核表同时报送电子版和</w:t>
      </w:r>
      <w:r>
        <w:rPr>
          <w:rFonts w:hint="eastAsia" w:ascii="仿宋" w:hAnsi="仿宋" w:eastAsia="仿宋"/>
          <w:sz w:val="32"/>
          <w:szCs w:val="32"/>
        </w:rPr>
        <w:t>纸质版。</w:t>
      </w:r>
    </w:p>
    <w:p>
      <w:pPr>
        <w:pStyle w:val="5"/>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sz w:val="32"/>
          <w:szCs w:val="32"/>
        </w:rPr>
      </w:pPr>
      <w:r>
        <w:rPr>
          <w:rFonts w:hint="eastAsia" w:ascii="黑体" w:hAnsi="黑体" w:eastAsia="黑体"/>
          <w:sz w:val="32"/>
          <w:szCs w:val="32"/>
        </w:rPr>
        <w:t>报送时限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报送截止到2019年2月</w:t>
      </w:r>
      <w:r>
        <w:rPr>
          <w:rFonts w:hint="eastAsia" w:ascii="仿宋" w:hAnsi="仿宋" w:eastAsia="仿宋"/>
          <w:sz w:val="32"/>
          <w:szCs w:val="32"/>
          <w:lang w:val="en-US" w:eastAsia="zh-CN"/>
        </w:rPr>
        <w:t>3</w:t>
      </w:r>
      <w:r>
        <w:rPr>
          <w:rFonts w:hint="eastAsia" w:ascii="仿宋" w:hAnsi="仿宋" w:eastAsia="仿宋"/>
          <w:sz w:val="32"/>
          <w:szCs w:val="32"/>
        </w:rPr>
        <w:t>日前。</w:t>
      </w:r>
    </w:p>
    <w:p>
      <w:pPr>
        <w:pStyle w:val="5"/>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sz w:val="32"/>
          <w:szCs w:val="32"/>
        </w:rPr>
      </w:pPr>
      <w:r>
        <w:rPr>
          <w:rFonts w:hint="eastAsia" w:ascii="黑体" w:hAnsi="黑体" w:eastAsia="黑体"/>
          <w:sz w:val="32"/>
          <w:szCs w:val="32"/>
        </w:rPr>
        <w:t>有关要求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sz w:val="32"/>
          <w:szCs w:val="32"/>
        </w:rPr>
      </w:pPr>
      <w:r>
        <w:rPr>
          <w:rFonts w:hint="eastAsia" w:ascii="楷体" w:hAnsi="楷体" w:eastAsia="楷体" w:cs="楷体"/>
          <w:b/>
          <w:sz w:val="32"/>
          <w:szCs w:val="32"/>
        </w:rPr>
        <w:t>（一）加强领导，全面部署。</w:t>
      </w:r>
      <w:r>
        <w:rPr>
          <w:rFonts w:hint="eastAsia" w:ascii="仿宋" w:hAnsi="仿宋" w:eastAsia="仿宋"/>
          <w:sz w:val="32"/>
          <w:szCs w:val="32"/>
        </w:rPr>
        <w:t>各单位要进一步提高对能耗统计工作基础性、重要性的认识，统一思想，加强领导，专人负责，明确任务，掌握方法，确保各级公共机构归口一致、口径统一，不遗漏、不重复填报。</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outlineLvl w:val="9"/>
        <w:rPr>
          <w:rFonts w:ascii="仿宋" w:hAnsi="仿宋" w:eastAsia="仿宋"/>
          <w:sz w:val="32"/>
          <w:szCs w:val="32"/>
        </w:rPr>
      </w:pPr>
      <w:r>
        <w:rPr>
          <w:rFonts w:hint="eastAsia" w:ascii="楷体" w:hAnsi="楷体" w:eastAsia="楷体" w:cs="楷体"/>
          <w:b/>
          <w:sz w:val="32"/>
          <w:szCs w:val="32"/>
        </w:rPr>
        <w:t>（二）组织会审，确保质量。</w:t>
      </w:r>
      <w:r>
        <w:rPr>
          <w:rFonts w:hint="eastAsia" w:ascii="仿宋" w:hAnsi="仿宋" w:eastAsia="仿宋"/>
          <w:sz w:val="32"/>
          <w:szCs w:val="32"/>
        </w:rPr>
        <w:t>统计数据真实、准确、完整是能耗统计工作的根本要求。同时，公共机构节能作为重点用能领域，已纳入国家对各级人民政府能源消费总量和强度“双控”目标责任评价考核。公共机构人均能耗降低率已纳入中、省《绿色发展指标体系》《生态文明建设考核评价体系》，因此，各级公共机构要强化责任意识，严格把关数据来源，参照我</w:t>
      </w:r>
      <w:r>
        <w:rPr>
          <w:rFonts w:hint="eastAsia" w:ascii="仿宋" w:hAnsi="仿宋" w:eastAsia="仿宋"/>
          <w:sz w:val="32"/>
          <w:szCs w:val="32"/>
          <w:lang w:eastAsia="zh-CN"/>
        </w:rPr>
        <w:t>市</w:t>
      </w:r>
      <w:r>
        <w:rPr>
          <w:rFonts w:hint="eastAsia" w:ascii="仿宋" w:hAnsi="仿宋" w:eastAsia="仿宋"/>
          <w:sz w:val="32"/>
          <w:szCs w:val="32"/>
        </w:rPr>
        <w:t>公共机构能源资源消费统计数据会审内容和方法（详见附件1），认真核实单位基本信息、能源资源消费统计数据，确保数据质量。</w:t>
      </w:r>
      <w:r>
        <w:rPr>
          <w:rFonts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sz w:val="32"/>
          <w:szCs w:val="32"/>
        </w:rPr>
      </w:pPr>
      <w:r>
        <w:rPr>
          <w:rFonts w:hint="eastAsia" w:ascii="楷体" w:hAnsi="楷体" w:eastAsia="楷体" w:cs="楷体"/>
          <w:b/>
          <w:sz w:val="32"/>
          <w:szCs w:val="32"/>
        </w:rPr>
        <w:t>（三）落实责任，保证时效。</w:t>
      </w:r>
      <w:r>
        <w:rPr>
          <w:rFonts w:hint="eastAsia" w:ascii="仿宋" w:hAnsi="仿宋" w:eastAsia="仿宋"/>
          <w:sz w:val="32"/>
          <w:szCs w:val="32"/>
        </w:rPr>
        <w:t>公共机构能耗统计年报工作具有很强的时效性，每年3月下旬，全</w:t>
      </w:r>
      <w:r>
        <w:rPr>
          <w:rFonts w:hint="eastAsia" w:ascii="仿宋" w:hAnsi="仿宋" w:eastAsia="仿宋"/>
          <w:sz w:val="32"/>
          <w:szCs w:val="32"/>
          <w:lang w:eastAsia="zh-CN"/>
        </w:rPr>
        <w:t>省、全</w:t>
      </w:r>
      <w:r>
        <w:rPr>
          <w:rFonts w:hint="eastAsia" w:ascii="仿宋" w:hAnsi="仿宋" w:eastAsia="仿宋"/>
          <w:sz w:val="32"/>
          <w:szCs w:val="32"/>
        </w:rPr>
        <w:t>国公共机构能源资源消费统计数据会审工作会议开展。为了不影响我</w:t>
      </w:r>
      <w:r>
        <w:rPr>
          <w:rFonts w:hint="eastAsia" w:ascii="仿宋" w:hAnsi="仿宋" w:eastAsia="仿宋"/>
          <w:sz w:val="32"/>
          <w:szCs w:val="32"/>
          <w:lang w:eastAsia="zh-CN"/>
        </w:rPr>
        <w:t>市</w:t>
      </w:r>
      <w:r>
        <w:rPr>
          <w:rFonts w:hint="eastAsia" w:ascii="仿宋" w:hAnsi="仿宋" w:eastAsia="仿宋"/>
          <w:sz w:val="32"/>
          <w:szCs w:val="32"/>
        </w:rPr>
        <w:t>2018年度能耗数据统计、汇总、审核、分析、报送工作整体进度，请各单位加强督促，协调有关部门给予密切配合和大力支持，及时提供能源资源消费原始发票和基础台账，认真进行数据采集和报表填报，扎实开展数据会审，保证按时圆满完成年报工作任务。</w:t>
      </w:r>
    </w:p>
    <w:p>
      <w:pPr>
        <w:keepNext w:val="0"/>
        <w:keepLines w:val="0"/>
        <w:pageBreakBefore w:val="0"/>
        <w:kinsoku/>
        <w:wordWrap/>
        <w:overflowPunct/>
        <w:topLinePunct w:val="0"/>
        <w:autoSpaceDE/>
        <w:autoSpaceDN/>
        <w:bidi w:val="0"/>
        <w:adjustRightInd/>
        <w:snapToGrid/>
        <w:spacing w:line="560" w:lineRule="exact"/>
        <w:ind w:left="2310" w:hanging="2310" w:hangingChars="700"/>
        <w:textAlignment w:val="auto"/>
        <w:outlineLvl w:val="9"/>
        <w:rPr>
          <w:rFonts w:ascii="仿宋" w:hAnsi="仿宋" w:eastAsia="仿宋"/>
          <w:spacing w:val="5"/>
          <w:kern w:val="0"/>
          <w:sz w:val="32"/>
          <w:szCs w:val="32"/>
        </w:rPr>
      </w:pPr>
      <w:r>
        <w:rPr>
          <w:rFonts w:hint="eastAsia" w:ascii="仿宋" w:hAnsi="仿宋" w:eastAsia="仿宋"/>
          <w:spacing w:val="5"/>
          <w:kern w:val="0"/>
          <w:sz w:val="32"/>
          <w:szCs w:val="32"/>
        </w:rPr>
        <w:t xml:space="preserve">    附件：1.公共机构能源资源消费统计数据会审方法和内容</w:t>
      </w:r>
    </w:p>
    <w:p>
      <w:pPr>
        <w:keepNext w:val="0"/>
        <w:keepLines w:val="0"/>
        <w:pageBreakBefore w:val="0"/>
        <w:kinsoku/>
        <w:wordWrap/>
        <w:overflowPunct/>
        <w:topLinePunct w:val="0"/>
        <w:autoSpaceDE/>
        <w:autoSpaceDN/>
        <w:bidi w:val="0"/>
        <w:adjustRightInd/>
        <w:snapToGrid/>
        <w:spacing w:line="560" w:lineRule="exact"/>
        <w:ind w:firstLine="1650" w:firstLineChars="500"/>
        <w:textAlignment w:val="auto"/>
        <w:outlineLvl w:val="9"/>
        <w:rPr>
          <w:rFonts w:ascii="仿宋" w:hAnsi="仿宋" w:eastAsia="仿宋"/>
          <w:sz w:val="32"/>
          <w:szCs w:val="32"/>
        </w:rPr>
      </w:pPr>
      <w:r>
        <w:rPr>
          <w:rFonts w:hint="eastAsia" w:ascii="仿宋" w:hAnsi="仿宋" w:eastAsia="仿宋"/>
          <w:spacing w:val="5"/>
          <w:kern w:val="0"/>
          <w:sz w:val="32"/>
          <w:szCs w:val="32"/>
        </w:rPr>
        <w:t>2.2018年度公共机构能源资源消费统计数据审核表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left="2310" w:hanging="2310" w:hangingChars="700"/>
        <w:textAlignment w:val="auto"/>
        <w:outlineLvl w:val="9"/>
        <w:rPr>
          <w:rFonts w:hint="eastAsia" w:ascii="仿宋" w:hAnsi="仿宋" w:eastAsia="仿宋"/>
          <w:spacing w:val="5"/>
          <w:kern w:val="0"/>
          <w:sz w:val="32"/>
          <w:szCs w:val="32"/>
        </w:rPr>
      </w:pPr>
      <w:r>
        <w:rPr>
          <w:rFonts w:hint="eastAsia" w:ascii="仿宋" w:hAnsi="仿宋" w:eastAsia="仿宋"/>
          <w:spacing w:val="5"/>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2310" w:hanging="2310" w:hangingChars="700"/>
        <w:textAlignment w:val="auto"/>
        <w:outlineLvl w:val="9"/>
        <w:rPr>
          <w:rFonts w:hint="eastAsia" w:ascii="仿宋" w:hAnsi="仿宋" w:eastAsia="仿宋"/>
          <w:sz w:val="32"/>
          <w:szCs w:val="32"/>
          <w:lang w:eastAsia="zh-CN"/>
        </w:rPr>
      </w:pPr>
      <w:r>
        <w:rPr>
          <w:rFonts w:hint="eastAsia" w:ascii="仿宋" w:hAnsi="仿宋" w:eastAsia="仿宋"/>
          <w:spacing w:val="5"/>
          <w:kern w:val="0"/>
          <w:sz w:val="32"/>
          <w:szCs w:val="32"/>
        </w:rPr>
        <w:t xml:space="preserve">            </w:t>
      </w:r>
      <w:r>
        <w:rPr>
          <w:rFonts w:hint="eastAsia" w:ascii="仿宋" w:hAnsi="仿宋" w:eastAsia="仿宋"/>
          <w:spacing w:val="5"/>
          <w:kern w:val="0"/>
          <w:sz w:val="32"/>
          <w:szCs w:val="32"/>
          <w:lang w:val="en-US" w:eastAsia="zh-CN"/>
        </w:rPr>
        <w:t xml:space="preserve">           </w:t>
      </w:r>
      <w:r>
        <w:rPr>
          <w:rFonts w:hint="eastAsia" w:ascii="仿宋" w:hAnsi="仿宋" w:eastAsia="仿宋"/>
          <w:spacing w:val="5"/>
          <w:kern w:val="0"/>
          <w:sz w:val="32"/>
          <w:szCs w:val="32"/>
          <w:lang w:eastAsia="zh-CN"/>
        </w:rPr>
        <w:t>商洛市机关事务管理局</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outlineLvl w:val="9"/>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年1月2日</w:t>
      </w:r>
    </w:p>
    <w:p>
      <w:pPr>
        <w:keepNext w:val="0"/>
        <w:keepLines w:val="0"/>
        <w:pageBreakBefore w:val="0"/>
        <w:kinsoku/>
        <w:wordWrap/>
        <w:overflowPunct/>
        <w:topLinePunct w:val="0"/>
        <w:autoSpaceDE/>
        <w:autoSpaceDN/>
        <w:bidi w:val="0"/>
        <w:adjustRightInd/>
        <w:snapToGrid/>
        <w:spacing w:line="560" w:lineRule="exact"/>
        <w:ind w:firstLine="4320" w:firstLineChars="135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left="645"/>
        <w:textAlignment w:val="auto"/>
        <w:outlineLvl w:val="9"/>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left="645"/>
        <w:textAlignment w:val="auto"/>
        <w:outlineLvl w:val="9"/>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lang w:eastAsia="zh-CN"/>
        </w:rPr>
        <w:t>鱼浩杰</w:t>
      </w: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645"/>
        <w:textAlignment w:val="auto"/>
        <w:outlineLvl w:val="9"/>
        <w:rPr>
          <w:rFonts w:hint="eastAsia" w:ascii="仿宋" w:hAnsi="仿宋" w:eastAsia="仿宋"/>
          <w:sz w:val="32"/>
          <w:szCs w:val="32"/>
          <w:lang w:val="en-US" w:eastAsia="zh-CN"/>
        </w:rPr>
      </w:pPr>
      <w:r>
        <w:rPr>
          <w:rFonts w:hint="eastAsia" w:ascii="仿宋" w:hAnsi="仿宋" w:eastAsia="仿宋"/>
          <w:sz w:val="32"/>
          <w:szCs w:val="32"/>
        </w:rPr>
        <w:t>电</w:t>
      </w:r>
      <w:r>
        <w:rPr>
          <w:rFonts w:hint="eastAsia" w:ascii="仿宋" w:hAnsi="仿宋" w:eastAsia="仿宋"/>
          <w:sz w:val="32"/>
          <w:szCs w:val="32"/>
          <w:lang w:val="en-US" w:eastAsia="zh-CN"/>
        </w:rPr>
        <w:t xml:space="preserve">  </w:t>
      </w:r>
      <w:r>
        <w:rPr>
          <w:rFonts w:hint="eastAsia" w:ascii="仿宋" w:hAnsi="仿宋" w:eastAsia="仿宋"/>
          <w:sz w:val="32"/>
          <w:szCs w:val="32"/>
        </w:rPr>
        <w:t>话：</w:t>
      </w:r>
      <w:r>
        <w:rPr>
          <w:rFonts w:hint="eastAsia" w:ascii="仿宋" w:hAnsi="仿宋" w:eastAsia="仿宋"/>
          <w:sz w:val="32"/>
          <w:szCs w:val="32"/>
          <w:lang w:val="en-US" w:eastAsia="zh-CN"/>
        </w:rPr>
        <w:t>2319063</w:t>
      </w:r>
    </w:p>
    <w:p>
      <w:pPr>
        <w:keepNext w:val="0"/>
        <w:keepLines w:val="0"/>
        <w:pageBreakBefore w:val="0"/>
        <w:kinsoku/>
        <w:wordWrap/>
        <w:overflowPunct/>
        <w:topLinePunct w:val="0"/>
        <w:autoSpaceDE/>
        <w:autoSpaceDN/>
        <w:bidi w:val="0"/>
        <w:adjustRightInd/>
        <w:snapToGrid/>
        <w:spacing w:line="560" w:lineRule="exact"/>
        <w:ind w:left="645"/>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传  真：2380802</w:t>
      </w:r>
    </w:p>
    <w:p>
      <w:pPr>
        <w:keepNext w:val="0"/>
        <w:keepLines w:val="0"/>
        <w:pageBreakBefore w:val="0"/>
        <w:kinsoku/>
        <w:wordWrap/>
        <w:overflowPunct/>
        <w:topLinePunct w:val="0"/>
        <w:autoSpaceDE/>
        <w:autoSpaceDN/>
        <w:bidi w:val="0"/>
        <w:adjustRightInd/>
        <w:snapToGrid/>
        <w:spacing w:line="560" w:lineRule="exact"/>
        <w:ind w:left="645"/>
        <w:textAlignment w:val="auto"/>
        <w:outlineLvl w:val="9"/>
        <w:rPr>
          <w:rFonts w:hint="eastAsia" w:ascii="仿宋" w:hAnsi="仿宋" w:eastAsia="仿宋"/>
          <w:sz w:val="32"/>
          <w:szCs w:val="32"/>
          <w:lang w:val="en-US" w:eastAsia="zh-CN"/>
        </w:rPr>
      </w:pPr>
      <w:r>
        <w:rPr>
          <w:rFonts w:hint="eastAsia" w:ascii="仿宋" w:hAnsi="仿宋" w:eastAsia="仿宋"/>
          <w:sz w:val="32"/>
          <w:szCs w:val="32"/>
        </w:rPr>
        <w:t>邮</w:t>
      </w:r>
      <w:r>
        <w:rPr>
          <w:rFonts w:hint="eastAsia" w:ascii="仿宋" w:hAnsi="仿宋" w:eastAsia="仿宋"/>
          <w:sz w:val="32"/>
          <w:szCs w:val="32"/>
          <w:lang w:val="en-US" w:eastAsia="zh-CN"/>
        </w:rPr>
        <w:t xml:space="preserve">  </w:t>
      </w:r>
      <w:r>
        <w:rPr>
          <w:rFonts w:hint="eastAsia" w:ascii="仿宋" w:hAnsi="仿宋" w:eastAsia="仿宋"/>
          <w:sz w:val="32"/>
          <w:szCs w:val="32"/>
        </w:rPr>
        <w:t>箱：</w:t>
      </w:r>
      <w:r>
        <w:rPr>
          <w:rFonts w:hint="eastAsia" w:ascii="仿宋" w:hAnsi="仿宋" w:eastAsia="仿宋"/>
          <w:sz w:val="32"/>
          <w:szCs w:val="32"/>
          <w:lang w:val="en-US" w:eastAsia="zh-CN"/>
        </w:rPr>
        <w:t>692198778@qq.com</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left"/>
        <w:rPr>
          <w:rFonts w:ascii="仿宋" w:hAnsi="仿宋" w:eastAsia="仿宋"/>
          <w:sz w:val="32"/>
          <w:szCs w:val="32"/>
        </w:rPr>
      </w:pPr>
      <w:r>
        <w:rPr>
          <w:rFonts w:hint="eastAsia" w:ascii="仿宋" w:hAnsi="仿宋" w:eastAsia="仿宋"/>
          <w:sz w:val="32"/>
          <w:szCs w:val="32"/>
        </w:rPr>
        <w:t>附件1</w:t>
      </w:r>
    </w:p>
    <w:p>
      <w:pPr>
        <w:jc w:val="left"/>
        <w:rPr>
          <w:rFonts w:ascii="仿宋" w:hAnsi="仿宋" w:eastAsia="仿宋"/>
          <w:sz w:val="32"/>
          <w:szCs w:val="32"/>
        </w:rPr>
      </w:pPr>
    </w:p>
    <w:p>
      <w:pPr>
        <w:jc w:val="center"/>
        <w:rPr>
          <w:rFonts w:ascii="黑体" w:hAnsi="黑体" w:eastAsia="黑体"/>
          <w:sz w:val="36"/>
          <w:szCs w:val="36"/>
        </w:rPr>
      </w:pPr>
      <w:r>
        <w:rPr>
          <w:rFonts w:hint="eastAsia" w:ascii="黑体" w:hAnsi="黑体" w:eastAsia="黑体"/>
          <w:sz w:val="36"/>
          <w:szCs w:val="36"/>
        </w:rPr>
        <w:t>公共机构能源资源消费统计数据会审方法和内容</w:t>
      </w:r>
    </w:p>
    <w:p>
      <w:pPr>
        <w:jc w:val="center"/>
        <w:rPr>
          <w:rFonts w:ascii="黑体" w:hAnsi="黑体" w:eastAsia="黑体"/>
          <w:sz w:val="36"/>
          <w:szCs w:val="36"/>
        </w:rPr>
      </w:pPr>
    </w:p>
    <w:p>
      <w:pPr>
        <w:ind w:firstLine="627" w:firstLineChars="196"/>
        <w:rPr>
          <w:rFonts w:ascii="仿宋" w:hAnsi="仿宋" w:eastAsia="仿宋"/>
          <w:sz w:val="32"/>
          <w:szCs w:val="32"/>
        </w:rPr>
      </w:pPr>
      <w:r>
        <w:rPr>
          <w:rFonts w:hint="eastAsia" w:ascii="仿宋" w:hAnsi="仿宋" w:eastAsia="仿宋"/>
          <w:sz w:val="32"/>
          <w:szCs w:val="32"/>
        </w:rPr>
        <w:t>2018年度公共机构能源资源消费统计年报工作按照县（区）、市、省，自下而上分级审核，逐级上报的原则进行，重点审核报表和数据的三个方面：完整性、合理性和匹配性。</w:t>
      </w:r>
    </w:p>
    <w:tbl>
      <w:tblPr>
        <w:tblStyle w:val="4"/>
        <w:tblW w:w="903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95"/>
        <w:gridCol w:w="3388"/>
        <w:gridCol w:w="44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195" w:type="dxa"/>
            <w:vAlign w:val="center"/>
          </w:tcPr>
          <w:p>
            <w:pPr>
              <w:spacing w:line="360" w:lineRule="exact"/>
              <w:jc w:val="center"/>
              <w:rPr>
                <w:rFonts w:ascii="仿宋" w:hAnsi="仿宋" w:eastAsia="仿宋"/>
                <w:b/>
                <w:sz w:val="24"/>
                <w:szCs w:val="24"/>
              </w:rPr>
            </w:pPr>
            <w:r>
              <w:rPr>
                <w:rFonts w:hint="eastAsia" w:ascii="仿宋" w:hAnsi="仿宋" w:eastAsia="仿宋"/>
                <w:b/>
                <w:sz w:val="24"/>
                <w:szCs w:val="24"/>
              </w:rPr>
              <w:t>项 目</w:t>
            </w:r>
          </w:p>
        </w:tc>
        <w:tc>
          <w:tcPr>
            <w:tcW w:w="3388" w:type="dxa"/>
            <w:vAlign w:val="center"/>
          </w:tcPr>
          <w:p>
            <w:pPr>
              <w:spacing w:line="360" w:lineRule="exact"/>
              <w:jc w:val="center"/>
              <w:rPr>
                <w:rFonts w:ascii="仿宋" w:hAnsi="仿宋" w:eastAsia="仿宋"/>
                <w:b/>
                <w:sz w:val="24"/>
                <w:szCs w:val="24"/>
              </w:rPr>
            </w:pPr>
            <w:r>
              <w:rPr>
                <w:rFonts w:hint="eastAsia" w:ascii="仿宋" w:hAnsi="仿宋" w:eastAsia="仿宋"/>
                <w:b/>
                <w:sz w:val="24"/>
                <w:szCs w:val="24"/>
              </w:rPr>
              <w:t>内 容</w:t>
            </w:r>
          </w:p>
        </w:tc>
        <w:tc>
          <w:tcPr>
            <w:tcW w:w="4447" w:type="dxa"/>
            <w:vAlign w:val="center"/>
          </w:tcPr>
          <w:p>
            <w:pPr>
              <w:spacing w:line="360" w:lineRule="exact"/>
              <w:jc w:val="center"/>
              <w:rPr>
                <w:rFonts w:ascii="仿宋" w:hAnsi="仿宋" w:eastAsia="仿宋"/>
                <w:b/>
                <w:sz w:val="24"/>
                <w:szCs w:val="24"/>
              </w:rPr>
            </w:pPr>
            <w:r>
              <w:rPr>
                <w:rFonts w:hint="eastAsia" w:ascii="仿宋" w:hAnsi="仿宋" w:eastAsia="仿宋"/>
                <w:b/>
                <w:sz w:val="24"/>
                <w:szCs w:val="24"/>
              </w:rPr>
              <w:t>方 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195" w:type="dxa"/>
            <w:vMerge w:val="restart"/>
            <w:vAlign w:val="center"/>
          </w:tcPr>
          <w:p>
            <w:pPr>
              <w:spacing w:line="360" w:lineRule="exact"/>
              <w:jc w:val="center"/>
              <w:rPr>
                <w:rFonts w:ascii="仿宋" w:hAnsi="仿宋" w:eastAsia="仿宋"/>
                <w:sz w:val="24"/>
                <w:szCs w:val="24"/>
              </w:rPr>
            </w:pPr>
            <w:r>
              <w:rPr>
                <w:rFonts w:hint="eastAsia" w:ascii="仿宋" w:hAnsi="仿宋" w:eastAsia="仿宋"/>
                <w:sz w:val="24"/>
                <w:szCs w:val="24"/>
              </w:rPr>
              <w:t>完整性</w:t>
            </w:r>
          </w:p>
        </w:tc>
        <w:tc>
          <w:tcPr>
            <w:tcW w:w="3388"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所辖（属）公共机构是否全面</w:t>
            </w:r>
          </w:p>
        </w:tc>
        <w:tc>
          <w:tcPr>
            <w:tcW w:w="4447"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按实际情况查看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195" w:type="dxa"/>
            <w:vMerge w:val="continue"/>
            <w:vAlign w:val="center"/>
          </w:tcPr>
          <w:p>
            <w:pPr>
              <w:spacing w:line="360" w:lineRule="exact"/>
              <w:jc w:val="center"/>
              <w:rPr>
                <w:rFonts w:ascii="仿宋" w:hAnsi="仿宋" w:eastAsia="仿宋"/>
                <w:sz w:val="24"/>
                <w:szCs w:val="24"/>
              </w:rPr>
            </w:pPr>
          </w:p>
        </w:tc>
        <w:tc>
          <w:tcPr>
            <w:tcW w:w="3388"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四张报表是否完整</w:t>
            </w:r>
          </w:p>
        </w:tc>
        <w:tc>
          <w:tcPr>
            <w:tcW w:w="4447"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按实际情况查看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1195" w:type="dxa"/>
            <w:vMerge w:val="continue"/>
            <w:vAlign w:val="center"/>
          </w:tcPr>
          <w:p>
            <w:pPr>
              <w:spacing w:line="360" w:lineRule="exact"/>
              <w:jc w:val="center"/>
              <w:rPr>
                <w:rFonts w:ascii="仿宋" w:hAnsi="仿宋" w:eastAsia="仿宋"/>
                <w:sz w:val="24"/>
                <w:szCs w:val="24"/>
              </w:rPr>
            </w:pPr>
          </w:p>
        </w:tc>
        <w:tc>
          <w:tcPr>
            <w:tcW w:w="3388"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统计指标是否完整</w:t>
            </w:r>
          </w:p>
        </w:tc>
        <w:tc>
          <w:tcPr>
            <w:tcW w:w="4447"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按实际情况查看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8" w:hRule="atLeast"/>
          <w:jc w:val="center"/>
        </w:trPr>
        <w:tc>
          <w:tcPr>
            <w:tcW w:w="1195" w:type="dxa"/>
            <w:vMerge w:val="restart"/>
            <w:vAlign w:val="center"/>
          </w:tcPr>
          <w:p>
            <w:pPr>
              <w:spacing w:line="360" w:lineRule="exact"/>
              <w:jc w:val="center"/>
              <w:rPr>
                <w:rFonts w:ascii="仿宋" w:hAnsi="仿宋" w:eastAsia="仿宋"/>
                <w:sz w:val="24"/>
                <w:szCs w:val="24"/>
              </w:rPr>
            </w:pPr>
            <w:r>
              <w:rPr>
                <w:rFonts w:hint="eastAsia" w:ascii="仿宋" w:hAnsi="仿宋" w:eastAsia="仿宋"/>
                <w:sz w:val="24"/>
                <w:szCs w:val="24"/>
              </w:rPr>
              <w:t>·合理性</w:t>
            </w:r>
          </w:p>
          <w:p>
            <w:pPr>
              <w:spacing w:line="360" w:lineRule="exact"/>
              <w:jc w:val="center"/>
              <w:rPr>
                <w:rFonts w:ascii="仿宋" w:hAnsi="仿宋" w:eastAsia="仿宋"/>
                <w:sz w:val="24"/>
                <w:szCs w:val="24"/>
              </w:rPr>
            </w:pPr>
          </w:p>
        </w:tc>
        <w:tc>
          <w:tcPr>
            <w:tcW w:w="3388"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单价</w:t>
            </w:r>
          </w:p>
        </w:tc>
        <w:tc>
          <w:tcPr>
            <w:tcW w:w="4447" w:type="dxa"/>
            <w:vAlign w:val="center"/>
          </w:tcPr>
          <w:p>
            <w:pPr>
              <w:spacing w:line="360" w:lineRule="exact"/>
              <w:rPr>
                <w:rFonts w:ascii="仿宋" w:hAnsi="仿宋" w:eastAsia="仿宋"/>
                <w:sz w:val="24"/>
                <w:szCs w:val="24"/>
              </w:rPr>
            </w:pPr>
            <w:r>
              <w:rPr>
                <w:rFonts w:hint="eastAsia" w:ascii="仿宋" w:hAnsi="仿宋" w:eastAsia="仿宋"/>
                <w:sz w:val="24"/>
                <w:szCs w:val="24"/>
              </w:rPr>
              <w:t>分别计算水、电、煤、天然气、汽油、柴油、热力等单价，判断是否与当地能源资源价格相匹配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34" w:hRule="atLeast"/>
          <w:jc w:val="center"/>
        </w:trPr>
        <w:tc>
          <w:tcPr>
            <w:tcW w:w="1195" w:type="dxa"/>
            <w:vMerge w:val="continue"/>
            <w:vAlign w:val="center"/>
          </w:tcPr>
          <w:p>
            <w:pPr>
              <w:spacing w:line="360" w:lineRule="exact"/>
              <w:jc w:val="center"/>
              <w:rPr>
                <w:rFonts w:ascii="仿宋" w:hAnsi="仿宋" w:eastAsia="仿宋"/>
                <w:sz w:val="24"/>
                <w:szCs w:val="24"/>
              </w:rPr>
            </w:pPr>
          </w:p>
        </w:tc>
        <w:tc>
          <w:tcPr>
            <w:tcW w:w="3388"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相对指标</w:t>
            </w:r>
          </w:p>
        </w:tc>
        <w:tc>
          <w:tcPr>
            <w:tcW w:w="4447" w:type="dxa"/>
            <w:vAlign w:val="center"/>
          </w:tcPr>
          <w:p>
            <w:pPr>
              <w:spacing w:line="360" w:lineRule="exact"/>
              <w:jc w:val="left"/>
              <w:rPr>
                <w:rFonts w:ascii="仿宋" w:hAnsi="仿宋" w:eastAsia="仿宋"/>
                <w:sz w:val="24"/>
                <w:szCs w:val="24"/>
              </w:rPr>
            </w:pPr>
            <w:r>
              <w:rPr>
                <w:rFonts w:hint="eastAsia" w:ascii="仿宋" w:hAnsi="仿宋" w:eastAsia="仿宋"/>
                <w:sz w:val="24"/>
                <w:szCs w:val="24"/>
              </w:rPr>
              <w:t>分别计算人均建筑面积、人均用电量、单位建筑面积电耗、人均水量、人均煤耗、单位建筑面积煤耗、单车汽油/柴油耗等是否符合实际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95" w:type="dxa"/>
            <w:vMerge w:val="continue"/>
            <w:vAlign w:val="center"/>
          </w:tcPr>
          <w:p>
            <w:pPr>
              <w:spacing w:line="360" w:lineRule="exact"/>
              <w:jc w:val="center"/>
              <w:rPr>
                <w:rFonts w:ascii="仿宋" w:hAnsi="仿宋" w:eastAsia="仿宋"/>
                <w:sz w:val="24"/>
                <w:szCs w:val="24"/>
              </w:rPr>
            </w:pPr>
          </w:p>
        </w:tc>
        <w:tc>
          <w:tcPr>
            <w:tcW w:w="3388" w:type="dxa"/>
            <w:vMerge w:val="restart"/>
            <w:vAlign w:val="center"/>
          </w:tcPr>
          <w:p>
            <w:pPr>
              <w:spacing w:line="360" w:lineRule="exact"/>
              <w:jc w:val="center"/>
              <w:rPr>
                <w:rFonts w:ascii="仿宋" w:hAnsi="仿宋" w:eastAsia="仿宋"/>
                <w:sz w:val="24"/>
                <w:szCs w:val="24"/>
              </w:rPr>
            </w:pPr>
            <w:r>
              <w:rPr>
                <w:rFonts w:hint="eastAsia" w:ascii="仿宋" w:hAnsi="仿宋" w:eastAsia="仿宋"/>
                <w:sz w:val="24"/>
                <w:szCs w:val="24"/>
              </w:rPr>
              <w:t>报表逻辑关系</w:t>
            </w:r>
          </w:p>
        </w:tc>
        <w:tc>
          <w:tcPr>
            <w:tcW w:w="4447" w:type="dxa"/>
            <w:vAlign w:val="center"/>
          </w:tcPr>
          <w:p>
            <w:pPr>
              <w:spacing w:line="360" w:lineRule="exact"/>
              <w:jc w:val="left"/>
              <w:rPr>
                <w:rFonts w:ascii="仿宋" w:hAnsi="仿宋" w:eastAsia="仿宋"/>
                <w:sz w:val="24"/>
                <w:szCs w:val="24"/>
              </w:rPr>
            </w:pPr>
            <w:r>
              <w:rPr>
                <w:rFonts w:hint="eastAsia" w:ascii="仿宋" w:hAnsi="仿宋" w:eastAsia="仿宋"/>
                <w:sz w:val="24"/>
                <w:szCs w:val="24"/>
              </w:rPr>
              <w:t>综3、综4表</w:t>
            </w:r>
            <w:r>
              <w:rPr>
                <w:rFonts w:hint="eastAsia" w:ascii="仿宋" w:hAnsi="仿宋" w:eastAsia="仿宋"/>
                <w:sz w:val="24"/>
                <w:szCs w:val="24"/>
                <w:highlight w:val="none"/>
              </w:rPr>
              <w:t>与综</w:t>
            </w:r>
            <w:r>
              <w:rPr>
                <w:rFonts w:hint="eastAsia" w:ascii="仿宋" w:hAnsi="仿宋" w:eastAsia="仿宋"/>
                <w:sz w:val="24"/>
                <w:szCs w:val="24"/>
              </w:rPr>
              <w:t>1、综2表是部分与整体关系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6" w:hRule="atLeast"/>
          <w:jc w:val="center"/>
        </w:trPr>
        <w:tc>
          <w:tcPr>
            <w:tcW w:w="1195" w:type="dxa"/>
            <w:vMerge w:val="continue"/>
            <w:vAlign w:val="center"/>
          </w:tcPr>
          <w:p>
            <w:pPr>
              <w:spacing w:line="360" w:lineRule="exact"/>
              <w:jc w:val="center"/>
              <w:rPr>
                <w:rFonts w:ascii="仿宋" w:hAnsi="仿宋" w:eastAsia="仿宋"/>
                <w:sz w:val="24"/>
                <w:szCs w:val="24"/>
              </w:rPr>
            </w:pPr>
          </w:p>
        </w:tc>
        <w:tc>
          <w:tcPr>
            <w:tcW w:w="3388" w:type="dxa"/>
            <w:vMerge w:val="continue"/>
            <w:vAlign w:val="center"/>
          </w:tcPr>
          <w:p>
            <w:pPr>
              <w:spacing w:line="360" w:lineRule="exact"/>
              <w:jc w:val="center"/>
              <w:rPr>
                <w:rFonts w:ascii="仿宋" w:hAnsi="仿宋" w:eastAsia="仿宋"/>
                <w:sz w:val="24"/>
                <w:szCs w:val="24"/>
              </w:rPr>
            </w:pPr>
          </w:p>
        </w:tc>
        <w:tc>
          <w:tcPr>
            <w:tcW w:w="4447"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总计与小计之间符合平衡关系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jc w:val="center"/>
        </w:trPr>
        <w:tc>
          <w:tcPr>
            <w:tcW w:w="1195" w:type="dxa"/>
            <w:vMerge w:val="continue"/>
            <w:vAlign w:val="center"/>
          </w:tcPr>
          <w:p>
            <w:pPr>
              <w:spacing w:line="360" w:lineRule="exact"/>
              <w:jc w:val="center"/>
              <w:rPr>
                <w:rFonts w:ascii="仿宋" w:hAnsi="仿宋" w:eastAsia="仿宋"/>
                <w:sz w:val="24"/>
                <w:szCs w:val="24"/>
              </w:rPr>
            </w:pPr>
          </w:p>
        </w:tc>
        <w:tc>
          <w:tcPr>
            <w:tcW w:w="3388" w:type="dxa"/>
            <w:vMerge w:val="continue"/>
            <w:vAlign w:val="center"/>
          </w:tcPr>
          <w:p>
            <w:pPr>
              <w:spacing w:line="360" w:lineRule="exact"/>
              <w:jc w:val="center"/>
              <w:rPr>
                <w:rFonts w:ascii="仿宋" w:hAnsi="仿宋" w:eastAsia="仿宋"/>
                <w:sz w:val="24"/>
                <w:szCs w:val="24"/>
              </w:rPr>
            </w:pPr>
          </w:p>
        </w:tc>
        <w:tc>
          <w:tcPr>
            <w:tcW w:w="4447"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总量和各分量符合平衡关系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9" w:hRule="atLeast"/>
          <w:jc w:val="center"/>
        </w:trPr>
        <w:tc>
          <w:tcPr>
            <w:tcW w:w="1195"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匹配性</w:t>
            </w:r>
          </w:p>
        </w:tc>
        <w:tc>
          <w:tcPr>
            <w:tcW w:w="3388"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总量、相对指标与历史同期量相比，处于正常范围，变化幅度超过10%，需重点核查</w:t>
            </w:r>
          </w:p>
        </w:tc>
        <w:tc>
          <w:tcPr>
            <w:tcW w:w="4447" w:type="dxa"/>
            <w:vAlign w:val="center"/>
          </w:tcPr>
          <w:p>
            <w:pPr>
              <w:spacing w:line="360" w:lineRule="exact"/>
              <w:rPr>
                <w:rFonts w:ascii="仿宋" w:hAnsi="仿宋" w:eastAsia="仿宋"/>
                <w:sz w:val="24"/>
                <w:szCs w:val="24"/>
              </w:rPr>
            </w:pPr>
            <w:r>
              <w:rPr>
                <w:rFonts w:hint="eastAsia" w:ascii="仿宋" w:hAnsi="仿宋" w:eastAsia="仿宋"/>
                <w:sz w:val="24"/>
                <w:szCs w:val="24"/>
              </w:rPr>
              <w:t>分别计算综合能耗、人均综合能耗、单位建筑面积能耗、人均水耗、人均电量、人均煤耗、单位建筑面积电耗、单位建筑面积煤耗等指标与上年度指标同比变化幅度，若超过正负10%，应予以质询，查找问题，进行修正，确有原因，需进行说明。</w:t>
            </w:r>
          </w:p>
        </w:tc>
      </w:tr>
    </w:tbl>
    <w:p>
      <w:pPr>
        <w:ind w:firstLine="627" w:firstLineChars="196"/>
        <w:jc w:val="center"/>
        <w:rPr>
          <w:rFonts w:ascii="黑体" w:hAnsi="黑体" w:eastAsia="黑体"/>
          <w:sz w:val="32"/>
          <w:szCs w:val="32"/>
        </w:rPr>
      </w:pPr>
      <w:r>
        <w:rPr>
          <w:rFonts w:hint="eastAsia" w:ascii="黑体" w:hAnsi="黑体" w:eastAsia="黑体"/>
          <w:sz w:val="32"/>
          <w:szCs w:val="32"/>
        </w:rPr>
        <w:t>表一  各指标合理参考范围及匹配值</w:t>
      </w:r>
    </w:p>
    <w:tbl>
      <w:tblPr>
        <w:tblStyle w:val="3"/>
        <w:tblW w:w="8720" w:type="dxa"/>
        <w:jc w:val="center"/>
        <w:tblInd w:w="0" w:type="dxa"/>
        <w:tblLayout w:type="fixed"/>
        <w:tblCellMar>
          <w:top w:w="0" w:type="dxa"/>
          <w:left w:w="108" w:type="dxa"/>
          <w:bottom w:w="0" w:type="dxa"/>
          <w:right w:w="108" w:type="dxa"/>
        </w:tblCellMar>
      </w:tblPr>
      <w:tblGrid>
        <w:gridCol w:w="4556"/>
        <w:gridCol w:w="2082"/>
        <w:gridCol w:w="2082"/>
      </w:tblGrid>
      <w:tr>
        <w:tblPrEx>
          <w:tblLayout w:type="fixed"/>
          <w:tblCellMar>
            <w:top w:w="0" w:type="dxa"/>
            <w:left w:w="108" w:type="dxa"/>
            <w:bottom w:w="0" w:type="dxa"/>
            <w:right w:w="108" w:type="dxa"/>
          </w:tblCellMar>
        </w:tblPrEx>
        <w:trPr>
          <w:trHeight w:val="420" w:hRule="atLeast"/>
          <w:jc w:val="center"/>
        </w:trPr>
        <w:tc>
          <w:tcPr>
            <w:tcW w:w="8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b/>
                <w:color w:val="000000"/>
                <w:kern w:val="0"/>
                <w:sz w:val="28"/>
                <w:szCs w:val="28"/>
              </w:rPr>
            </w:pPr>
            <w:r>
              <w:rPr>
                <w:rFonts w:hint="eastAsia" w:ascii="仿宋" w:hAnsi="仿宋" w:eastAsia="仿宋" w:cs="宋体"/>
                <w:b/>
                <w:color w:val="000000"/>
                <w:kern w:val="0"/>
                <w:sz w:val="28"/>
                <w:szCs w:val="28"/>
              </w:rPr>
              <w:t>合理性参考范围</w:t>
            </w:r>
          </w:p>
        </w:tc>
      </w:tr>
      <w:tr>
        <w:tblPrEx>
          <w:tblLayout w:type="fixed"/>
          <w:tblCellMar>
            <w:top w:w="0" w:type="dxa"/>
            <w:left w:w="108" w:type="dxa"/>
            <w:bottom w:w="0" w:type="dxa"/>
            <w:right w:w="108" w:type="dxa"/>
          </w:tblCellMar>
        </w:tblPrEx>
        <w:trPr>
          <w:trHeight w:val="420" w:hRule="atLeast"/>
          <w:jc w:val="center"/>
        </w:trPr>
        <w:tc>
          <w:tcPr>
            <w:tcW w:w="455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人均建筑面积</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5-50</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m</w:t>
            </w:r>
            <w:r>
              <w:rPr>
                <w:rFonts w:ascii="仿宋" w:hAnsi="仿宋" w:eastAsia="仿宋" w:cs="Times New Roman"/>
                <w:color w:val="000000"/>
                <w:kern w:val="0"/>
                <w:sz w:val="28"/>
                <w:szCs w:val="28"/>
                <w:vertAlign w:val="superscript"/>
              </w:rPr>
              <w:t>2</w:t>
            </w:r>
            <w:r>
              <w:rPr>
                <w:rFonts w:ascii="仿宋" w:hAnsi="仿宋" w:eastAsia="仿宋" w:cs="Times New Roman"/>
                <w:color w:val="000000"/>
                <w:kern w:val="0"/>
                <w:sz w:val="28"/>
                <w:szCs w:val="28"/>
              </w:rPr>
              <w:t>/</w:t>
            </w:r>
            <w:r>
              <w:rPr>
                <w:rFonts w:hint="eastAsia" w:ascii="仿宋" w:hAnsi="仿宋" w:eastAsia="仿宋" w:cs="Times New Roman"/>
                <w:color w:val="000000"/>
                <w:kern w:val="0"/>
                <w:sz w:val="28"/>
                <w:szCs w:val="28"/>
              </w:rPr>
              <w:t>人</w:t>
            </w:r>
          </w:p>
        </w:tc>
      </w:tr>
      <w:tr>
        <w:tblPrEx>
          <w:tblLayout w:type="fixed"/>
          <w:tblCellMar>
            <w:top w:w="0" w:type="dxa"/>
            <w:left w:w="108" w:type="dxa"/>
            <w:bottom w:w="0" w:type="dxa"/>
            <w:right w:w="108" w:type="dxa"/>
          </w:tblCellMar>
        </w:tblPrEx>
        <w:trPr>
          <w:trHeight w:val="420" w:hRule="atLeast"/>
          <w:jc w:val="center"/>
        </w:trPr>
        <w:tc>
          <w:tcPr>
            <w:tcW w:w="455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建筑容积率（建筑面积/用地面积）</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&lt;5</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p>
        </w:tc>
      </w:tr>
      <w:tr>
        <w:tblPrEx>
          <w:tblLayout w:type="fixed"/>
          <w:tblCellMar>
            <w:top w:w="0" w:type="dxa"/>
            <w:left w:w="108" w:type="dxa"/>
            <w:bottom w:w="0" w:type="dxa"/>
            <w:right w:w="108" w:type="dxa"/>
          </w:tblCellMar>
        </w:tblPrEx>
        <w:trPr>
          <w:trHeight w:val="420" w:hRule="atLeast"/>
          <w:jc w:val="center"/>
        </w:trPr>
        <w:tc>
          <w:tcPr>
            <w:tcW w:w="455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人均用水量</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5-60</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m</w:t>
            </w:r>
            <w:r>
              <w:rPr>
                <w:rFonts w:ascii="仿宋" w:hAnsi="仿宋" w:eastAsia="仿宋" w:cs="Times New Roman"/>
                <w:color w:val="000000"/>
                <w:kern w:val="0"/>
                <w:sz w:val="28"/>
                <w:szCs w:val="28"/>
                <w:vertAlign w:val="superscript"/>
              </w:rPr>
              <w:t>3</w:t>
            </w:r>
            <w:r>
              <w:rPr>
                <w:rFonts w:ascii="仿宋" w:hAnsi="仿宋" w:eastAsia="仿宋" w:cs="Times New Roman"/>
                <w:color w:val="000000"/>
                <w:kern w:val="0"/>
                <w:sz w:val="28"/>
                <w:szCs w:val="28"/>
              </w:rPr>
              <w:t>/</w:t>
            </w:r>
            <w:r>
              <w:rPr>
                <w:rFonts w:hint="eastAsia" w:ascii="仿宋" w:hAnsi="仿宋" w:eastAsia="仿宋" w:cs="Times New Roman"/>
                <w:color w:val="000000"/>
                <w:kern w:val="0"/>
                <w:sz w:val="28"/>
                <w:szCs w:val="28"/>
              </w:rPr>
              <w:t>人</w:t>
            </w:r>
          </w:p>
        </w:tc>
      </w:tr>
      <w:tr>
        <w:tblPrEx>
          <w:tblLayout w:type="fixed"/>
          <w:tblCellMar>
            <w:top w:w="0" w:type="dxa"/>
            <w:left w:w="108" w:type="dxa"/>
            <w:bottom w:w="0" w:type="dxa"/>
            <w:right w:w="108" w:type="dxa"/>
          </w:tblCellMar>
        </w:tblPrEx>
        <w:trPr>
          <w:trHeight w:val="420" w:hRule="atLeast"/>
          <w:jc w:val="center"/>
        </w:trPr>
        <w:tc>
          <w:tcPr>
            <w:tcW w:w="455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单位建筑面积用电量</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10-120</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kwh/m</w:t>
            </w:r>
            <w:r>
              <w:rPr>
                <w:rFonts w:ascii="仿宋" w:hAnsi="仿宋" w:eastAsia="仿宋" w:cs="Times New Roman"/>
                <w:color w:val="000000"/>
                <w:kern w:val="0"/>
                <w:sz w:val="28"/>
                <w:szCs w:val="28"/>
                <w:vertAlign w:val="superscript"/>
              </w:rPr>
              <w:t>2</w:t>
            </w:r>
          </w:p>
        </w:tc>
      </w:tr>
      <w:tr>
        <w:tblPrEx>
          <w:tblLayout w:type="fixed"/>
          <w:tblCellMar>
            <w:top w:w="0" w:type="dxa"/>
            <w:left w:w="108" w:type="dxa"/>
            <w:bottom w:w="0" w:type="dxa"/>
            <w:right w:w="108" w:type="dxa"/>
          </w:tblCellMar>
        </w:tblPrEx>
        <w:trPr>
          <w:trHeight w:val="420" w:hRule="atLeast"/>
          <w:jc w:val="center"/>
        </w:trPr>
        <w:tc>
          <w:tcPr>
            <w:tcW w:w="455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人均用电量</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100-</w:t>
            </w:r>
            <w:r>
              <w:rPr>
                <w:rFonts w:hint="eastAsia" w:ascii="仿宋" w:hAnsi="仿宋" w:eastAsia="仿宋" w:cs="Times New Roman"/>
                <w:color w:val="000000"/>
                <w:kern w:val="0"/>
                <w:sz w:val="28"/>
                <w:szCs w:val="28"/>
              </w:rPr>
              <w:t>2</w:t>
            </w:r>
            <w:r>
              <w:rPr>
                <w:rFonts w:ascii="仿宋" w:hAnsi="仿宋" w:eastAsia="仿宋" w:cs="Times New Roman"/>
                <w:color w:val="000000"/>
                <w:kern w:val="0"/>
                <w:sz w:val="28"/>
                <w:szCs w:val="28"/>
              </w:rPr>
              <w:t>000</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kwh/</w:t>
            </w:r>
            <w:r>
              <w:rPr>
                <w:rFonts w:hint="eastAsia" w:ascii="仿宋" w:hAnsi="仿宋" w:eastAsia="仿宋" w:cs="Times New Roman"/>
                <w:color w:val="000000"/>
                <w:kern w:val="0"/>
                <w:sz w:val="28"/>
                <w:szCs w:val="28"/>
              </w:rPr>
              <w:t>人</w:t>
            </w:r>
          </w:p>
        </w:tc>
      </w:tr>
      <w:tr>
        <w:tblPrEx>
          <w:tblLayout w:type="fixed"/>
          <w:tblCellMar>
            <w:top w:w="0" w:type="dxa"/>
            <w:left w:w="108" w:type="dxa"/>
            <w:bottom w:w="0" w:type="dxa"/>
            <w:right w:w="108" w:type="dxa"/>
          </w:tblCellMar>
        </w:tblPrEx>
        <w:trPr>
          <w:trHeight w:val="420" w:hRule="atLeast"/>
          <w:jc w:val="center"/>
        </w:trPr>
        <w:tc>
          <w:tcPr>
            <w:tcW w:w="455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单车油耗</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&lt;5000</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L/</w:t>
            </w:r>
            <w:r>
              <w:rPr>
                <w:rFonts w:hint="eastAsia" w:ascii="仿宋" w:hAnsi="仿宋" w:eastAsia="仿宋" w:cs="Times New Roman"/>
                <w:color w:val="000000"/>
                <w:kern w:val="0"/>
                <w:sz w:val="28"/>
                <w:szCs w:val="28"/>
              </w:rPr>
              <w:t>辆</w:t>
            </w:r>
          </w:p>
        </w:tc>
      </w:tr>
      <w:tr>
        <w:tblPrEx>
          <w:tblLayout w:type="fixed"/>
          <w:tblCellMar>
            <w:top w:w="0" w:type="dxa"/>
            <w:left w:w="108" w:type="dxa"/>
            <w:bottom w:w="0" w:type="dxa"/>
            <w:right w:w="108" w:type="dxa"/>
          </w:tblCellMar>
        </w:tblPrEx>
        <w:trPr>
          <w:trHeight w:val="420" w:hRule="atLeast"/>
          <w:jc w:val="center"/>
        </w:trPr>
        <w:tc>
          <w:tcPr>
            <w:tcW w:w="872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hint="eastAsia" w:ascii="仿宋" w:hAnsi="仿宋" w:eastAsia="仿宋" w:cs="宋体"/>
                <w:color w:val="000000"/>
                <w:kern w:val="0"/>
                <w:sz w:val="28"/>
                <w:szCs w:val="28"/>
              </w:rPr>
              <w:t>匹配性参考值</w:t>
            </w:r>
          </w:p>
        </w:tc>
      </w:tr>
      <w:tr>
        <w:tblPrEx>
          <w:tblLayout w:type="fixed"/>
          <w:tblCellMar>
            <w:top w:w="0" w:type="dxa"/>
            <w:left w:w="108" w:type="dxa"/>
            <w:bottom w:w="0" w:type="dxa"/>
            <w:right w:w="108" w:type="dxa"/>
          </w:tblCellMar>
        </w:tblPrEx>
        <w:trPr>
          <w:trHeight w:val="420" w:hRule="atLeast"/>
          <w:jc w:val="center"/>
        </w:trPr>
        <w:tc>
          <w:tcPr>
            <w:tcW w:w="455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同比偏差</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&lt;10%</w:t>
            </w:r>
          </w:p>
        </w:tc>
        <w:tc>
          <w:tcPr>
            <w:tcW w:w="208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w:t>
            </w:r>
            <w:r>
              <w:rPr>
                <w:rFonts w:hint="eastAsia" w:ascii="仿宋" w:hAnsi="仿宋" w:eastAsia="仿宋" w:cs="Times New Roman"/>
                <w:color w:val="000000"/>
                <w:kern w:val="0"/>
                <w:sz w:val="28"/>
                <w:szCs w:val="28"/>
              </w:rPr>
              <w:t>偏差</w:t>
            </w:r>
          </w:p>
        </w:tc>
      </w:tr>
    </w:tbl>
    <w:p>
      <w:pPr>
        <w:jc w:val="center"/>
        <w:rPr>
          <w:rFonts w:ascii="仿宋" w:hAnsi="仿宋" w:eastAsia="仿宋"/>
          <w:sz w:val="28"/>
          <w:szCs w:val="28"/>
        </w:rPr>
      </w:pPr>
    </w:p>
    <w:p>
      <w:pPr>
        <w:jc w:val="center"/>
        <w:rPr>
          <w:rFonts w:ascii="黑体" w:hAnsi="黑体" w:eastAsia="黑体"/>
          <w:sz w:val="32"/>
          <w:szCs w:val="32"/>
        </w:rPr>
      </w:pPr>
      <w:r>
        <w:rPr>
          <w:rFonts w:hint="eastAsia" w:ascii="黑体" w:hAnsi="黑体" w:eastAsia="黑体"/>
          <w:sz w:val="32"/>
          <w:szCs w:val="32"/>
        </w:rPr>
        <w:t>表二  常见能源资源单价参考范围</w:t>
      </w:r>
    </w:p>
    <w:tbl>
      <w:tblPr>
        <w:tblStyle w:val="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416" w:type="dxa"/>
            <w:shd w:val="clear" w:color="auto" w:fill="auto"/>
            <w:noWrap/>
            <w:vAlign w:val="center"/>
          </w:tcPr>
          <w:p>
            <w:pPr>
              <w:widowControl/>
              <w:spacing w:line="360" w:lineRule="auto"/>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能源资源种类</w:t>
            </w:r>
          </w:p>
        </w:tc>
        <w:tc>
          <w:tcPr>
            <w:tcW w:w="4304" w:type="dxa"/>
            <w:shd w:val="clear" w:color="auto" w:fill="auto"/>
            <w:noWrap/>
            <w:vAlign w:val="center"/>
          </w:tcPr>
          <w:p>
            <w:pPr>
              <w:widowControl/>
              <w:spacing w:line="360" w:lineRule="auto"/>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单价区间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416" w:type="dxa"/>
            <w:shd w:val="clear" w:color="auto" w:fill="auto"/>
            <w:noWrap/>
            <w:vAlign w:val="center"/>
          </w:tcPr>
          <w:p>
            <w:pPr>
              <w:widowControl/>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电</w:t>
            </w:r>
          </w:p>
        </w:tc>
        <w:tc>
          <w:tcPr>
            <w:tcW w:w="4304" w:type="dxa"/>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0.5-1元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416" w:type="dxa"/>
            <w:shd w:val="clear" w:color="auto" w:fill="auto"/>
            <w:noWrap/>
            <w:vAlign w:val="center"/>
          </w:tcPr>
          <w:p>
            <w:pPr>
              <w:widowControl/>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水</w:t>
            </w:r>
          </w:p>
        </w:tc>
        <w:tc>
          <w:tcPr>
            <w:tcW w:w="4304" w:type="dxa"/>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4.5-6.8元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416" w:type="dxa"/>
            <w:shd w:val="clear" w:color="auto" w:fill="auto"/>
            <w:noWrap/>
            <w:vAlign w:val="center"/>
          </w:tcPr>
          <w:p>
            <w:pPr>
              <w:widowControl/>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天然气</w:t>
            </w:r>
          </w:p>
        </w:tc>
        <w:tc>
          <w:tcPr>
            <w:tcW w:w="4304" w:type="dxa"/>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1.98-3元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416" w:type="dxa"/>
            <w:shd w:val="clear" w:color="auto" w:fill="auto"/>
            <w:noWrap/>
            <w:vAlign w:val="center"/>
          </w:tcPr>
          <w:p>
            <w:pPr>
              <w:widowControl/>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煤</w:t>
            </w:r>
          </w:p>
        </w:tc>
        <w:tc>
          <w:tcPr>
            <w:tcW w:w="4304" w:type="dxa"/>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800-1200元/吨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416" w:type="dxa"/>
            <w:shd w:val="clear" w:color="auto" w:fill="auto"/>
            <w:noWrap/>
            <w:vAlign w:val="center"/>
          </w:tcPr>
          <w:p>
            <w:pPr>
              <w:widowControl/>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汽油</w:t>
            </w:r>
          </w:p>
        </w:tc>
        <w:tc>
          <w:tcPr>
            <w:tcW w:w="4304" w:type="dxa"/>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6-8元/升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416" w:type="dxa"/>
            <w:shd w:val="clear" w:color="auto" w:fill="auto"/>
            <w:noWrap/>
            <w:vAlign w:val="center"/>
          </w:tcPr>
          <w:p>
            <w:pPr>
              <w:widowControl/>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柴油</w:t>
            </w:r>
          </w:p>
        </w:tc>
        <w:tc>
          <w:tcPr>
            <w:tcW w:w="4304" w:type="dxa"/>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6-8元/升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416" w:type="dxa"/>
            <w:shd w:val="clear" w:color="auto" w:fill="auto"/>
            <w:noWrap/>
            <w:vAlign w:val="center"/>
          </w:tcPr>
          <w:p>
            <w:pPr>
              <w:widowControl/>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液化石油气</w:t>
            </w:r>
          </w:p>
        </w:tc>
        <w:tc>
          <w:tcPr>
            <w:tcW w:w="4304" w:type="dxa"/>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8元/千克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416" w:type="dxa"/>
            <w:shd w:val="clear" w:color="auto" w:fill="auto"/>
            <w:noWrap/>
            <w:vAlign w:val="center"/>
          </w:tcPr>
          <w:p>
            <w:pPr>
              <w:widowControl/>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热力（按流量计算）</w:t>
            </w:r>
          </w:p>
        </w:tc>
        <w:tc>
          <w:tcPr>
            <w:tcW w:w="4304" w:type="dxa"/>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59元/吉焦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416" w:type="dxa"/>
            <w:shd w:val="clear" w:color="auto" w:fill="auto"/>
            <w:noWrap/>
            <w:vAlign w:val="center"/>
          </w:tcPr>
          <w:p>
            <w:pPr>
              <w:widowControl/>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热力（按市政集中供暖面积计算）</w:t>
            </w:r>
          </w:p>
        </w:tc>
        <w:tc>
          <w:tcPr>
            <w:tcW w:w="4304" w:type="dxa"/>
            <w:shd w:val="clear" w:color="auto" w:fill="auto"/>
            <w:noWrap/>
            <w:vAlign w:val="center"/>
          </w:tcPr>
          <w:p>
            <w:pPr>
              <w:widowControl/>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7.5元/平方米.月</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表三  能耗统计指标、常见能源折算标煤系数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sz w:val="32"/>
          <w:szCs w:val="32"/>
        </w:rPr>
      </w:pPr>
      <w:r>
        <w:rPr>
          <w:rFonts w:hint="eastAsia" w:ascii="黑体" w:hAnsi="黑体" w:eastAsia="黑体"/>
          <w:sz w:val="32"/>
          <w:szCs w:val="32"/>
        </w:rPr>
        <w:t>及能耗统计指标计算方法</w:t>
      </w:r>
    </w:p>
    <w:tbl>
      <w:tblPr>
        <w:tblStyle w:val="4"/>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67"/>
        <w:gridCol w:w="1697"/>
        <w:gridCol w:w="2803"/>
        <w:gridCol w:w="203"/>
        <w:gridCol w:w="15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2467"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指 标</w:t>
            </w:r>
          </w:p>
        </w:tc>
        <w:tc>
          <w:tcPr>
            <w:tcW w:w="1697"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单位</w:t>
            </w:r>
          </w:p>
        </w:tc>
        <w:tc>
          <w:tcPr>
            <w:tcW w:w="2803"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折标煤系数</w:t>
            </w:r>
          </w:p>
        </w:tc>
        <w:tc>
          <w:tcPr>
            <w:tcW w:w="1788" w:type="dxa"/>
            <w:gridSpan w:val="2"/>
            <w:vAlign w:val="center"/>
          </w:tcPr>
          <w:p>
            <w:pPr>
              <w:spacing w:line="400" w:lineRule="exact"/>
              <w:jc w:val="center"/>
              <w:rPr>
                <w:rFonts w:ascii="仿宋" w:hAnsi="仿宋" w:eastAsia="仿宋"/>
                <w:b/>
                <w:sz w:val="24"/>
                <w:szCs w:val="24"/>
              </w:rPr>
            </w:pPr>
            <w:r>
              <w:rPr>
                <w:rFonts w:hint="eastAsia" w:ascii="仿宋" w:hAnsi="仿宋" w:eastAsia="仿宋"/>
                <w:b/>
                <w:sz w:val="24"/>
                <w:szCs w:val="24"/>
                <w:highlight w:val="none"/>
              </w:rPr>
              <w:t>折标后</w:t>
            </w:r>
            <w:r>
              <w:rPr>
                <w:rFonts w:hint="eastAsia" w:ascii="仿宋" w:hAnsi="仿宋" w:eastAsia="仿宋"/>
                <w:b/>
                <w:sz w:val="24"/>
                <w:szCs w:val="24"/>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用能人数</w:t>
            </w:r>
          </w:p>
        </w:tc>
        <w:tc>
          <w:tcPr>
            <w:tcW w:w="169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人</w:t>
            </w:r>
          </w:p>
        </w:tc>
        <w:tc>
          <w:tcPr>
            <w:tcW w:w="2803" w:type="dxa"/>
            <w:vAlign w:val="center"/>
          </w:tcPr>
          <w:p>
            <w:pPr>
              <w:spacing w:line="400" w:lineRule="exact"/>
              <w:jc w:val="center"/>
              <w:rPr>
                <w:rFonts w:ascii="仿宋" w:hAnsi="仿宋" w:eastAsia="仿宋"/>
                <w:sz w:val="24"/>
                <w:szCs w:val="24"/>
              </w:rPr>
            </w:pPr>
          </w:p>
        </w:tc>
        <w:tc>
          <w:tcPr>
            <w:tcW w:w="1788" w:type="dxa"/>
            <w:gridSpan w:val="2"/>
            <w:vAlign w:val="center"/>
          </w:tcPr>
          <w:p>
            <w:pPr>
              <w:spacing w:line="40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建筑面积</w:t>
            </w:r>
          </w:p>
        </w:tc>
        <w:tc>
          <w:tcPr>
            <w:tcW w:w="169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万平方米</w:t>
            </w:r>
          </w:p>
        </w:tc>
        <w:tc>
          <w:tcPr>
            <w:tcW w:w="2803" w:type="dxa"/>
            <w:vAlign w:val="center"/>
          </w:tcPr>
          <w:p>
            <w:pPr>
              <w:spacing w:line="400" w:lineRule="exact"/>
              <w:jc w:val="center"/>
              <w:rPr>
                <w:rFonts w:ascii="仿宋" w:hAnsi="仿宋" w:eastAsia="仿宋"/>
                <w:sz w:val="24"/>
                <w:szCs w:val="24"/>
              </w:rPr>
            </w:pPr>
          </w:p>
        </w:tc>
        <w:tc>
          <w:tcPr>
            <w:tcW w:w="1788" w:type="dxa"/>
            <w:gridSpan w:val="2"/>
            <w:vAlign w:val="center"/>
          </w:tcPr>
          <w:p>
            <w:pPr>
              <w:spacing w:line="40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电</w:t>
            </w:r>
          </w:p>
        </w:tc>
        <w:tc>
          <w:tcPr>
            <w:tcW w:w="169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万千瓦时</w:t>
            </w:r>
          </w:p>
        </w:tc>
        <w:tc>
          <w:tcPr>
            <w:tcW w:w="2803"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1.229</w:t>
            </w:r>
          </w:p>
        </w:tc>
        <w:tc>
          <w:tcPr>
            <w:tcW w:w="1788" w:type="dxa"/>
            <w:gridSpan w:val="2"/>
            <w:vAlign w:val="center"/>
          </w:tcPr>
          <w:p>
            <w:pPr>
              <w:spacing w:line="400" w:lineRule="exact"/>
              <w:jc w:val="center"/>
              <w:rPr>
                <w:rFonts w:ascii="仿宋" w:hAnsi="仿宋" w:eastAsia="仿宋"/>
                <w:sz w:val="24"/>
                <w:szCs w:val="24"/>
              </w:rPr>
            </w:pPr>
            <w:r>
              <w:rPr>
                <w:rFonts w:hint="eastAsia" w:ascii="仿宋" w:hAnsi="仿宋" w:eastAsia="仿宋"/>
                <w:sz w:val="24"/>
                <w:szCs w:val="24"/>
              </w:rPr>
              <w:t>吨标准煤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水</w:t>
            </w:r>
          </w:p>
        </w:tc>
        <w:tc>
          <w:tcPr>
            <w:tcW w:w="169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万吨</w:t>
            </w:r>
          </w:p>
        </w:tc>
        <w:tc>
          <w:tcPr>
            <w:tcW w:w="2803" w:type="dxa"/>
            <w:vAlign w:val="center"/>
          </w:tcPr>
          <w:p>
            <w:pPr>
              <w:spacing w:line="400" w:lineRule="exact"/>
              <w:jc w:val="center"/>
              <w:rPr>
                <w:rFonts w:ascii="仿宋" w:hAnsi="仿宋" w:eastAsia="仿宋"/>
                <w:sz w:val="24"/>
                <w:szCs w:val="24"/>
              </w:rPr>
            </w:pPr>
          </w:p>
        </w:tc>
        <w:tc>
          <w:tcPr>
            <w:tcW w:w="1788" w:type="dxa"/>
            <w:gridSpan w:val="2"/>
            <w:vAlign w:val="center"/>
          </w:tcPr>
          <w:p>
            <w:pPr>
              <w:spacing w:line="40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煤</w:t>
            </w:r>
          </w:p>
        </w:tc>
        <w:tc>
          <w:tcPr>
            <w:tcW w:w="169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吨</w:t>
            </w:r>
          </w:p>
        </w:tc>
        <w:tc>
          <w:tcPr>
            <w:tcW w:w="2803"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0.7143</w:t>
            </w:r>
          </w:p>
        </w:tc>
        <w:tc>
          <w:tcPr>
            <w:tcW w:w="1788" w:type="dxa"/>
            <w:gridSpan w:val="2"/>
            <w:vAlign w:val="center"/>
          </w:tcPr>
          <w:p>
            <w:pPr>
              <w:spacing w:line="400" w:lineRule="exact"/>
              <w:jc w:val="center"/>
              <w:rPr>
                <w:rFonts w:ascii="仿宋" w:hAnsi="仿宋" w:eastAsia="仿宋"/>
                <w:sz w:val="24"/>
                <w:szCs w:val="24"/>
              </w:rPr>
            </w:pPr>
            <w:r>
              <w:rPr>
                <w:rFonts w:hint="eastAsia" w:ascii="仿宋" w:hAnsi="仿宋" w:eastAsia="仿宋"/>
                <w:sz w:val="24"/>
                <w:szCs w:val="24"/>
              </w:rPr>
              <w:t>吨标准煤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天然气</w:t>
            </w:r>
          </w:p>
        </w:tc>
        <w:tc>
          <w:tcPr>
            <w:tcW w:w="169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万立方米</w:t>
            </w:r>
          </w:p>
        </w:tc>
        <w:tc>
          <w:tcPr>
            <w:tcW w:w="2803"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13.3</w:t>
            </w:r>
          </w:p>
        </w:tc>
        <w:tc>
          <w:tcPr>
            <w:tcW w:w="1788" w:type="dxa"/>
            <w:gridSpan w:val="2"/>
            <w:vAlign w:val="center"/>
          </w:tcPr>
          <w:p>
            <w:pPr>
              <w:spacing w:line="400" w:lineRule="exact"/>
              <w:jc w:val="center"/>
              <w:rPr>
                <w:rFonts w:ascii="仿宋" w:hAnsi="仿宋" w:eastAsia="仿宋"/>
                <w:sz w:val="24"/>
                <w:szCs w:val="24"/>
              </w:rPr>
            </w:pPr>
            <w:r>
              <w:rPr>
                <w:rFonts w:hint="eastAsia" w:ascii="仿宋" w:hAnsi="仿宋" w:eastAsia="仿宋"/>
                <w:sz w:val="24"/>
                <w:szCs w:val="24"/>
              </w:rPr>
              <w:t>吨标准煤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汽油</w:t>
            </w:r>
          </w:p>
        </w:tc>
        <w:tc>
          <w:tcPr>
            <w:tcW w:w="169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万升</w:t>
            </w:r>
          </w:p>
        </w:tc>
        <w:tc>
          <w:tcPr>
            <w:tcW w:w="2803"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10.74</w:t>
            </w:r>
          </w:p>
        </w:tc>
        <w:tc>
          <w:tcPr>
            <w:tcW w:w="1788" w:type="dxa"/>
            <w:gridSpan w:val="2"/>
            <w:vAlign w:val="center"/>
          </w:tcPr>
          <w:p>
            <w:pPr>
              <w:spacing w:line="400" w:lineRule="exact"/>
              <w:jc w:val="center"/>
              <w:rPr>
                <w:rFonts w:ascii="仿宋" w:hAnsi="仿宋" w:eastAsia="仿宋"/>
                <w:sz w:val="24"/>
                <w:szCs w:val="24"/>
              </w:rPr>
            </w:pPr>
            <w:r>
              <w:rPr>
                <w:rFonts w:hint="eastAsia" w:ascii="仿宋" w:hAnsi="仿宋" w:eastAsia="仿宋"/>
                <w:sz w:val="24"/>
                <w:szCs w:val="24"/>
              </w:rPr>
              <w:t>吨标准煤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柴油</w:t>
            </w:r>
          </w:p>
        </w:tc>
        <w:tc>
          <w:tcPr>
            <w:tcW w:w="169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万升</w:t>
            </w:r>
          </w:p>
        </w:tc>
        <w:tc>
          <w:tcPr>
            <w:tcW w:w="2803"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12.53</w:t>
            </w:r>
          </w:p>
        </w:tc>
        <w:tc>
          <w:tcPr>
            <w:tcW w:w="1788" w:type="dxa"/>
            <w:gridSpan w:val="2"/>
            <w:vAlign w:val="center"/>
          </w:tcPr>
          <w:p>
            <w:pPr>
              <w:spacing w:line="400" w:lineRule="exact"/>
              <w:jc w:val="center"/>
              <w:rPr>
                <w:rFonts w:ascii="仿宋" w:hAnsi="仿宋" w:eastAsia="仿宋"/>
                <w:sz w:val="24"/>
                <w:szCs w:val="24"/>
              </w:rPr>
            </w:pPr>
            <w:r>
              <w:rPr>
                <w:rFonts w:hint="eastAsia" w:ascii="仿宋" w:hAnsi="仿宋" w:eastAsia="仿宋"/>
                <w:sz w:val="24"/>
                <w:szCs w:val="24"/>
              </w:rPr>
              <w:t>吨标准煤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液化石油气</w:t>
            </w:r>
          </w:p>
        </w:tc>
        <w:tc>
          <w:tcPr>
            <w:tcW w:w="169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万升</w:t>
            </w:r>
          </w:p>
        </w:tc>
        <w:tc>
          <w:tcPr>
            <w:tcW w:w="2803"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1.75</w:t>
            </w:r>
          </w:p>
        </w:tc>
        <w:tc>
          <w:tcPr>
            <w:tcW w:w="1788" w:type="dxa"/>
            <w:gridSpan w:val="2"/>
            <w:vAlign w:val="center"/>
          </w:tcPr>
          <w:p>
            <w:pPr>
              <w:spacing w:line="400" w:lineRule="exact"/>
              <w:jc w:val="center"/>
              <w:rPr>
                <w:rFonts w:ascii="仿宋" w:hAnsi="仿宋" w:eastAsia="仿宋"/>
                <w:sz w:val="24"/>
                <w:szCs w:val="24"/>
              </w:rPr>
            </w:pPr>
            <w:r>
              <w:rPr>
                <w:rFonts w:hint="eastAsia" w:ascii="仿宋" w:hAnsi="仿宋" w:eastAsia="仿宋"/>
                <w:sz w:val="24"/>
                <w:szCs w:val="24"/>
              </w:rPr>
              <w:t>吨标准煤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67"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R1:外购热力</w:t>
            </w:r>
          </w:p>
          <w:p>
            <w:pPr>
              <w:spacing w:line="360" w:lineRule="exact"/>
              <w:jc w:val="center"/>
              <w:rPr>
                <w:rFonts w:ascii="仿宋" w:hAnsi="仿宋" w:eastAsia="仿宋"/>
                <w:sz w:val="24"/>
                <w:szCs w:val="24"/>
              </w:rPr>
            </w:pPr>
            <w:r>
              <w:rPr>
                <w:rFonts w:hint="eastAsia" w:ascii="仿宋" w:hAnsi="仿宋" w:eastAsia="仿宋"/>
                <w:sz w:val="24"/>
                <w:szCs w:val="24"/>
              </w:rPr>
              <w:t>（按流量计）</w:t>
            </w:r>
          </w:p>
        </w:tc>
        <w:tc>
          <w:tcPr>
            <w:tcW w:w="1697"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吉焦</w:t>
            </w:r>
          </w:p>
        </w:tc>
        <w:tc>
          <w:tcPr>
            <w:tcW w:w="2803"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0.03412</w:t>
            </w:r>
          </w:p>
        </w:tc>
        <w:tc>
          <w:tcPr>
            <w:tcW w:w="1788" w:type="dxa"/>
            <w:gridSpan w:val="2"/>
            <w:vAlign w:val="center"/>
          </w:tcPr>
          <w:p>
            <w:pPr>
              <w:spacing w:line="360" w:lineRule="exact"/>
              <w:jc w:val="center"/>
              <w:rPr>
                <w:rFonts w:ascii="仿宋" w:hAnsi="仿宋" w:eastAsia="仿宋"/>
                <w:sz w:val="24"/>
                <w:szCs w:val="24"/>
              </w:rPr>
            </w:pPr>
            <w:r>
              <w:rPr>
                <w:rFonts w:hint="eastAsia" w:ascii="仿宋" w:hAnsi="仿宋" w:eastAsia="仿宋"/>
                <w:sz w:val="24"/>
                <w:szCs w:val="24"/>
              </w:rPr>
              <w:t>吨标准煤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67"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R2:外购热力</w:t>
            </w:r>
          </w:p>
          <w:p>
            <w:pPr>
              <w:spacing w:line="360" w:lineRule="exact"/>
              <w:jc w:val="center"/>
              <w:rPr>
                <w:rFonts w:ascii="仿宋" w:hAnsi="仿宋" w:eastAsia="仿宋"/>
                <w:sz w:val="24"/>
                <w:szCs w:val="24"/>
              </w:rPr>
            </w:pPr>
            <w:r>
              <w:rPr>
                <w:rFonts w:hint="eastAsia" w:ascii="仿宋" w:hAnsi="仿宋" w:eastAsia="仿宋"/>
                <w:sz w:val="24"/>
                <w:szCs w:val="24"/>
              </w:rPr>
              <w:t>（按市政集中供暖面积计）</w:t>
            </w:r>
          </w:p>
        </w:tc>
        <w:tc>
          <w:tcPr>
            <w:tcW w:w="1697"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万平方米</w:t>
            </w:r>
          </w:p>
        </w:tc>
        <w:tc>
          <w:tcPr>
            <w:tcW w:w="2803" w:type="dxa"/>
            <w:vAlign w:val="center"/>
          </w:tcPr>
          <w:p>
            <w:pPr>
              <w:spacing w:line="360" w:lineRule="exact"/>
              <w:jc w:val="center"/>
              <w:rPr>
                <w:rFonts w:hint="eastAsia" w:ascii="仿宋" w:hAnsi="仿宋" w:eastAsia="仿宋"/>
                <w:sz w:val="24"/>
                <w:szCs w:val="24"/>
              </w:rPr>
            </w:pPr>
            <w:r>
              <w:rPr>
                <w:rFonts w:hint="eastAsia" w:ascii="仿宋" w:hAnsi="仿宋" w:eastAsia="仿宋"/>
                <w:sz w:val="24"/>
                <w:szCs w:val="24"/>
              </w:rPr>
              <w:t>4320x供暖天数x0.0003412</w:t>
            </w:r>
          </w:p>
          <w:p>
            <w:pPr>
              <w:spacing w:line="360" w:lineRule="exact"/>
              <w:jc w:val="center"/>
              <w:rPr>
                <w:rFonts w:ascii="仿宋" w:hAnsi="仿宋" w:eastAsia="仿宋"/>
                <w:sz w:val="24"/>
                <w:szCs w:val="24"/>
              </w:rPr>
            </w:pPr>
            <w:r>
              <w:rPr>
                <w:rFonts w:hint="eastAsia" w:ascii="仿宋" w:hAnsi="仿宋" w:eastAsia="仿宋"/>
                <w:sz w:val="24"/>
                <w:szCs w:val="24"/>
              </w:rPr>
              <w:t>即：176.88或221.1</w:t>
            </w:r>
          </w:p>
        </w:tc>
        <w:tc>
          <w:tcPr>
            <w:tcW w:w="1788" w:type="dxa"/>
            <w:gridSpan w:val="2"/>
            <w:vAlign w:val="center"/>
          </w:tcPr>
          <w:p>
            <w:pPr>
              <w:spacing w:line="360" w:lineRule="exact"/>
              <w:jc w:val="center"/>
              <w:rPr>
                <w:rFonts w:ascii="仿宋" w:hAnsi="仿宋" w:eastAsia="仿宋"/>
                <w:sz w:val="24"/>
                <w:szCs w:val="24"/>
              </w:rPr>
            </w:pPr>
            <w:r>
              <w:rPr>
                <w:rFonts w:hint="eastAsia" w:ascii="仿宋" w:hAnsi="仿宋" w:eastAsia="仿宋"/>
                <w:sz w:val="24"/>
                <w:szCs w:val="24"/>
              </w:rPr>
              <w:t>吨标准煤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其他能源消费量</w:t>
            </w:r>
          </w:p>
        </w:tc>
        <w:tc>
          <w:tcPr>
            <w:tcW w:w="1697" w:type="dxa"/>
            <w:vAlign w:val="center"/>
          </w:tcPr>
          <w:p>
            <w:pPr>
              <w:spacing w:line="400" w:lineRule="exact"/>
              <w:jc w:val="center"/>
              <w:rPr>
                <w:rFonts w:ascii="仿宋" w:hAnsi="仿宋" w:eastAsia="仿宋"/>
                <w:sz w:val="24"/>
                <w:szCs w:val="24"/>
              </w:rPr>
            </w:pPr>
          </w:p>
        </w:tc>
        <w:tc>
          <w:tcPr>
            <w:tcW w:w="2803" w:type="dxa"/>
            <w:vAlign w:val="center"/>
          </w:tcPr>
          <w:p>
            <w:pPr>
              <w:spacing w:line="400" w:lineRule="exact"/>
              <w:jc w:val="center"/>
              <w:rPr>
                <w:rFonts w:ascii="仿宋" w:hAnsi="仿宋" w:eastAsia="仿宋"/>
                <w:sz w:val="24"/>
                <w:szCs w:val="24"/>
              </w:rPr>
            </w:pPr>
          </w:p>
        </w:tc>
        <w:tc>
          <w:tcPr>
            <w:tcW w:w="1788" w:type="dxa"/>
            <w:gridSpan w:val="2"/>
            <w:vAlign w:val="center"/>
          </w:tcPr>
          <w:p>
            <w:pPr>
              <w:spacing w:line="400" w:lineRule="exact"/>
              <w:jc w:val="center"/>
              <w:rPr>
                <w:rFonts w:ascii="仿宋" w:hAnsi="仿宋" w:eastAsia="仿宋"/>
                <w:sz w:val="24"/>
                <w:szCs w:val="24"/>
              </w:rPr>
            </w:pPr>
            <w:r>
              <w:rPr>
                <w:rFonts w:hint="eastAsia" w:ascii="仿宋" w:hAnsi="仿宋" w:eastAsia="仿宋"/>
                <w:sz w:val="24"/>
                <w:szCs w:val="24"/>
              </w:rPr>
              <w:t>吨标准煤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2" w:hRule="atLeast"/>
        </w:trPr>
        <w:tc>
          <w:tcPr>
            <w:tcW w:w="8755" w:type="dxa"/>
            <w:gridSpan w:val="5"/>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计算公式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9" w:hRule="atLeast"/>
        </w:trPr>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综合能耗</w:t>
            </w:r>
          </w:p>
        </w:tc>
        <w:tc>
          <w:tcPr>
            <w:tcW w:w="4703" w:type="dxa"/>
            <w:gridSpan w:val="3"/>
            <w:vAlign w:val="center"/>
          </w:tcPr>
          <w:p>
            <w:pPr>
              <w:spacing w:line="400" w:lineRule="exact"/>
              <w:jc w:val="center"/>
              <w:rPr>
                <w:rFonts w:ascii="仿宋" w:hAnsi="仿宋" w:eastAsia="仿宋"/>
                <w:sz w:val="24"/>
                <w:szCs w:val="24"/>
              </w:rPr>
            </w:pPr>
            <w:r>
              <w:rPr>
                <w:rFonts w:hint="eastAsia" w:ascii="仿宋" w:hAnsi="仿宋" w:eastAsia="仿宋"/>
                <w:sz w:val="24"/>
                <w:szCs w:val="24"/>
              </w:rPr>
              <w:t>电x1.229+煤x0.7143+天然气x13.3+汽油x10.74+柴油x12.53+液化石油气x1.71 +R1x0.03412或R2x4320x供暖天数x0.0003412+其他能源消费量</w:t>
            </w:r>
          </w:p>
        </w:tc>
        <w:tc>
          <w:tcPr>
            <w:tcW w:w="158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吨标准煤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人均综合能耗</w:t>
            </w:r>
          </w:p>
        </w:tc>
        <w:tc>
          <w:tcPr>
            <w:tcW w:w="4703" w:type="dxa"/>
            <w:gridSpan w:val="3"/>
            <w:vAlign w:val="center"/>
          </w:tcPr>
          <w:p>
            <w:pPr>
              <w:spacing w:line="400" w:lineRule="exact"/>
              <w:jc w:val="center"/>
              <w:rPr>
                <w:rFonts w:ascii="仿宋" w:hAnsi="仿宋" w:eastAsia="仿宋"/>
                <w:sz w:val="24"/>
                <w:szCs w:val="24"/>
              </w:rPr>
            </w:pPr>
            <w:r>
              <w:rPr>
                <w:rFonts w:hint="eastAsia" w:ascii="仿宋" w:hAnsi="仿宋" w:eastAsia="仿宋"/>
                <w:sz w:val="24"/>
                <w:szCs w:val="24"/>
              </w:rPr>
              <w:t>综合能耗x 1000/用能人数</w:t>
            </w:r>
          </w:p>
        </w:tc>
        <w:tc>
          <w:tcPr>
            <w:tcW w:w="158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千克标准煤/人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单位建筑</w:t>
            </w:r>
          </w:p>
          <w:p>
            <w:pPr>
              <w:spacing w:line="400" w:lineRule="exact"/>
              <w:jc w:val="center"/>
              <w:rPr>
                <w:rFonts w:ascii="仿宋" w:hAnsi="仿宋" w:eastAsia="仿宋"/>
                <w:sz w:val="24"/>
                <w:szCs w:val="24"/>
              </w:rPr>
            </w:pPr>
            <w:r>
              <w:rPr>
                <w:rFonts w:hint="eastAsia" w:ascii="仿宋" w:hAnsi="仿宋" w:eastAsia="仿宋"/>
                <w:sz w:val="24"/>
                <w:szCs w:val="24"/>
              </w:rPr>
              <w:t>面积能耗</w:t>
            </w:r>
          </w:p>
        </w:tc>
        <w:tc>
          <w:tcPr>
            <w:tcW w:w="4703" w:type="dxa"/>
            <w:gridSpan w:val="3"/>
            <w:vAlign w:val="center"/>
          </w:tcPr>
          <w:p>
            <w:pPr>
              <w:spacing w:line="400" w:lineRule="exact"/>
              <w:jc w:val="center"/>
              <w:rPr>
                <w:rFonts w:ascii="仿宋" w:hAnsi="仿宋" w:eastAsia="仿宋"/>
                <w:sz w:val="24"/>
                <w:szCs w:val="24"/>
              </w:rPr>
            </w:pPr>
            <w:r>
              <w:rPr>
                <w:rFonts w:hint="eastAsia" w:ascii="仿宋" w:hAnsi="仿宋" w:eastAsia="仿宋"/>
                <w:sz w:val="24"/>
                <w:szCs w:val="24"/>
              </w:rPr>
              <w:t>(电x1.229+煤x0.7143+天然气x13.3+液化石油气x1.71+R1x0.03412或R2x4320x供暖天数x0.0003412+其他能源消费量) x1000/(建筑面积x10000)</w:t>
            </w:r>
          </w:p>
        </w:tc>
        <w:tc>
          <w:tcPr>
            <w:tcW w:w="158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千克标准煤/平方米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人均水耗</w:t>
            </w:r>
          </w:p>
        </w:tc>
        <w:tc>
          <w:tcPr>
            <w:tcW w:w="4703" w:type="dxa"/>
            <w:gridSpan w:val="3"/>
            <w:vAlign w:val="center"/>
          </w:tcPr>
          <w:p>
            <w:pPr>
              <w:spacing w:line="400" w:lineRule="exact"/>
              <w:jc w:val="center"/>
              <w:rPr>
                <w:rFonts w:ascii="仿宋" w:hAnsi="仿宋" w:eastAsia="仿宋"/>
                <w:sz w:val="24"/>
                <w:szCs w:val="24"/>
              </w:rPr>
            </w:pPr>
            <w:r>
              <w:rPr>
                <w:rFonts w:hint="eastAsia" w:ascii="仿宋" w:hAnsi="仿宋" w:eastAsia="仿宋"/>
                <w:sz w:val="24"/>
                <w:szCs w:val="24"/>
              </w:rPr>
              <w:t>水消耗总量</w:t>
            </w:r>
            <w:r>
              <w:rPr>
                <w:rFonts w:hint="eastAsia" w:ascii="仿宋" w:hAnsi="仿宋" w:eastAsia="仿宋"/>
                <w:sz w:val="28"/>
                <w:szCs w:val="28"/>
              </w:rPr>
              <w:t>x</w:t>
            </w:r>
            <w:r>
              <w:rPr>
                <w:rFonts w:hint="eastAsia" w:ascii="仿宋" w:hAnsi="仿宋" w:eastAsia="仿宋"/>
                <w:sz w:val="24"/>
                <w:szCs w:val="24"/>
              </w:rPr>
              <w:t xml:space="preserve"> 10000/用能人数</w:t>
            </w:r>
          </w:p>
        </w:tc>
        <w:tc>
          <w:tcPr>
            <w:tcW w:w="158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吨/人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6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变化率</w:t>
            </w:r>
          </w:p>
        </w:tc>
        <w:tc>
          <w:tcPr>
            <w:tcW w:w="4703" w:type="dxa"/>
            <w:gridSpan w:val="3"/>
            <w:vAlign w:val="center"/>
          </w:tcPr>
          <w:p>
            <w:pPr>
              <w:spacing w:line="400" w:lineRule="exact"/>
              <w:jc w:val="center"/>
              <w:rPr>
                <w:rFonts w:ascii="仿宋" w:hAnsi="仿宋" w:eastAsia="仿宋"/>
                <w:sz w:val="24"/>
                <w:szCs w:val="24"/>
              </w:rPr>
            </w:pPr>
            <w:r>
              <w:rPr>
                <w:rFonts w:hint="eastAsia" w:ascii="仿宋" w:hAnsi="仿宋" w:eastAsia="仿宋"/>
                <w:sz w:val="24"/>
                <w:szCs w:val="24"/>
              </w:rPr>
              <w:t>（本年度指标-上年度指标）/上年度指标</w:t>
            </w:r>
            <w:r>
              <w:rPr>
                <w:rFonts w:hint="eastAsia" w:ascii="仿宋" w:hAnsi="仿宋" w:eastAsia="仿宋"/>
                <w:sz w:val="28"/>
                <w:szCs w:val="28"/>
              </w:rPr>
              <w:t>x</w:t>
            </w:r>
            <w:r>
              <w:rPr>
                <w:rFonts w:hint="eastAsia" w:ascii="仿宋" w:hAnsi="仿宋" w:eastAsia="仿宋"/>
                <w:sz w:val="24"/>
                <w:szCs w:val="24"/>
              </w:rPr>
              <w:t xml:space="preserve"> 100%</w:t>
            </w:r>
          </w:p>
        </w:tc>
        <w:tc>
          <w:tcPr>
            <w:tcW w:w="1585" w:type="dxa"/>
            <w:vAlign w:val="center"/>
          </w:tcPr>
          <w:p>
            <w:pPr>
              <w:spacing w:line="400" w:lineRule="exact"/>
              <w:jc w:val="center"/>
              <w:rPr>
                <w:rFonts w:ascii="仿宋" w:hAnsi="仿宋" w:eastAsia="仿宋"/>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 w:hAnsi="仿宋" w:eastAsia="仿宋"/>
          <w:sz w:val="32"/>
          <w:szCs w:val="32"/>
        </w:rPr>
      </w:pPr>
      <w:r>
        <w:rPr>
          <w:rFonts w:hint="eastAsia" w:ascii="仿宋" w:hAnsi="仿宋" w:eastAsia="仿宋"/>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sz w:val="36"/>
          <w:szCs w:val="36"/>
        </w:rPr>
      </w:pPr>
      <w:r>
        <w:rPr>
          <w:rFonts w:hint="eastAsia" w:ascii="黑体" w:hAnsi="黑体" w:eastAsia="黑体"/>
          <w:sz w:val="36"/>
          <w:szCs w:val="36"/>
        </w:rPr>
        <w:t>2018年度公共机构能源资源消费统计数据审核表</w:t>
      </w:r>
    </w:p>
    <w:p>
      <w:pPr>
        <w:spacing w:line="400" w:lineRule="exact"/>
        <w:jc w:val="left"/>
        <w:rPr>
          <w:rFonts w:ascii="仿宋" w:hAnsi="仿宋" w:eastAsia="仿宋"/>
          <w:sz w:val="28"/>
          <w:szCs w:val="28"/>
        </w:rPr>
      </w:pPr>
      <w:r>
        <w:rPr>
          <w:rFonts w:hint="eastAsia" w:ascii="仿宋" w:hAnsi="仿宋" w:eastAsia="仿宋"/>
          <w:sz w:val="28"/>
          <w:szCs w:val="28"/>
        </w:rPr>
        <w:t xml:space="preserve">单位（盖章）：                     </w:t>
      </w:r>
    </w:p>
    <w:tbl>
      <w:tblPr>
        <w:tblStyle w:val="4"/>
        <w:tblW w:w="914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42"/>
        <w:gridCol w:w="2071"/>
        <w:gridCol w:w="1504"/>
        <w:gridCol w:w="1504"/>
        <w:gridCol w:w="14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9" w:hRule="atLeast"/>
        </w:trPr>
        <w:tc>
          <w:tcPr>
            <w:tcW w:w="2642" w:type="dxa"/>
            <w:vAlign w:val="center"/>
          </w:tcPr>
          <w:p>
            <w:pPr>
              <w:spacing w:line="360" w:lineRule="exact"/>
              <w:jc w:val="center"/>
              <w:rPr>
                <w:rFonts w:ascii="仿宋" w:hAnsi="仿宋" w:eastAsia="仿宋"/>
                <w:b/>
                <w:sz w:val="24"/>
                <w:szCs w:val="24"/>
              </w:rPr>
            </w:pPr>
            <w:r>
              <w:rPr>
                <w:rFonts w:hint="eastAsia" w:ascii="仿宋" w:hAnsi="仿宋" w:eastAsia="仿宋"/>
                <w:b/>
                <w:sz w:val="24"/>
                <w:szCs w:val="24"/>
              </w:rPr>
              <w:t>统计指标</w:t>
            </w:r>
          </w:p>
        </w:tc>
        <w:tc>
          <w:tcPr>
            <w:tcW w:w="2071" w:type="dxa"/>
            <w:vAlign w:val="center"/>
          </w:tcPr>
          <w:p>
            <w:pPr>
              <w:spacing w:line="360" w:lineRule="exact"/>
              <w:jc w:val="center"/>
              <w:rPr>
                <w:rFonts w:ascii="仿宋" w:hAnsi="仿宋" w:eastAsia="仿宋"/>
                <w:b/>
                <w:sz w:val="24"/>
                <w:szCs w:val="24"/>
              </w:rPr>
            </w:pPr>
            <w:r>
              <w:rPr>
                <w:rFonts w:hint="eastAsia" w:ascii="仿宋" w:hAnsi="仿宋" w:eastAsia="仿宋"/>
                <w:b/>
                <w:sz w:val="24"/>
                <w:szCs w:val="24"/>
              </w:rPr>
              <w:t>单位</w:t>
            </w:r>
          </w:p>
        </w:tc>
        <w:tc>
          <w:tcPr>
            <w:tcW w:w="1504" w:type="dxa"/>
            <w:vAlign w:val="center"/>
          </w:tcPr>
          <w:p>
            <w:pPr>
              <w:spacing w:line="360" w:lineRule="exact"/>
              <w:jc w:val="center"/>
              <w:rPr>
                <w:rFonts w:ascii="仿宋" w:hAnsi="仿宋" w:eastAsia="仿宋"/>
                <w:b/>
                <w:sz w:val="24"/>
                <w:szCs w:val="24"/>
              </w:rPr>
            </w:pPr>
            <w:r>
              <w:rPr>
                <w:rFonts w:hint="eastAsia" w:ascii="仿宋" w:hAnsi="仿宋" w:eastAsia="仿宋"/>
                <w:b/>
                <w:sz w:val="24"/>
                <w:szCs w:val="24"/>
              </w:rPr>
              <w:t>2017年度</w:t>
            </w:r>
          </w:p>
        </w:tc>
        <w:tc>
          <w:tcPr>
            <w:tcW w:w="1504" w:type="dxa"/>
            <w:vAlign w:val="center"/>
          </w:tcPr>
          <w:p>
            <w:pPr>
              <w:spacing w:line="360" w:lineRule="exact"/>
              <w:jc w:val="center"/>
              <w:rPr>
                <w:rFonts w:ascii="仿宋" w:hAnsi="仿宋" w:eastAsia="仿宋"/>
                <w:b/>
                <w:sz w:val="24"/>
                <w:szCs w:val="24"/>
              </w:rPr>
            </w:pPr>
            <w:r>
              <w:rPr>
                <w:rFonts w:hint="eastAsia" w:ascii="仿宋" w:hAnsi="仿宋" w:eastAsia="仿宋"/>
                <w:b/>
                <w:sz w:val="24"/>
                <w:szCs w:val="24"/>
              </w:rPr>
              <w:t>2018年度</w:t>
            </w:r>
          </w:p>
        </w:tc>
        <w:tc>
          <w:tcPr>
            <w:tcW w:w="1419" w:type="dxa"/>
            <w:vAlign w:val="center"/>
          </w:tcPr>
          <w:p>
            <w:pPr>
              <w:spacing w:line="360" w:lineRule="exact"/>
              <w:jc w:val="center"/>
              <w:rPr>
                <w:rFonts w:ascii="仿宋" w:hAnsi="仿宋" w:eastAsia="仿宋"/>
                <w:b/>
                <w:sz w:val="24"/>
                <w:szCs w:val="24"/>
              </w:rPr>
            </w:pPr>
            <w:r>
              <w:rPr>
                <w:rFonts w:hint="eastAsia" w:ascii="仿宋" w:hAnsi="仿宋" w:eastAsia="仿宋"/>
                <w:b/>
                <w:sz w:val="24"/>
                <w:szCs w:val="24"/>
              </w:rPr>
              <w:t>变化率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用能人数</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人</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建筑面积</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万平方米</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9140" w:type="dxa"/>
            <w:gridSpan w:val="5"/>
            <w:vAlign w:val="center"/>
          </w:tcPr>
          <w:p>
            <w:pPr>
              <w:spacing w:line="360" w:lineRule="exact"/>
              <w:jc w:val="center"/>
              <w:rPr>
                <w:rFonts w:ascii="仿宋" w:hAnsi="仿宋" w:eastAsia="仿宋"/>
                <w:b/>
                <w:sz w:val="24"/>
                <w:szCs w:val="24"/>
              </w:rPr>
            </w:pPr>
            <w:r>
              <w:rPr>
                <w:rFonts w:hint="eastAsia" w:ascii="仿宋" w:hAnsi="仿宋" w:eastAsia="仿宋"/>
                <w:b/>
                <w:sz w:val="24"/>
                <w:szCs w:val="24"/>
              </w:rPr>
              <w:t>基础数据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电</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万千瓦时</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水</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万吨</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煤</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吨</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天然气</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万立方米</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汽油</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万升</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柴油</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万升</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液化石油气</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吨</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外购热力（按流量计）</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吉焦</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市政集中供暖面积</w:t>
            </w:r>
          </w:p>
          <w:p>
            <w:pPr>
              <w:spacing w:line="360" w:lineRule="exact"/>
              <w:jc w:val="center"/>
              <w:rPr>
                <w:rFonts w:ascii="仿宋" w:hAnsi="仿宋" w:eastAsia="仿宋"/>
                <w:sz w:val="24"/>
                <w:szCs w:val="24"/>
              </w:rPr>
            </w:pPr>
            <w:r>
              <w:rPr>
                <w:rFonts w:hint="eastAsia" w:ascii="仿宋" w:hAnsi="仿宋" w:eastAsia="仿宋"/>
                <w:sz w:val="24"/>
                <w:szCs w:val="24"/>
              </w:rPr>
              <w:t>（按面积计）</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万平方米</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其他能源消费量</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吨标准煤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9140" w:type="dxa"/>
            <w:gridSpan w:val="5"/>
            <w:vAlign w:val="center"/>
          </w:tcPr>
          <w:p>
            <w:pPr>
              <w:spacing w:line="360" w:lineRule="exact"/>
              <w:jc w:val="center"/>
              <w:rPr>
                <w:rFonts w:ascii="仿宋" w:hAnsi="仿宋" w:eastAsia="仿宋"/>
                <w:b/>
                <w:sz w:val="24"/>
                <w:szCs w:val="24"/>
              </w:rPr>
            </w:pPr>
            <w:r>
              <w:rPr>
                <w:rFonts w:hint="eastAsia" w:ascii="仿宋" w:hAnsi="仿宋" w:eastAsia="仿宋"/>
                <w:b/>
                <w:sz w:val="24"/>
                <w:szCs w:val="24"/>
              </w:rPr>
              <w:t>折算标煤数据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电</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吨标准煤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煤</w:t>
            </w:r>
          </w:p>
        </w:tc>
        <w:tc>
          <w:tcPr>
            <w:tcW w:w="2071" w:type="dxa"/>
            <w:vAlign w:val="center"/>
          </w:tcPr>
          <w:p>
            <w:pPr>
              <w:spacing w:line="360" w:lineRule="exact"/>
              <w:jc w:val="center"/>
              <w:rPr>
                <w:sz w:val="24"/>
                <w:szCs w:val="24"/>
              </w:rPr>
            </w:pPr>
            <w:r>
              <w:rPr>
                <w:rFonts w:hint="eastAsia" w:ascii="仿宋" w:hAnsi="仿宋" w:eastAsia="仿宋"/>
                <w:sz w:val="24"/>
                <w:szCs w:val="24"/>
              </w:rPr>
              <w:t>吨标准煤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天然气</w:t>
            </w:r>
          </w:p>
        </w:tc>
        <w:tc>
          <w:tcPr>
            <w:tcW w:w="2071" w:type="dxa"/>
            <w:vAlign w:val="center"/>
          </w:tcPr>
          <w:p>
            <w:pPr>
              <w:spacing w:line="360" w:lineRule="exact"/>
              <w:jc w:val="center"/>
              <w:rPr>
                <w:sz w:val="24"/>
                <w:szCs w:val="24"/>
              </w:rPr>
            </w:pPr>
            <w:r>
              <w:rPr>
                <w:rFonts w:hint="eastAsia" w:ascii="仿宋" w:hAnsi="仿宋" w:eastAsia="仿宋"/>
                <w:sz w:val="24"/>
                <w:szCs w:val="24"/>
              </w:rPr>
              <w:t>吨标准煤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汽油</w:t>
            </w:r>
          </w:p>
        </w:tc>
        <w:tc>
          <w:tcPr>
            <w:tcW w:w="2071" w:type="dxa"/>
            <w:vAlign w:val="center"/>
          </w:tcPr>
          <w:p>
            <w:pPr>
              <w:spacing w:line="360" w:lineRule="exact"/>
              <w:jc w:val="center"/>
              <w:rPr>
                <w:sz w:val="24"/>
                <w:szCs w:val="24"/>
              </w:rPr>
            </w:pPr>
            <w:r>
              <w:rPr>
                <w:rFonts w:hint="eastAsia" w:ascii="仿宋" w:hAnsi="仿宋" w:eastAsia="仿宋"/>
                <w:sz w:val="24"/>
                <w:szCs w:val="24"/>
              </w:rPr>
              <w:t>吨标准煤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柴油</w:t>
            </w:r>
          </w:p>
        </w:tc>
        <w:tc>
          <w:tcPr>
            <w:tcW w:w="2071" w:type="dxa"/>
            <w:vAlign w:val="center"/>
          </w:tcPr>
          <w:p>
            <w:pPr>
              <w:spacing w:line="360" w:lineRule="exact"/>
              <w:jc w:val="center"/>
              <w:rPr>
                <w:sz w:val="24"/>
                <w:szCs w:val="24"/>
              </w:rPr>
            </w:pPr>
            <w:r>
              <w:rPr>
                <w:rFonts w:hint="eastAsia" w:ascii="仿宋" w:hAnsi="仿宋" w:eastAsia="仿宋"/>
                <w:sz w:val="24"/>
                <w:szCs w:val="24"/>
              </w:rPr>
              <w:t>吨标准煤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液化石油气</w:t>
            </w:r>
          </w:p>
        </w:tc>
        <w:tc>
          <w:tcPr>
            <w:tcW w:w="2071" w:type="dxa"/>
            <w:vAlign w:val="center"/>
          </w:tcPr>
          <w:p>
            <w:pPr>
              <w:spacing w:line="360" w:lineRule="exact"/>
              <w:jc w:val="center"/>
              <w:rPr>
                <w:sz w:val="24"/>
                <w:szCs w:val="24"/>
              </w:rPr>
            </w:pPr>
            <w:r>
              <w:rPr>
                <w:rFonts w:hint="eastAsia" w:ascii="仿宋" w:hAnsi="仿宋" w:eastAsia="仿宋"/>
                <w:sz w:val="24"/>
                <w:szCs w:val="24"/>
              </w:rPr>
              <w:t>吨标准煤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外购热力（按流量计）</w:t>
            </w:r>
          </w:p>
        </w:tc>
        <w:tc>
          <w:tcPr>
            <w:tcW w:w="2071" w:type="dxa"/>
            <w:vAlign w:val="center"/>
          </w:tcPr>
          <w:p>
            <w:pPr>
              <w:spacing w:line="360" w:lineRule="exact"/>
              <w:jc w:val="center"/>
              <w:rPr>
                <w:sz w:val="24"/>
                <w:szCs w:val="24"/>
              </w:rPr>
            </w:pPr>
            <w:r>
              <w:rPr>
                <w:rFonts w:hint="eastAsia" w:ascii="仿宋" w:hAnsi="仿宋" w:eastAsia="仿宋"/>
                <w:sz w:val="24"/>
                <w:szCs w:val="24"/>
              </w:rPr>
              <w:t>吨标准煤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市政集中供暖面积</w:t>
            </w:r>
          </w:p>
          <w:p>
            <w:pPr>
              <w:spacing w:line="360" w:lineRule="exact"/>
              <w:jc w:val="center"/>
              <w:rPr>
                <w:rFonts w:ascii="仿宋" w:hAnsi="仿宋" w:eastAsia="仿宋"/>
                <w:sz w:val="24"/>
                <w:szCs w:val="24"/>
              </w:rPr>
            </w:pPr>
            <w:r>
              <w:rPr>
                <w:rFonts w:hint="eastAsia" w:ascii="仿宋" w:hAnsi="仿宋" w:eastAsia="仿宋"/>
                <w:sz w:val="24"/>
                <w:szCs w:val="24"/>
              </w:rPr>
              <w:t>（按面积计）</w:t>
            </w:r>
          </w:p>
        </w:tc>
        <w:tc>
          <w:tcPr>
            <w:tcW w:w="2071" w:type="dxa"/>
            <w:vAlign w:val="center"/>
          </w:tcPr>
          <w:p>
            <w:pPr>
              <w:spacing w:line="360" w:lineRule="exact"/>
              <w:jc w:val="center"/>
              <w:rPr>
                <w:sz w:val="24"/>
                <w:szCs w:val="24"/>
              </w:rPr>
            </w:pPr>
            <w:r>
              <w:rPr>
                <w:rFonts w:hint="eastAsia" w:ascii="仿宋" w:hAnsi="仿宋" w:eastAsia="仿宋"/>
                <w:sz w:val="24"/>
                <w:szCs w:val="24"/>
              </w:rPr>
              <w:t>吨标准煤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其他能源消费量</w:t>
            </w:r>
          </w:p>
        </w:tc>
        <w:tc>
          <w:tcPr>
            <w:tcW w:w="2071" w:type="dxa"/>
            <w:vAlign w:val="center"/>
          </w:tcPr>
          <w:p>
            <w:pPr>
              <w:spacing w:line="360" w:lineRule="exact"/>
              <w:jc w:val="center"/>
              <w:rPr>
                <w:sz w:val="24"/>
                <w:szCs w:val="24"/>
              </w:rPr>
            </w:pPr>
            <w:r>
              <w:rPr>
                <w:rFonts w:hint="eastAsia" w:ascii="仿宋" w:hAnsi="仿宋" w:eastAsia="仿宋"/>
                <w:sz w:val="24"/>
                <w:szCs w:val="24"/>
              </w:rPr>
              <w:t>吨标准煤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9140" w:type="dxa"/>
            <w:gridSpan w:val="5"/>
            <w:vAlign w:val="center"/>
          </w:tcPr>
          <w:p>
            <w:pPr>
              <w:spacing w:line="360" w:lineRule="exact"/>
              <w:jc w:val="center"/>
              <w:rPr>
                <w:rFonts w:ascii="仿宋" w:hAnsi="仿宋" w:eastAsia="仿宋"/>
                <w:b/>
                <w:sz w:val="24"/>
                <w:szCs w:val="24"/>
              </w:rPr>
            </w:pPr>
            <w:r>
              <w:rPr>
                <w:rFonts w:hint="eastAsia" w:ascii="仿宋" w:hAnsi="仿宋" w:eastAsia="仿宋"/>
                <w:b/>
                <w:sz w:val="24"/>
                <w:szCs w:val="24"/>
              </w:rPr>
              <w:t>节能目标完成情况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综合能耗</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吨标准煤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人均能耗</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千克标准煤/人</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单位建筑面积能耗</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千克标准煤/㎡</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trPr>
        <w:tc>
          <w:tcPr>
            <w:tcW w:w="264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人均水耗</w:t>
            </w:r>
          </w:p>
        </w:tc>
        <w:tc>
          <w:tcPr>
            <w:tcW w:w="2071"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吨/人</w:t>
            </w:r>
          </w:p>
        </w:tc>
        <w:tc>
          <w:tcPr>
            <w:tcW w:w="1504" w:type="dxa"/>
            <w:vAlign w:val="center"/>
          </w:tcPr>
          <w:p>
            <w:pPr>
              <w:spacing w:line="360" w:lineRule="exact"/>
              <w:jc w:val="center"/>
              <w:rPr>
                <w:rFonts w:ascii="仿宋" w:hAnsi="仿宋" w:eastAsia="仿宋"/>
                <w:sz w:val="24"/>
                <w:szCs w:val="24"/>
              </w:rPr>
            </w:pPr>
          </w:p>
        </w:tc>
        <w:tc>
          <w:tcPr>
            <w:tcW w:w="1504" w:type="dxa"/>
            <w:vAlign w:val="center"/>
          </w:tcPr>
          <w:p>
            <w:pPr>
              <w:spacing w:line="360" w:lineRule="exact"/>
              <w:jc w:val="center"/>
              <w:rPr>
                <w:rFonts w:ascii="仿宋" w:hAnsi="仿宋" w:eastAsia="仿宋"/>
                <w:sz w:val="24"/>
                <w:szCs w:val="24"/>
              </w:rPr>
            </w:pPr>
          </w:p>
        </w:tc>
        <w:tc>
          <w:tcPr>
            <w:tcW w:w="1419" w:type="dxa"/>
            <w:vAlign w:val="center"/>
          </w:tcPr>
          <w:p>
            <w:pPr>
              <w:spacing w:line="360" w:lineRule="exact"/>
              <w:jc w:val="center"/>
              <w:rPr>
                <w:rFonts w:ascii="仿宋" w:hAnsi="仿宋" w:eastAsia="仿宋"/>
                <w:sz w:val="24"/>
                <w:szCs w:val="24"/>
              </w:rPr>
            </w:pPr>
          </w:p>
        </w:tc>
      </w:tr>
    </w:tbl>
    <w:p>
      <w:pPr>
        <w:spacing w:line="400" w:lineRule="exact"/>
        <w:rPr>
          <w:rFonts w:ascii="仿宋" w:hAnsi="仿宋" w:eastAsia="仿宋"/>
          <w:sz w:val="24"/>
          <w:szCs w:val="24"/>
        </w:rPr>
      </w:pPr>
      <w:r>
        <w:rPr>
          <w:rFonts w:hint="eastAsia" w:ascii="仿宋" w:hAnsi="仿宋" w:eastAsia="仿宋"/>
          <w:sz w:val="24"/>
          <w:szCs w:val="24"/>
        </w:rPr>
        <w:t>分管领导：                统计员：              年    月   日</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193"/>
    <w:multiLevelType w:val="multilevel"/>
    <w:tmpl w:val="05FB2193"/>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E4020"/>
    <w:rsid w:val="0E7D6500"/>
    <w:rsid w:val="636E402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12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2019-01-04T00:16:00Z</dcterms:created>
  <dc:creator>一些、记忆</dc:creator>
  <cp:lastModifiedBy>himan1394084090</cp:lastModifiedBy>
  <dcterms:modified xsi:type="dcterms:W3CDTF">2019-01-07T03:41:08Z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