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hint="eastAsia" w:ascii="仿宋_GB2312" w:hAnsi="仿宋_GB2312" w:eastAsia="仿宋_GB2312" w:cs="仿宋_GB2312"/>
          <w:kern w:val="0"/>
          <w:sz w:val="32"/>
          <w:szCs w:val="32"/>
          <w:lang w:eastAsia="zh-CN"/>
        </w:rPr>
      </w:pPr>
    </w:p>
    <w:p>
      <w:pPr>
        <w:jc w:val="center"/>
        <w:rPr>
          <w:rFonts w:hint="eastAsia" w:ascii="方正小标宋简体" w:hAnsi="方正小标宋简体" w:eastAsia="方正小标宋简体" w:cs="方正小标宋简体"/>
          <w:sz w:val="52"/>
          <w:szCs w:val="52"/>
        </w:rPr>
      </w:pPr>
    </w:p>
    <w:p>
      <w:pPr>
        <w:jc w:val="center"/>
        <w:rPr>
          <w:rFonts w:hint="eastAsia" w:ascii="方正小标宋简体" w:hAnsi="方正小标宋简体" w:eastAsia="方正小标宋简体" w:cs="方正小标宋简体"/>
          <w:sz w:val="52"/>
          <w:szCs w:val="52"/>
        </w:rPr>
      </w:pPr>
    </w:p>
    <w:p>
      <w:pPr>
        <w:jc w:val="center"/>
        <w:rPr>
          <w:rFonts w:hint="eastAsia" w:ascii="方正小标宋简体" w:hAnsi="方正小标宋简体" w:eastAsia="方正小标宋简体" w:cs="方正小标宋简体"/>
          <w:sz w:val="52"/>
          <w:szCs w:val="52"/>
        </w:rPr>
      </w:pPr>
    </w:p>
    <w:p>
      <w:pPr>
        <w:spacing w:line="560" w:lineRule="exact"/>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商洛市民政局（本级）</w:t>
      </w:r>
    </w:p>
    <w:p>
      <w:pPr>
        <w:spacing w:line="560" w:lineRule="exact"/>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2022年度部门决算</w:t>
      </w:r>
    </w:p>
    <w:p>
      <w:pPr>
        <w:spacing w:line="560" w:lineRule="exact"/>
        <w:jc w:val="center"/>
        <w:rPr>
          <w:rFonts w:hint="eastAsia" w:ascii="楷体" w:hAnsi="楷体" w:eastAsia="楷体" w:cs="楷体"/>
          <w:sz w:val="52"/>
          <w:szCs w:val="52"/>
        </w:rPr>
      </w:pPr>
    </w:p>
    <w:p>
      <w:pPr>
        <w:spacing w:line="560" w:lineRule="exact"/>
        <w:jc w:val="center"/>
        <w:rPr>
          <w:rFonts w:ascii="宋体" w:hAnsi="宋体" w:cs="宋体"/>
          <w:b/>
          <w:bCs/>
          <w:sz w:val="44"/>
          <w:szCs w:val="44"/>
        </w:rPr>
      </w:pPr>
    </w:p>
    <w:p>
      <w:pPr>
        <w:spacing w:line="560" w:lineRule="exact"/>
        <w:jc w:val="center"/>
        <w:rPr>
          <w:rFonts w:ascii="宋体" w:hAnsi="宋体" w:cs="宋体"/>
          <w:b/>
          <w:bCs/>
          <w:sz w:val="44"/>
          <w:szCs w:val="44"/>
        </w:rPr>
      </w:pPr>
    </w:p>
    <w:p>
      <w:pPr>
        <w:spacing w:line="560" w:lineRule="exact"/>
        <w:rPr>
          <w:rFonts w:ascii="宋体" w:hAnsi="宋体" w:cs="宋体"/>
          <w:b/>
          <w:bCs/>
          <w:sz w:val="44"/>
          <w:szCs w:val="44"/>
        </w:rPr>
      </w:pPr>
    </w:p>
    <w:p>
      <w:pPr>
        <w:spacing w:line="560" w:lineRule="exact"/>
        <w:rPr>
          <w:rFonts w:ascii="宋体" w:hAnsi="宋体" w:cs="宋体"/>
          <w:b/>
          <w:bCs/>
          <w:sz w:val="44"/>
          <w:szCs w:val="44"/>
        </w:rPr>
      </w:pPr>
    </w:p>
    <w:p>
      <w:pPr>
        <w:spacing w:line="560" w:lineRule="exact"/>
        <w:rPr>
          <w:rFonts w:ascii="宋体" w:hAnsi="宋体" w:cs="宋体"/>
          <w:b/>
          <w:bCs/>
          <w:sz w:val="44"/>
          <w:szCs w:val="44"/>
        </w:rPr>
      </w:pPr>
    </w:p>
    <w:p>
      <w:pPr>
        <w:spacing w:line="560" w:lineRule="exact"/>
        <w:rPr>
          <w:rFonts w:ascii="宋体" w:hAnsi="宋体" w:cs="宋体"/>
          <w:b/>
          <w:bCs/>
          <w:sz w:val="44"/>
          <w:szCs w:val="44"/>
        </w:rPr>
      </w:pPr>
    </w:p>
    <w:p>
      <w:pPr>
        <w:spacing w:line="560" w:lineRule="exact"/>
        <w:rPr>
          <w:rFonts w:ascii="宋体" w:hAnsi="宋体" w:cs="宋体"/>
          <w:b/>
          <w:bCs/>
          <w:sz w:val="44"/>
          <w:szCs w:val="44"/>
        </w:rPr>
      </w:pPr>
    </w:p>
    <w:p>
      <w:pPr>
        <w:spacing w:line="560" w:lineRule="exact"/>
        <w:rPr>
          <w:rFonts w:ascii="宋体" w:hAnsi="宋体" w:cs="宋体"/>
          <w:b/>
          <w:bCs/>
          <w:sz w:val="44"/>
          <w:szCs w:val="44"/>
        </w:rPr>
      </w:pPr>
    </w:p>
    <w:p>
      <w:pPr>
        <w:spacing w:line="400" w:lineRule="exact"/>
        <w:ind w:firstLine="2570" w:firstLineChars="800"/>
        <w:rPr>
          <w:rFonts w:ascii="宋体" w:hAnsi="宋体" w:cs="宋体"/>
          <w:b/>
          <w:bCs/>
          <w:sz w:val="32"/>
          <w:szCs w:val="32"/>
        </w:rPr>
      </w:pPr>
    </w:p>
    <w:p>
      <w:pPr>
        <w:spacing w:line="400" w:lineRule="exact"/>
        <w:ind w:firstLine="2570" w:firstLineChars="800"/>
        <w:rPr>
          <w:rFonts w:hint="eastAsia" w:ascii="宋体" w:hAnsi="宋体" w:cs="宋体"/>
          <w:b/>
          <w:bCs/>
          <w:sz w:val="32"/>
          <w:szCs w:val="32"/>
        </w:rPr>
      </w:pPr>
    </w:p>
    <w:p>
      <w:pPr>
        <w:spacing w:line="400" w:lineRule="exact"/>
        <w:ind w:firstLine="2088" w:firstLineChars="650"/>
        <w:rPr>
          <w:rFonts w:ascii="宋体" w:hAnsi="宋体" w:cs="宋体"/>
          <w:b w:val="0"/>
          <w:bCs w:val="0"/>
          <w:sz w:val="32"/>
          <w:szCs w:val="32"/>
        </w:rPr>
      </w:pPr>
      <w:r>
        <w:rPr>
          <w:rFonts w:hint="eastAsia" w:ascii="宋体" w:hAnsi="宋体" w:cs="宋体"/>
          <w:b/>
          <w:bCs/>
          <w:sz w:val="32"/>
          <w:szCs w:val="32"/>
        </w:rPr>
        <w:t>保密审查情况：</w:t>
      </w:r>
      <w:r>
        <w:rPr>
          <w:rFonts w:hint="eastAsia" w:ascii="宋体" w:hAnsi="宋体" w:cs="宋体"/>
          <w:b/>
          <w:bCs/>
          <w:sz w:val="32"/>
          <w:szCs w:val="32"/>
          <w:lang w:val="en-US" w:eastAsia="zh-CN"/>
        </w:rPr>
        <w:t xml:space="preserve">      </w:t>
      </w:r>
      <w:r>
        <w:rPr>
          <w:rFonts w:hint="eastAsia" w:ascii="宋体" w:hAnsi="宋体" w:cs="宋体"/>
          <w:b/>
          <w:bCs/>
          <w:kern w:val="2"/>
          <w:sz w:val="32"/>
          <w:szCs w:val="32"/>
          <w:lang w:val="en-US" w:eastAsia="zh-CN" w:bidi="ar"/>
        </w:rPr>
        <w:t>已审查</w:t>
      </w:r>
    </w:p>
    <w:p>
      <w:pPr>
        <w:spacing w:line="400" w:lineRule="exact"/>
        <w:jc w:val="center"/>
        <w:rPr>
          <w:rFonts w:ascii="宋体" w:hAnsi="宋体" w:cs="宋体"/>
          <w:b/>
          <w:bCs/>
          <w:sz w:val="32"/>
          <w:szCs w:val="32"/>
        </w:rPr>
      </w:pPr>
    </w:p>
    <w:p>
      <w:pPr>
        <w:keepNext w:val="0"/>
        <w:keepLines w:val="0"/>
        <w:widowControl w:val="0"/>
        <w:suppressLineNumbers w:val="0"/>
        <w:spacing w:before="0" w:beforeAutospacing="0" w:after="0" w:afterAutospacing="0" w:line="400" w:lineRule="exact"/>
        <w:ind w:left="0" w:right="0" w:firstLine="2088" w:firstLineChars="650"/>
        <w:jc w:val="both"/>
        <w:rPr>
          <w:rFonts w:ascii="黑体" w:hAnsi="宋体" w:eastAsia="黑体"/>
          <w:bCs/>
          <w:color w:val="000000"/>
          <w:kern w:val="0"/>
          <w:sz w:val="36"/>
          <w:szCs w:val="36"/>
        </w:rPr>
        <w:sectPr>
          <w:headerReference r:id="rId3" w:type="default"/>
          <w:footerReference r:id="rId4" w:type="default"/>
          <w:pgSz w:w="11906" w:h="16838"/>
          <w:pgMar w:top="1440" w:right="1800" w:bottom="1440" w:left="1800" w:header="851" w:footer="992" w:gutter="0"/>
          <w:pgNumType w:start="1"/>
          <w:cols w:space="720" w:num="1"/>
          <w:docGrid w:type="lines" w:linePitch="315" w:charSpace="0"/>
        </w:sectPr>
      </w:pPr>
      <w:r>
        <w:rPr>
          <w:rFonts w:hint="eastAsia" w:ascii="宋体" w:hAnsi="宋体" w:cs="宋体"/>
          <w:b/>
          <w:bCs/>
          <w:sz w:val="32"/>
          <w:szCs w:val="32"/>
        </w:rPr>
        <w:t>主要负责人审签情况：</w:t>
      </w:r>
      <w:r>
        <w:rPr>
          <w:rFonts w:hint="eastAsia" w:ascii="宋体" w:hAnsi="宋体" w:cs="宋体"/>
          <w:b/>
          <w:bCs/>
          <w:kern w:val="2"/>
          <w:sz w:val="32"/>
          <w:szCs w:val="32"/>
          <w:lang w:val="en-US" w:eastAsia="zh-CN" w:bidi="ar"/>
        </w:rPr>
        <w:t>已审签</w:t>
      </w:r>
    </w:p>
    <w:p>
      <w:pPr>
        <w:widowControl/>
        <w:jc w:val="center"/>
        <w:rPr>
          <w:rFonts w:ascii="黑体" w:hAnsi="宋体" w:eastAsia="黑体"/>
          <w:bCs/>
          <w:color w:val="000000"/>
          <w:kern w:val="0"/>
          <w:sz w:val="36"/>
          <w:szCs w:val="36"/>
        </w:rPr>
      </w:pPr>
      <w:r>
        <w:rPr>
          <w:rFonts w:ascii="黑体" w:hAnsi="宋体" w:eastAsia="黑体"/>
          <w:bCs/>
          <w:color w:val="000000"/>
          <w:kern w:val="0"/>
          <w:sz w:val="36"/>
          <w:szCs w:val="36"/>
        </w:rPr>
        <w:t>目</w:t>
      </w:r>
      <w:r>
        <w:rPr>
          <w:rFonts w:hint="eastAsia" w:ascii="黑体" w:hAnsi="宋体" w:eastAsia="黑体"/>
          <w:bCs/>
          <w:color w:val="000000"/>
          <w:kern w:val="0"/>
          <w:sz w:val="36"/>
          <w:szCs w:val="36"/>
        </w:rPr>
        <w:t xml:space="preserve">  </w:t>
      </w:r>
      <w:r>
        <w:rPr>
          <w:rFonts w:ascii="黑体" w:hAnsi="宋体" w:eastAsia="黑体"/>
          <w:bCs/>
          <w:color w:val="000000"/>
          <w:kern w:val="0"/>
          <w:sz w:val="36"/>
          <w:szCs w:val="36"/>
        </w:rPr>
        <w:t>录</w:t>
      </w:r>
    </w:p>
    <w:p>
      <w:pPr>
        <w:widowControl/>
        <w:jc w:val="center"/>
        <w:rPr>
          <w:rFonts w:hint="eastAsia" w:ascii="方正小标宋简体" w:hAnsi="方正小标宋简体" w:eastAsia="方正小标宋简体" w:cs="方正小标宋简体"/>
          <w:highlight w:val="none"/>
        </w:rPr>
      </w:pPr>
      <w:r>
        <w:rPr>
          <w:rFonts w:hint="eastAsia" w:ascii="方正小标宋简体" w:hAnsi="方正小标宋简体" w:eastAsia="方正小标宋简体" w:cs="方正小标宋简体"/>
          <w:color w:val="000000"/>
          <w:kern w:val="0"/>
          <w:sz w:val="32"/>
          <w:szCs w:val="32"/>
          <w:highlight w:val="none"/>
        </w:rPr>
        <w:t>第一部分  单位概况</w:t>
      </w:r>
    </w:p>
    <w:p>
      <w:pPr>
        <w:widowControl/>
        <w:jc w:val="left"/>
        <w:rPr>
          <w:rFonts w:hint="default" w:ascii="仿宋" w:hAnsi="仿宋" w:eastAsia="仿宋" w:cs="楷体"/>
          <w:color w:val="000000"/>
          <w:kern w:val="0"/>
          <w:sz w:val="32"/>
          <w:szCs w:val="32"/>
          <w:highlight w:val="none"/>
          <w:lang w:val="en-US" w:eastAsia="zh-CN"/>
        </w:rPr>
      </w:pPr>
      <w:r>
        <w:rPr>
          <w:rFonts w:hint="eastAsia" w:ascii="仿宋" w:hAnsi="仿宋" w:eastAsia="仿宋" w:cs="楷体"/>
          <w:color w:val="000000"/>
          <w:kern w:val="0"/>
          <w:sz w:val="32"/>
          <w:szCs w:val="32"/>
          <w:highlight w:val="none"/>
        </w:rPr>
        <w:t>一、单位主要职责及</w:t>
      </w:r>
      <w:r>
        <w:rPr>
          <w:rFonts w:hint="eastAsia" w:ascii="仿宋" w:hAnsi="仿宋" w:eastAsia="仿宋" w:cs="楷体"/>
          <w:color w:val="000000"/>
          <w:kern w:val="0"/>
          <w:sz w:val="32"/>
          <w:szCs w:val="32"/>
          <w:highlight w:val="none"/>
          <w:lang w:val="en-US" w:eastAsia="zh-CN"/>
        </w:rPr>
        <w:t>机构设置</w:t>
      </w:r>
    </w:p>
    <w:p>
      <w:pPr>
        <w:widowControl/>
        <w:jc w:val="left"/>
        <w:rPr>
          <w:rFonts w:ascii="仿宋" w:hAnsi="仿宋" w:eastAsia="仿宋" w:cs="楷体"/>
          <w:color w:val="000000"/>
          <w:kern w:val="0"/>
          <w:sz w:val="32"/>
          <w:szCs w:val="32"/>
          <w:highlight w:val="none"/>
        </w:rPr>
      </w:pPr>
      <w:r>
        <w:rPr>
          <w:rFonts w:hint="eastAsia" w:ascii="仿宋" w:hAnsi="仿宋" w:eastAsia="仿宋" w:cs="楷体"/>
          <w:color w:val="000000"/>
          <w:kern w:val="0"/>
          <w:sz w:val="32"/>
          <w:szCs w:val="32"/>
          <w:highlight w:val="none"/>
        </w:rPr>
        <w:t>二、部门决算单位构成</w:t>
      </w:r>
    </w:p>
    <w:p>
      <w:pPr>
        <w:widowControl/>
        <w:jc w:val="left"/>
        <w:rPr>
          <w:rFonts w:hint="eastAsia" w:ascii="仿宋" w:hAnsi="仿宋" w:eastAsia="仿宋" w:cs="楷体"/>
          <w:color w:val="000000"/>
          <w:kern w:val="0"/>
          <w:sz w:val="32"/>
          <w:szCs w:val="32"/>
          <w:highlight w:val="none"/>
        </w:rPr>
      </w:pPr>
      <w:r>
        <w:rPr>
          <w:rFonts w:hint="eastAsia" w:ascii="仿宋" w:hAnsi="仿宋" w:eastAsia="仿宋" w:cs="楷体"/>
          <w:color w:val="000000"/>
          <w:kern w:val="0"/>
          <w:sz w:val="32"/>
          <w:szCs w:val="32"/>
          <w:highlight w:val="none"/>
        </w:rPr>
        <w:t>三、单位人员情况</w:t>
      </w:r>
    </w:p>
    <w:p>
      <w:pPr>
        <w:widowControl/>
        <w:jc w:val="center"/>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第二部分  2022年度部门决算情况说明</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一、收入支出决算总体情况说明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二、收入决算情况说明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三、支出决算情况说明    </w:t>
      </w:r>
    </w:p>
    <w:p>
      <w:pPr>
        <w:widowControl/>
        <w:jc w:val="left"/>
        <w:rPr>
          <w:rFonts w:ascii="楷体" w:hAnsi="楷体" w:eastAsia="楷体" w:cs="楷体"/>
        </w:rPr>
      </w:pPr>
      <w:r>
        <w:rPr>
          <w:rFonts w:hint="eastAsia" w:ascii="仿宋" w:hAnsi="仿宋" w:eastAsia="仿宋" w:cs="楷体"/>
          <w:color w:val="000000"/>
          <w:kern w:val="0"/>
          <w:sz w:val="32"/>
          <w:szCs w:val="32"/>
        </w:rPr>
        <w:t xml:space="preserve">四、财政拨款收入支出决算总体情况说明   </w:t>
      </w:r>
      <w:r>
        <w:rPr>
          <w:rFonts w:hint="eastAsia" w:ascii="楷体" w:hAnsi="楷体" w:eastAsia="楷体" w:cs="楷体"/>
          <w:color w:val="000000"/>
          <w:kern w:val="0"/>
          <w:sz w:val="32"/>
          <w:szCs w:val="32"/>
        </w:rPr>
        <w:t xml:space="preserve">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五、一般公共预算财政拨款支出决算情况说明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六、一般公共预算财政拨款基本支出决算情况说明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七、政府性基金预算财政拨款收入支出决算情况说明 </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八、国有资本经营预算财政拨款支出决算情况说明</w:t>
      </w:r>
    </w:p>
    <w:p>
      <w:pPr>
        <w:widowControl/>
        <w:ind w:left="640" w:hanging="640" w:hangingChars="200"/>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九、财政拨款“三公”经费及会议费、培训费支出决算情况说明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十、机关运行经费支出情况说明 </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 xml:space="preserve">十一、政府采购支出情况说明 </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十二、国有资产占用及购置情况说明</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十三、预算绩效情况说明</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十四、其他需要说明的情况</w:t>
      </w:r>
    </w:p>
    <w:p>
      <w:pPr>
        <w:widowControl/>
        <w:jc w:val="center"/>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第三部分  2022年度部门决算表</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一、收入支出决算总表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二、收入决算表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三、支出决算表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四、财政拨款收入支出决算总表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五、一般公共预算财政拨款支出决算表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六、一般公共预算财政拨款基本支出决算表    </w:t>
      </w:r>
    </w:p>
    <w:p>
      <w:pPr>
        <w:widowControl/>
        <w:jc w:val="left"/>
        <w:rPr>
          <w:rFonts w:ascii="仿宋" w:hAnsi="仿宋" w:eastAsia="仿宋" w:cs="楷体"/>
          <w:color w:val="000000"/>
          <w:kern w:val="0"/>
          <w:sz w:val="32"/>
          <w:szCs w:val="32"/>
        </w:rPr>
      </w:pPr>
      <w:r>
        <w:rPr>
          <w:rFonts w:hint="eastAsia" w:ascii="仿宋" w:hAnsi="仿宋" w:eastAsia="仿宋" w:cs="楷体"/>
          <w:color w:val="000000"/>
          <w:kern w:val="0"/>
          <w:sz w:val="32"/>
          <w:szCs w:val="32"/>
        </w:rPr>
        <w:t xml:space="preserve">七、政府性基金预算财政拨款收入支出决算表 </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八、国有资本经营预算财政拨款支出决算表</w:t>
      </w:r>
    </w:p>
    <w:p>
      <w:pPr>
        <w:widowControl/>
        <w:jc w:val="left"/>
        <w:rPr>
          <w:rFonts w:hint="eastAsia" w:ascii="仿宋" w:hAnsi="仿宋" w:eastAsia="仿宋" w:cs="楷体"/>
          <w:color w:val="000000"/>
          <w:kern w:val="0"/>
          <w:sz w:val="32"/>
          <w:szCs w:val="32"/>
        </w:rPr>
      </w:pPr>
      <w:r>
        <w:rPr>
          <w:rFonts w:hint="eastAsia" w:ascii="仿宋" w:hAnsi="仿宋" w:eastAsia="仿宋" w:cs="楷体"/>
          <w:color w:val="000000"/>
          <w:kern w:val="0"/>
          <w:sz w:val="32"/>
          <w:szCs w:val="32"/>
        </w:rPr>
        <w:t xml:space="preserve">九、财政拨款“三公”经费及会议费、培训费支出决算表 </w:t>
      </w:r>
    </w:p>
    <w:p>
      <w:pPr>
        <w:widowControl/>
        <w:jc w:val="left"/>
        <w:rPr>
          <w:rFonts w:hint="eastAsia" w:ascii="仿宋" w:hAnsi="仿宋" w:eastAsia="仿宋" w:cs="楷体"/>
          <w:color w:val="000000"/>
          <w:kern w:val="0"/>
          <w:sz w:val="32"/>
          <w:szCs w:val="32"/>
        </w:rPr>
      </w:pPr>
    </w:p>
    <w:p>
      <w:pPr>
        <w:widowControl/>
        <w:jc w:val="center"/>
        <w:rPr>
          <w:rFonts w:hint="eastAsia" w:ascii="方正小标宋简体" w:hAnsi="方正小标宋简体" w:eastAsia="方正小标宋简体" w:cs="方正小标宋简体"/>
          <w:color w:val="000000"/>
          <w:kern w:val="0"/>
          <w:sz w:val="32"/>
          <w:szCs w:val="32"/>
        </w:rPr>
      </w:pPr>
      <w:r>
        <w:rPr>
          <w:rFonts w:hint="eastAsia" w:ascii="方正小标宋简体" w:hAnsi="方正小标宋简体" w:eastAsia="方正小标宋简体" w:cs="方正小标宋简体"/>
          <w:color w:val="000000"/>
          <w:kern w:val="0"/>
          <w:sz w:val="32"/>
          <w:szCs w:val="32"/>
        </w:rPr>
        <w:t>第四部分 专业名词解释</w:t>
      </w:r>
    </w:p>
    <w:p>
      <w:pPr>
        <w:widowControl/>
        <w:spacing w:line="560" w:lineRule="exact"/>
        <w:jc w:val="both"/>
        <w:rPr>
          <w:rFonts w:hint="eastAsia" w:ascii="黑体" w:hAnsi="黑体" w:eastAsia="黑体" w:cs="黑体"/>
          <w:bCs/>
          <w:kern w:val="0"/>
          <w:sz w:val="32"/>
          <w:szCs w:val="32"/>
        </w:rPr>
      </w:pPr>
    </w:p>
    <w:p>
      <w:pPr>
        <w:widowControl/>
        <w:spacing w:line="560" w:lineRule="exact"/>
        <w:jc w:val="both"/>
        <w:rPr>
          <w:rFonts w:hint="eastAsia" w:ascii="黑体" w:hAnsi="黑体" w:eastAsia="黑体" w:cs="黑体"/>
          <w:bCs/>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widowControl/>
        <w:spacing w:line="560" w:lineRule="exact"/>
        <w:jc w:val="left"/>
        <w:rPr>
          <w:rFonts w:ascii="方正小标宋简体" w:hAnsi="方正小标宋简体" w:eastAsia="方正小标宋简体" w:cs="方正小标宋简体"/>
          <w:kern w:val="0"/>
          <w:sz w:val="32"/>
          <w:szCs w:val="32"/>
        </w:rPr>
      </w:pPr>
    </w:p>
    <w:p>
      <w:pPr>
        <w:jc w:val="center"/>
        <w:rPr>
          <w:rFonts w:hint="eastAsia" w:ascii="方正小标宋简体" w:hAnsi="方正小标宋简体" w:eastAsia="方正小标宋简体" w:cs="方正小标宋简体"/>
          <w:color w:val="000000"/>
          <w:kern w:val="0"/>
          <w:sz w:val="44"/>
          <w:szCs w:val="44"/>
          <w:highlight w:val="none"/>
        </w:rPr>
      </w:pPr>
      <w:r>
        <w:rPr>
          <w:rFonts w:hint="eastAsia" w:ascii="方正小标宋简体" w:hAnsi="方正小标宋简体" w:eastAsia="方正小标宋简体" w:cs="方正小标宋简体"/>
          <w:color w:val="000000"/>
          <w:kern w:val="0"/>
          <w:sz w:val="44"/>
          <w:szCs w:val="44"/>
          <w:highlight w:val="none"/>
        </w:rPr>
        <w:t>第一部分 单位概况</w:t>
      </w:r>
    </w:p>
    <w:p>
      <w:pPr>
        <w:keepNext w:val="0"/>
        <w:keepLines w:val="0"/>
        <w:widowControl w:val="0"/>
        <w:suppressLineNumbers w:val="0"/>
        <w:spacing w:before="0" w:beforeAutospacing="0" w:after="0" w:afterAutospacing="0"/>
        <w:ind w:left="0" w:right="0"/>
        <w:jc w:val="center"/>
        <w:rPr>
          <w:rFonts w:hint="eastAsia" w:ascii="黑体" w:hAnsi="宋体" w:eastAsia="黑体" w:cs="黑体"/>
          <w:color w:val="000000"/>
          <w:kern w:val="0"/>
          <w:sz w:val="32"/>
          <w:szCs w:val="32"/>
          <w:highlight w:val="none"/>
          <w:lang w:val="en-US"/>
        </w:rPr>
      </w:pPr>
    </w:p>
    <w:p>
      <w:pPr>
        <w:keepNext w:val="0"/>
        <w:keepLines w:val="0"/>
        <w:widowControl w:val="0"/>
        <w:suppressLineNumbers w:val="0"/>
        <w:spacing w:before="0" w:beforeAutospacing="0" w:after="0" w:afterAutospacing="0"/>
        <w:ind w:left="0" w:right="0"/>
        <w:jc w:val="both"/>
        <w:rPr>
          <w:rFonts w:hint="default" w:ascii="黑体" w:hAnsi="宋体" w:eastAsia="黑体" w:cs="黑体"/>
          <w:color w:val="000000"/>
          <w:kern w:val="0"/>
          <w:sz w:val="32"/>
          <w:szCs w:val="32"/>
          <w:lang w:val="en-US"/>
        </w:rPr>
      </w:pPr>
      <w:r>
        <w:rPr>
          <w:rFonts w:hint="eastAsia" w:ascii="黑体" w:hAnsi="宋体" w:eastAsia="黑体" w:cs="黑体"/>
          <w:color w:val="000000"/>
          <w:kern w:val="0"/>
          <w:sz w:val="32"/>
          <w:szCs w:val="32"/>
          <w:highlight w:val="none"/>
          <w:lang w:val="en-US" w:eastAsia="zh-CN" w:bidi="ar"/>
        </w:rPr>
        <w:t xml:space="preserve">    一、</w:t>
      </w:r>
      <w:r>
        <w:rPr>
          <w:rFonts w:hint="eastAsia" w:ascii="黑体" w:hAnsi="宋体" w:eastAsia="黑体" w:cs="黑体"/>
          <w:kern w:val="2"/>
          <w:sz w:val="32"/>
          <w:szCs w:val="32"/>
          <w:highlight w:val="none"/>
          <w:lang w:val="en-US" w:eastAsia="zh-CN" w:bidi="ar"/>
        </w:rPr>
        <w:t>单位</w:t>
      </w:r>
      <w:r>
        <w:rPr>
          <w:rFonts w:hint="eastAsia" w:ascii="黑体" w:hAnsi="宋体" w:eastAsia="黑体" w:cs="黑体"/>
          <w:color w:val="000000"/>
          <w:kern w:val="0"/>
          <w:sz w:val="32"/>
          <w:szCs w:val="32"/>
          <w:highlight w:val="none"/>
          <w:lang w:val="en-US" w:eastAsia="zh-CN" w:bidi="ar"/>
        </w:rPr>
        <w:t>主要职责</w:t>
      </w:r>
      <w:r>
        <w:rPr>
          <w:rFonts w:hint="eastAsia" w:ascii="黑体" w:hAnsi="宋体" w:eastAsia="黑体" w:cs="黑体"/>
          <w:color w:val="000000"/>
          <w:kern w:val="0"/>
          <w:sz w:val="32"/>
          <w:szCs w:val="32"/>
          <w:lang w:val="en-US" w:eastAsia="zh-CN" w:bidi="ar"/>
        </w:rPr>
        <w:t>及机构设置</w:t>
      </w:r>
    </w:p>
    <w:p>
      <w:pPr>
        <w:keepNext w:val="0"/>
        <w:keepLines w:val="0"/>
        <w:widowControl/>
        <w:suppressLineNumbers w:val="0"/>
        <w:spacing w:before="0" w:beforeAutospacing="0" w:after="0" w:afterAutospacing="0" w:line="560" w:lineRule="exact"/>
        <w:ind w:left="0" w:right="0" w:firstLine="643" w:firstLineChars="200"/>
        <w:jc w:val="left"/>
        <w:rPr>
          <w:rFonts w:hint="default" w:ascii="楷体_GB2312" w:hAnsi="楷体" w:eastAsia="楷体_GB2312" w:cs="楷体"/>
          <w:b/>
          <w:bCs/>
          <w:color w:val="000000"/>
          <w:kern w:val="0"/>
          <w:sz w:val="32"/>
          <w:szCs w:val="32"/>
          <w:lang w:val="en-US"/>
        </w:rPr>
      </w:pPr>
      <w:r>
        <w:rPr>
          <w:rFonts w:hint="eastAsia" w:ascii="楷体_GB2312" w:hAnsi="楷体" w:eastAsia="楷体_GB2312" w:cs="楷体"/>
          <w:b/>
          <w:bCs/>
          <w:color w:val="000000"/>
          <w:kern w:val="0"/>
          <w:sz w:val="32"/>
          <w:szCs w:val="32"/>
          <w:lang w:val="en-US" w:eastAsia="zh-CN" w:bidi="ar"/>
        </w:rPr>
        <w:t>（一）主要职责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1、</w:t>
      </w:r>
      <w:r>
        <w:rPr>
          <w:rFonts w:hint="eastAsia" w:ascii="仿宋_GB2312" w:eastAsia="仿宋_GB2312" w:hAnsiTheme="minorEastAsia" w:cstheme="minorEastAsia"/>
          <w:sz w:val="32"/>
          <w:szCs w:val="32"/>
        </w:rPr>
        <w:t>贯彻落实党和国家关于民政工作的方针政策、法律法规和决策部署，全面落实省委、市委工作要求，拟订全市民政事业发展规划、计划并组织实施。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2、</w:t>
      </w:r>
      <w:r>
        <w:rPr>
          <w:rFonts w:hint="eastAsia" w:ascii="仿宋_GB2312" w:eastAsia="仿宋_GB2312" w:hAnsiTheme="minorEastAsia" w:cstheme="minorEastAsia"/>
          <w:sz w:val="32"/>
          <w:szCs w:val="32"/>
        </w:rPr>
        <w:t>拟订全市社会组织登记管理办法并组织实施；负责市级社会团体、基金会、社会服务机构等社会组织登记管理和执法监督工作；指导县(区)社会团体、基金会、社会服务机构等社会组织登记管理和执法监督工作。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3、</w:t>
      </w:r>
      <w:r>
        <w:rPr>
          <w:rFonts w:hint="eastAsia" w:ascii="仿宋_GB2312" w:eastAsia="仿宋_GB2312" w:hAnsiTheme="minorEastAsia" w:cstheme="minorEastAsia"/>
          <w:sz w:val="32"/>
          <w:szCs w:val="32"/>
        </w:rPr>
        <w:t>以提升组织力为重点，突出政治功能，推动党的路线方针政策和决策部署在社会组织中的贯彻落实；负责市级直接登记和脱钩后的行业协会商会类社会组织觉建日常工作；指导所属社会组织党的建设工作。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4、</w:t>
      </w:r>
      <w:r>
        <w:rPr>
          <w:rFonts w:hint="eastAsia" w:ascii="仿宋_GB2312" w:eastAsia="仿宋_GB2312" w:hAnsiTheme="minorEastAsia" w:cstheme="minorEastAsia"/>
          <w:sz w:val="32"/>
          <w:szCs w:val="32"/>
        </w:rPr>
        <w:t>统筹全市城乡社会救助体系建设，拟订社会救助办法、规划和标准；负责城乡居民最低生活保障、特困人员救助供养、临时救助、生活无着流浪乞讨人员救助工作；负责拟订监督管理制度，加强城乡居民最低生活保障、特困人员救助供养、临时救助、生活无着流浪乞讨人员救助工作的监督检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5、</w:t>
      </w:r>
      <w:r>
        <w:rPr>
          <w:rFonts w:hint="eastAsia" w:ascii="仿宋_GB2312" w:eastAsia="仿宋_GB2312" w:hAnsiTheme="minorEastAsia" w:cstheme="minorEastAsia"/>
          <w:sz w:val="32"/>
          <w:szCs w:val="32"/>
        </w:rPr>
        <w:t>认真落实城乡基层群众自治建设和社区治理有关政策，拟订加强和完善城乡社区治理规范性文件并组织实施，推动城乡社区治理体系和治理能力建设；提出加强和改进城乡基层政权建设的意见，推进基层民主政治建设；拟订城乡社区服务体系建设规划、计划并组织实施，扩大城乡社区服务有效供给。</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6、</w:t>
      </w:r>
      <w:r>
        <w:rPr>
          <w:rFonts w:hint="eastAsia" w:ascii="仿宋_GB2312" w:eastAsia="仿宋_GB2312" w:hAnsiTheme="minorEastAsia" w:cstheme="minorEastAsia"/>
          <w:sz w:val="32"/>
          <w:szCs w:val="32"/>
        </w:rPr>
        <w:t>负责全市行政区划、地名管理及行政区域界线的管理和调整工作；承担权限内行政区域边界争议调处工作。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7、</w:t>
      </w:r>
      <w:r>
        <w:rPr>
          <w:rFonts w:hint="eastAsia" w:ascii="仿宋_GB2312" w:eastAsia="仿宋_GB2312" w:hAnsiTheme="minorEastAsia" w:cstheme="minorEastAsia"/>
          <w:sz w:val="32"/>
          <w:szCs w:val="32"/>
        </w:rPr>
        <w:t>拟订全市婚姻和殡葬管理办法、服务规范并组织实施，积极推进婚俗和殡葬改革。</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8、</w:t>
      </w:r>
      <w:r>
        <w:rPr>
          <w:rFonts w:hint="eastAsia" w:ascii="仿宋_GB2312" w:eastAsia="仿宋_GB2312" w:hAnsiTheme="minorEastAsia" w:cstheme="minorEastAsia"/>
          <w:sz w:val="32"/>
          <w:szCs w:val="32"/>
        </w:rPr>
        <w:t>统筹推进、督促指导、监督管理养老服务工作；拟订全市养老服务体系建设规划、政策和标准并组织实施；负责老年人和特殊困难群体社会福利和权益保障工作。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9、</w:t>
      </w:r>
      <w:r>
        <w:rPr>
          <w:rFonts w:hint="eastAsia" w:ascii="仿宋_GB2312" w:eastAsia="仿宋_GB2312" w:hAnsiTheme="minorEastAsia" w:cstheme="minorEastAsia"/>
          <w:sz w:val="32"/>
          <w:szCs w:val="32"/>
        </w:rPr>
        <w:t>拟订全市残疾人权益保护办法，统筹推进残疾人福利制度建设和康复辅助器具产业发展。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10、</w:t>
      </w:r>
      <w:r>
        <w:rPr>
          <w:rFonts w:hint="eastAsia" w:ascii="仿宋_GB2312" w:eastAsia="仿宋_GB2312" w:hAnsiTheme="minorEastAsia" w:cstheme="minorEastAsia"/>
          <w:sz w:val="32"/>
          <w:szCs w:val="32"/>
        </w:rPr>
        <w:t>落实儿童福利、孤弃儿童保障、儿童收养、儿童救助保护政策；拟订农村儿童关爱服务体系和困境儿童保障制度并组织实施。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11、</w:t>
      </w:r>
      <w:r>
        <w:rPr>
          <w:rFonts w:hint="eastAsia" w:ascii="仿宋_GB2312" w:eastAsia="仿宋_GB2312" w:hAnsiTheme="minorEastAsia" w:cstheme="minorEastAsia"/>
          <w:sz w:val="32"/>
          <w:szCs w:val="32"/>
        </w:rPr>
        <w:t>拟订促进全市慈善事业发展办法、规划并组织实施；负责全市福利彩票销售额度申报和销售管理工作；指导全市社会捐助工作。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12、</w:t>
      </w:r>
      <w:r>
        <w:rPr>
          <w:rFonts w:hint="eastAsia" w:ascii="仿宋_GB2312" w:eastAsia="仿宋_GB2312" w:hAnsiTheme="minorEastAsia" w:cstheme="minorEastAsia"/>
          <w:sz w:val="32"/>
          <w:szCs w:val="32"/>
        </w:rPr>
        <w:t>拟订全市社会工作、志愿服务办法，会同有关部门推进社会工作人才队伍建设和志愿者队伍建设。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lang w:val="en-US" w:eastAsia="zh-CN"/>
        </w:rPr>
        <w:t>13、</w:t>
      </w:r>
      <w:r>
        <w:rPr>
          <w:rFonts w:hint="eastAsia" w:ascii="仿宋_GB2312" w:eastAsia="仿宋_GB2312" w:hAnsiTheme="minorEastAsia" w:cstheme="minorEastAsia"/>
          <w:sz w:val="32"/>
          <w:szCs w:val="32"/>
        </w:rPr>
        <w:t>完成市委、市政府交办的其他工作。</w:t>
      </w:r>
    </w:p>
    <w:p>
      <w:pPr>
        <w:keepNext w:val="0"/>
        <w:keepLines w:val="0"/>
        <w:widowControl/>
        <w:numPr>
          <w:ilvl w:val="0"/>
          <w:numId w:val="0"/>
        </w:numPr>
        <w:suppressLineNumbers w:val="0"/>
        <w:spacing w:before="0" w:beforeAutospacing="0" w:after="0" w:afterAutospacing="0" w:line="560" w:lineRule="exact"/>
        <w:ind w:left="0" w:leftChars="0" w:right="0" w:rightChars="0" w:firstLine="643" w:firstLineChars="200"/>
        <w:jc w:val="left"/>
        <w:rPr>
          <w:rFonts w:hint="eastAsia" w:ascii="楷体_GB2312" w:hAnsi="楷体" w:eastAsia="楷体_GB2312" w:cs="楷体"/>
          <w:b/>
          <w:bCs/>
          <w:color w:val="000000"/>
          <w:kern w:val="0"/>
          <w:sz w:val="32"/>
          <w:szCs w:val="32"/>
          <w:lang w:val="en-US"/>
        </w:rPr>
      </w:pPr>
      <w:r>
        <w:rPr>
          <w:rFonts w:hint="eastAsia" w:ascii="楷体_GB2312" w:hAnsi="楷体" w:eastAsia="楷体_GB2312" w:cs="楷体"/>
          <w:b/>
          <w:bCs/>
          <w:color w:val="000000"/>
          <w:kern w:val="0"/>
          <w:sz w:val="32"/>
          <w:szCs w:val="32"/>
          <w:lang w:val="en-US" w:eastAsia="zh-CN" w:bidi="ar-SA"/>
        </w:rPr>
        <w:t>（二）</w:t>
      </w:r>
      <w:r>
        <w:rPr>
          <w:rFonts w:hint="eastAsia" w:ascii="楷体_GB2312" w:hAnsi="楷体" w:eastAsia="楷体_GB2312" w:cs="楷体"/>
          <w:b/>
          <w:bCs/>
          <w:color w:val="000000"/>
          <w:kern w:val="0"/>
          <w:sz w:val="32"/>
          <w:szCs w:val="32"/>
          <w:lang w:val="en-US" w:eastAsia="zh-CN" w:bidi="ar"/>
        </w:rPr>
        <w:t>内设机构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_GB2312" w:hAnsi="微软雅黑" w:eastAsia="仿宋_GB2312"/>
          <w:color w:val="2B2B2B"/>
          <w:sz w:val="32"/>
          <w:szCs w:val="32"/>
        </w:rPr>
      </w:pPr>
      <w:r>
        <w:rPr>
          <w:rFonts w:hint="eastAsia" w:ascii="仿宋_GB2312" w:eastAsia="仿宋_GB2312" w:hAnsiTheme="minorEastAsia" w:cstheme="minorEastAsia"/>
          <w:sz w:val="32"/>
          <w:szCs w:val="32"/>
        </w:rPr>
        <w:t>根据《中共商洛市委办公室、商洛市人民政府办公室关于印发＜商洛市民政局职能配置内设机构和人员编制规定＞的通知》，商洛市民政局</w:t>
      </w:r>
      <w:r>
        <w:rPr>
          <w:rFonts w:hint="eastAsia" w:ascii="仿宋_GB2312" w:hAnsi="微软雅黑" w:eastAsia="仿宋_GB2312"/>
          <w:color w:val="2B2B2B"/>
          <w:sz w:val="32"/>
          <w:szCs w:val="32"/>
        </w:rPr>
        <w:t xml:space="preserve">设7个内设机构：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_GB2312" w:eastAsia="仿宋_GB2312" w:hAnsiTheme="minorEastAsia" w:cstheme="minorEastAsia"/>
          <w:sz w:val="32"/>
          <w:szCs w:val="32"/>
        </w:rPr>
      </w:pPr>
      <w:r>
        <w:rPr>
          <w:rFonts w:hint="eastAsia" w:ascii="仿宋_GB2312" w:eastAsia="仿宋_GB2312" w:hAnsiTheme="minorEastAsia" w:cstheme="minorEastAsia"/>
          <w:kern w:val="2"/>
          <w:sz w:val="32"/>
          <w:szCs w:val="32"/>
          <w:lang w:val="en-US" w:eastAsia="zh-CN" w:bidi="ar-SA"/>
        </w:rPr>
        <w:t>1、</w:t>
      </w:r>
      <w:r>
        <w:rPr>
          <w:rFonts w:hint="eastAsia" w:ascii="仿宋_GB2312" w:eastAsia="仿宋_GB2312" w:hAnsiTheme="minorEastAsia" w:cstheme="minorEastAsia"/>
          <w:sz w:val="32"/>
          <w:szCs w:val="32"/>
        </w:rPr>
        <w:t>党政办公室。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2、</w:t>
      </w:r>
      <w:r>
        <w:rPr>
          <w:rFonts w:hint="eastAsia" w:ascii="仿宋_GB2312" w:eastAsia="仿宋_GB2312" w:hAnsiTheme="minorEastAsia" w:cstheme="minorEastAsia"/>
          <w:sz w:val="32"/>
          <w:szCs w:val="32"/>
        </w:rPr>
        <w:t>基层政权和社区治理科。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3、</w:t>
      </w:r>
      <w:r>
        <w:rPr>
          <w:rFonts w:hint="eastAsia" w:ascii="仿宋_GB2312" w:eastAsia="仿宋_GB2312" w:hAnsiTheme="minorEastAsia" w:cstheme="minorEastAsia"/>
          <w:sz w:val="32"/>
          <w:szCs w:val="32"/>
        </w:rPr>
        <w:t>社会组织和区划地名科。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4、</w:t>
      </w:r>
      <w:r>
        <w:rPr>
          <w:rFonts w:hint="eastAsia" w:ascii="仿宋_GB2312" w:eastAsia="仿宋_GB2312" w:hAnsiTheme="minorEastAsia" w:cstheme="minorEastAsia"/>
          <w:sz w:val="32"/>
          <w:szCs w:val="32"/>
        </w:rPr>
        <w:t>慈善救助和社会工作科。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5、</w:t>
      </w:r>
      <w:r>
        <w:rPr>
          <w:rFonts w:hint="eastAsia" w:ascii="仿宋_GB2312" w:eastAsia="仿宋_GB2312" w:hAnsiTheme="minorEastAsia" w:cstheme="minorEastAsia"/>
          <w:sz w:val="32"/>
          <w:szCs w:val="32"/>
        </w:rPr>
        <w:t>养老服务科。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6、</w:t>
      </w:r>
      <w:r>
        <w:rPr>
          <w:rFonts w:hint="eastAsia" w:ascii="仿宋_GB2312" w:eastAsia="仿宋_GB2312" w:hAnsiTheme="minorEastAsia" w:cstheme="minorEastAsia"/>
          <w:sz w:val="32"/>
          <w:szCs w:val="32"/>
        </w:rPr>
        <w:t>社会事务和儿童福利科。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ascii="仿宋_GB2312" w:eastAsia="仿宋_GB2312" w:hAnsiTheme="minorEastAsia" w:cstheme="minorEastAsia"/>
          <w:sz w:val="32"/>
          <w:szCs w:val="32"/>
        </w:rPr>
      </w:pPr>
      <w:r>
        <w:rPr>
          <w:rFonts w:ascii="仿宋_GB2312" w:eastAsia="仿宋_GB2312" w:hAnsiTheme="minorEastAsia" w:cstheme="minorEastAsia"/>
          <w:kern w:val="2"/>
          <w:sz w:val="32"/>
          <w:szCs w:val="32"/>
          <w:lang w:val="en-US" w:eastAsia="zh-CN" w:bidi="ar-SA"/>
        </w:rPr>
        <w:t>7、</w:t>
      </w:r>
      <w:r>
        <w:rPr>
          <w:rFonts w:hint="eastAsia" w:ascii="仿宋_GB2312" w:eastAsia="仿宋_GB2312" w:hAnsiTheme="minorEastAsia" w:cstheme="minorEastAsia"/>
          <w:sz w:val="32"/>
          <w:szCs w:val="32"/>
        </w:rPr>
        <w:t>殡葬管理科。</w:t>
      </w:r>
    </w:p>
    <w:p>
      <w:pPr>
        <w:keepNext w:val="0"/>
        <w:keepLines w:val="0"/>
        <w:widowControl/>
        <w:suppressLineNumbers w:val="0"/>
        <w:spacing w:before="0" w:beforeAutospacing="0" w:after="0" w:afterAutospacing="0"/>
        <w:ind w:left="0" w:right="0" w:firstLine="640" w:firstLineChars="200"/>
        <w:jc w:val="left"/>
        <w:rPr>
          <w:rFonts w:hint="eastAsia" w:ascii="仿宋_GB2312" w:hAnsi="仿宋_GB2312" w:eastAsia="仿宋_GB2312" w:cs="仿宋_GB2312"/>
          <w:kern w:val="2"/>
          <w:sz w:val="32"/>
          <w:szCs w:val="32"/>
          <w:highlight w:val="none"/>
          <w:lang w:val="en-US" w:eastAsia="zh-CN" w:bidi="ar"/>
        </w:rPr>
      </w:pPr>
      <w:r>
        <w:rPr>
          <w:rFonts w:hint="eastAsia" w:ascii="黑体" w:hAnsi="宋体" w:eastAsia="黑体" w:cs="黑体"/>
          <w:color w:val="000000"/>
          <w:kern w:val="0"/>
          <w:sz w:val="32"/>
          <w:szCs w:val="32"/>
          <w:lang w:val="en-US" w:eastAsia="zh-CN" w:bidi="ar"/>
        </w:rPr>
        <w:t>二</w:t>
      </w:r>
      <w:r>
        <w:rPr>
          <w:rFonts w:hint="eastAsia" w:ascii="黑体" w:hAnsi="宋体" w:eastAsia="黑体" w:cs="黑体"/>
          <w:color w:val="000000"/>
          <w:kern w:val="0"/>
          <w:sz w:val="32"/>
          <w:szCs w:val="32"/>
          <w:highlight w:val="none"/>
          <w:lang w:val="en-US" w:eastAsia="zh-CN" w:bidi="ar"/>
        </w:rPr>
        <w:t>、</w:t>
      </w:r>
      <w:r>
        <w:rPr>
          <w:rFonts w:hint="eastAsia" w:ascii="黑体" w:hAnsi="宋体" w:eastAsia="黑体" w:cs="黑体"/>
          <w:kern w:val="2"/>
          <w:sz w:val="32"/>
          <w:szCs w:val="32"/>
          <w:highlight w:val="none"/>
          <w:lang w:val="en-US" w:eastAsia="zh-CN" w:bidi="ar"/>
        </w:rPr>
        <w:t>部门</w:t>
      </w:r>
      <w:r>
        <w:rPr>
          <w:rFonts w:hint="eastAsia" w:ascii="黑体" w:hAnsi="宋体" w:eastAsia="黑体" w:cs="黑体"/>
          <w:color w:val="000000"/>
          <w:kern w:val="0"/>
          <w:sz w:val="32"/>
          <w:szCs w:val="32"/>
          <w:highlight w:val="none"/>
          <w:lang w:val="en-US" w:eastAsia="zh-CN" w:bidi="ar"/>
        </w:rPr>
        <w:t>决算单位构成</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_GB2312" w:eastAsia="仿宋_GB2312" w:hAnsiTheme="minorEastAsia" w:cstheme="minorEastAsia"/>
          <w:sz w:val="32"/>
          <w:szCs w:val="32"/>
          <w:lang w:val="en-US" w:eastAsia="zh-CN"/>
        </w:rPr>
      </w:pPr>
      <w:r>
        <w:rPr>
          <w:rFonts w:hint="eastAsia" w:ascii="仿宋_GB2312" w:eastAsia="仿宋_GB2312" w:hAnsiTheme="minorEastAsia" w:cstheme="minorEastAsia"/>
          <w:sz w:val="32"/>
          <w:szCs w:val="32"/>
        </w:rPr>
        <w:t>本单位作为</w:t>
      </w:r>
      <w:r>
        <w:rPr>
          <w:rFonts w:hint="eastAsia" w:ascii="仿宋_GB2312" w:eastAsia="仿宋_GB2312" w:hAnsiTheme="minorEastAsia" w:cstheme="minorEastAsia"/>
          <w:sz w:val="32"/>
          <w:szCs w:val="32"/>
          <w:lang w:val="en-US" w:eastAsia="zh-CN"/>
        </w:rPr>
        <w:t>商洛市民政局</w:t>
      </w:r>
      <w:r>
        <w:rPr>
          <w:rFonts w:hint="eastAsia" w:ascii="仿宋_GB2312" w:eastAsia="仿宋_GB2312" w:hAnsiTheme="minorEastAsia" w:cstheme="minorEastAsia"/>
          <w:sz w:val="32"/>
          <w:szCs w:val="32"/>
        </w:rPr>
        <w:t>二级预算单位，编制2022年度部门决算。</w:t>
      </w:r>
    </w:p>
    <w:tbl>
      <w:tblPr>
        <w:tblStyle w:val="6"/>
        <w:tblW w:w="88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573"/>
        <w:gridCol w:w="7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8" w:hRule="atLeast"/>
        </w:trPr>
        <w:tc>
          <w:tcPr>
            <w:tcW w:w="15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序号</w:t>
            </w:r>
          </w:p>
        </w:tc>
        <w:tc>
          <w:tcPr>
            <w:tcW w:w="72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8" w:hRule="atLeast"/>
        </w:trPr>
        <w:tc>
          <w:tcPr>
            <w:tcW w:w="15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w:t>
            </w:r>
          </w:p>
        </w:tc>
        <w:tc>
          <w:tcPr>
            <w:tcW w:w="72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商洛市民政局（本级）</w:t>
            </w:r>
          </w:p>
        </w:tc>
      </w:tr>
    </w:tbl>
    <w:p>
      <w:pPr>
        <w:widowControl/>
        <w:rPr>
          <w:rFonts w:hint="eastAsia" w:ascii="仿宋_GB2312" w:hAnsi="仿宋_GB2312" w:eastAsia="仿宋_GB2312" w:cs="仿宋_GB2312"/>
          <w:kern w:val="2"/>
          <w:sz w:val="32"/>
          <w:szCs w:val="32"/>
          <w:lang w:val="en-US" w:eastAsia="zh-CN" w:bidi="ar"/>
        </w:rPr>
      </w:pP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三、</w:t>
      </w:r>
      <w:r>
        <w:rPr>
          <w:rFonts w:hint="eastAsia" w:ascii="黑体" w:hAnsi="宋体" w:eastAsia="黑体" w:cs="黑体"/>
          <w:kern w:val="2"/>
          <w:sz w:val="32"/>
          <w:szCs w:val="32"/>
          <w:highlight w:val="none"/>
          <w:lang w:val="en-US" w:eastAsia="zh-CN" w:bidi="ar"/>
        </w:rPr>
        <w:t>单位人</w:t>
      </w:r>
      <w:r>
        <w:rPr>
          <w:rFonts w:hint="eastAsia" w:ascii="黑体" w:hAnsi="宋体" w:eastAsia="黑体" w:cs="黑体"/>
          <w:kern w:val="2"/>
          <w:sz w:val="32"/>
          <w:szCs w:val="32"/>
          <w:lang w:val="en-US" w:eastAsia="zh-CN" w:bidi="ar"/>
        </w:rPr>
        <w:t>员情况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_GB2312" w:eastAsia="仿宋_GB2312" w:hAnsiTheme="minorEastAsia" w:cstheme="minorEastAsia"/>
          <w:sz w:val="32"/>
          <w:szCs w:val="32"/>
          <w:lang w:val="en-US" w:eastAsia="zh-CN"/>
        </w:rPr>
      </w:pPr>
      <w:r>
        <w:rPr>
          <w:rFonts w:hint="eastAsia" w:ascii="仿宋_GB2312" w:eastAsia="仿宋_GB2312" w:hAnsiTheme="minorEastAsia" w:cstheme="minorEastAsia"/>
          <w:sz w:val="32"/>
          <w:szCs w:val="32"/>
          <w:lang w:val="en-US" w:eastAsia="zh-CN"/>
        </w:rPr>
        <w:t>截至2022年底，本部门人员编制14人，其中行政编制14人、事业编制0人；实有人员15人，其中行政15人、事业0人。单位管理的离退休人员21人。</w:t>
      </w:r>
    </w:p>
    <w:p>
      <w:pPr>
        <w:keepNext w:val="0"/>
        <w:keepLines w:val="0"/>
        <w:widowControl/>
        <w:suppressLineNumbers w:val="0"/>
        <w:jc w:val="left"/>
        <w:rPr>
          <w:rFonts w:hint="eastAsia" w:ascii="仿宋_GB2312" w:hAnsi="仿宋_GB2312" w:eastAsia="仿宋_GB2312" w:cs="仿宋_GB2312"/>
          <w:kern w:val="2"/>
          <w:sz w:val="32"/>
          <w:szCs w:val="32"/>
          <w:lang w:val="en-US" w:eastAsia="zh-CN" w:bidi="ar"/>
        </w:rPr>
      </w:pPr>
      <w:r>
        <w:drawing>
          <wp:inline distT="0" distB="0" distL="114300" distR="114300">
            <wp:extent cx="5389245" cy="2609215"/>
            <wp:effectExtent l="4445" t="4445" r="16510" b="15240"/>
            <wp:docPr id="210917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jc w:val="both"/>
      </w:pPr>
    </w:p>
    <w:p>
      <w:pPr>
        <w:numPr>
          <w:ilvl w:val="0"/>
          <w:numId w:val="1"/>
        </w:numPr>
        <w:spacing w:line="56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2022年度部门决算情况说明</w:t>
      </w:r>
    </w:p>
    <w:p>
      <w:pPr>
        <w:numPr>
          <w:ilvl w:val="0"/>
          <w:numId w:val="0"/>
        </w:numPr>
        <w:spacing w:line="560" w:lineRule="exact"/>
        <w:jc w:val="both"/>
        <w:rPr>
          <w:rFonts w:hint="eastAsia" w:ascii="方正小标宋简体" w:hAnsi="方正小标宋简体" w:eastAsia="方正小标宋简体" w:cs="方正小标宋简体"/>
          <w:color w:val="000000"/>
          <w:kern w:val="0"/>
          <w:sz w:val="44"/>
          <w:szCs w:val="44"/>
        </w:rPr>
      </w:pPr>
    </w:p>
    <w:p>
      <w:pPr>
        <w:keepNext w:val="0"/>
        <w:keepLines w:val="0"/>
        <w:pageBreakBefore w:val="0"/>
        <w:widowControl/>
        <w:suppressLineNumbers w:val="0"/>
        <w:kinsoku/>
        <w:wordWrap/>
        <w:overflowPunct/>
        <w:topLinePunct w:val="0"/>
        <w:autoSpaceDE/>
        <w:autoSpaceDN/>
        <w:bidi w:val="0"/>
        <w:spacing w:before="0" w:beforeAutospacing="0" w:after="0" w:afterAutospacing="0" w:line="360" w:lineRule="auto"/>
        <w:ind w:left="0" w:right="0" w:firstLine="640" w:firstLineChars="200"/>
        <w:jc w:val="left"/>
        <w:textAlignment w:val="auto"/>
        <w:rPr>
          <w:rFonts w:hint="eastAsia" w:ascii="黑体" w:hAnsi="宋体" w:eastAsia="黑体" w:cs="黑体"/>
          <w:color w:val="000000"/>
          <w:kern w:val="0"/>
          <w:sz w:val="32"/>
          <w:szCs w:val="32"/>
          <w:lang w:val="en-US"/>
        </w:rPr>
      </w:pPr>
      <w:r>
        <w:rPr>
          <w:rFonts w:hint="eastAsia" w:ascii="黑体" w:hAnsi="宋体" w:eastAsia="黑体" w:cs="黑体"/>
          <w:color w:val="000000"/>
          <w:kern w:val="0"/>
          <w:sz w:val="32"/>
          <w:szCs w:val="32"/>
          <w:lang w:val="en-US" w:eastAsia="zh-CN" w:bidi="ar"/>
        </w:rPr>
        <w:t xml:space="preserve">一、收入支出决算总体情况说明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_GB2312" w:eastAsia="仿宋_GB2312" w:hAnsiTheme="minorEastAsia" w:cstheme="minorEastAsia"/>
          <w:sz w:val="32"/>
          <w:szCs w:val="32"/>
          <w:lang w:val="en-US" w:eastAsia="zh-CN"/>
        </w:rPr>
      </w:pPr>
      <w:r>
        <w:rPr>
          <w:rFonts w:hint="eastAsia" w:ascii="仿宋_GB2312" w:eastAsia="仿宋_GB2312" w:hAnsiTheme="minorEastAsia" w:cstheme="minorEastAsia"/>
          <w:sz w:val="32"/>
          <w:szCs w:val="32"/>
          <w:lang w:val="en-US" w:eastAsia="zh-CN"/>
        </w:rPr>
        <w:t>2022年度收入总计、支出总计均为4411.40万元，与上年相比收、支总计增加3484.59万元，增长375.98%，主要是一般公共预算财政拨款收入、政府性基金预算财政拨款收入增加。增长的主要原因人员经费及项目经费其他社会保障和就业支出增加。</w:t>
      </w:r>
    </w:p>
    <w:p>
      <w:pPr>
        <w:pStyle w:val="2"/>
        <w:rPr>
          <w:rFonts w:hint="default"/>
          <w:lang w:val="en-US" w:eastAsia="zh-CN"/>
        </w:rPr>
      </w:pPr>
      <w:r>
        <w:drawing>
          <wp:inline distT="0" distB="0" distL="114300" distR="114300">
            <wp:extent cx="5334000" cy="2702560"/>
            <wp:effectExtent l="4445" t="4445" r="14605" b="17145"/>
            <wp:docPr id="210916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ascii="黑体" w:hAnsi="黑体" w:eastAsia="黑体"/>
          <w:bCs/>
          <w:color w:val="000000"/>
          <w:kern w:val="0"/>
          <w:sz w:val="32"/>
          <w:szCs w:val="32"/>
        </w:rPr>
      </w:pPr>
      <w:r>
        <w:rPr>
          <w:rFonts w:hint="eastAsia" w:ascii="黑体" w:hAnsi="黑体" w:eastAsia="黑体"/>
          <w:bCs/>
          <w:color w:val="000000"/>
          <w:kern w:val="0"/>
          <w:sz w:val="32"/>
          <w:szCs w:val="32"/>
        </w:rPr>
        <w:t xml:space="preserve">二、收入决算情况说明 </w:t>
      </w:r>
    </w:p>
    <w:p>
      <w:pPr>
        <w:widowControl/>
        <w:spacing w:line="560" w:lineRule="exact"/>
        <w:ind w:firstLine="640" w:firstLineChars="200"/>
        <w:jc w:val="left"/>
        <w:rPr>
          <w:rFonts w:hint="eastAsia" w:ascii="仿宋" w:hAnsi="仿宋" w:eastAsia="仿宋" w:cs="仿宋"/>
          <w:color w:val="0000FF"/>
          <w:sz w:val="32"/>
          <w:szCs w:val="32"/>
          <w:highlight w:val="cyan"/>
        </w:rPr>
      </w:pPr>
      <w:r>
        <w:rPr>
          <w:rFonts w:hint="eastAsia" w:ascii="仿宋_GB2312" w:hAnsi="宋体" w:eastAsia="仿宋_GB2312" w:cs="仿宋_GB2312"/>
          <w:color w:val="000000"/>
          <w:sz w:val="32"/>
          <w:szCs w:val="32"/>
          <w:lang w:val="en-US" w:eastAsia="zh-CN" w:bidi="ar"/>
        </w:rPr>
        <w:t>2022年度本年收入合计</w:t>
      </w:r>
      <w:r>
        <w:rPr>
          <w:rFonts w:hint="eastAsia" w:ascii="仿宋_GB2312" w:hAnsi="仿宋_GB2312" w:eastAsia="仿宋_GB2312" w:cs="仿宋_GB2312"/>
          <w:sz w:val="32"/>
          <w:szCs w:val="32"/>
          <w:lang w:eastAsia="zh-CN"/>
        </w:rPr>
        <w:t>4225.33万</w:t>
      </w:r>
      <w:r>
        <w:rPr>
          <w:rFonts w:ascii="仿宋_GB2312" w:hAnsi="仿宋_GB2312" w:eastAsia="仿宋_GB2312" w:cs="仿宋_GB2312"/>
          <w:color w:val="000000"/>
          <w:sz w:val="32"/>
          <w:szCs w:val="32"/>
        </w:rPr>
        <w:t>元，</w:t>
      </w:r>
      <w:r>
        <w:rPr>
          <w:rFonts w:hint="eastAsia" w:ascii="仿宋_GB2312" w:hAnsi="仿宋_GB2312" w:eastAsia="仿宋_GB2312" w:cs="仿宋_GB2312"/>
          <w:color w:val="000000"/>
          <w:sz w:val="32"/>
          <w:szCs w:val="32"/>
        </w:rPr>
        <w:t>其中：财政拨款收入</w:t>
      </w:r>
      <w:r>
        <w:rPr>
          <w:rFonts w:hint="eastAsia" w:ascii="仿宋_GB2312" w:hAnsi="仿宋_GB2312" w:eastAsia="仿宋_GB2312" w:cs="仿宋_GB2312"/>
          <w:color w:val="000000"/>
          <w:sz w:val="32"/>
          <w:szCs w:val="32"/>
          <w:lang w:eastAsia="zh-CN"/>
        </w:rPr>
        <w:t>4225.33万</w:t>
      </w:r>
      <w:r>
        <w:rPr>
          <w:rFonts w:hint="eastAsia" w:ascii="仿宋_GB2312" w:hAnsi="仿宋_GB2312" w:eastAsia="仿宋_GB2312" w:cs="仿宋_GB2312"/>
          <w:color w:val="000000"/>
          <w:sz w:val="32"/>
          <w:szCs w:val="32"/>
        </w:rPr>
        <w:t>元，占</w:t>
      </w:r>
      <w:r>
        <w:rPr>
          <w:rFonts w:hint="eastAsia" w:ascii="仿宋_GB2312" w:hAnsi="仿宋_GB2312" w:eastAsia="仿宋_GB2312" w:cs="仿宋_GB2312"/>
          <w:color w:val="000000"/>
          <w:sz w:val="32"/>
          <w:szCs w:val="32"/>
          <w:lang w:eastAsia="zh-CN"/>
        </w:rPr>
        <w:t>100.00%</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eastAsia="zh-CN"/>
        </w:rPr>
        <w:t>0.00万</w:t>
      </w:r>
      <w:r>
        <w:rPr>
          <w:rFonts w:hint="eastAsia" w:ascii="仿宋_GB2312" w:hAnsi="仿宋_GB2312" w:eastAsia="仿宋_GB2312" w:cs="仿宋_GB2312"/>
          <w:sz w:val="32"/>
          <w:szCs w:val="32"/>
        </w:rPr>
        <w:t>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rPr>
      </w:pPr>
      <w:r>
        <w:drawing>
          <wp:inline distT="0" distB="0" distL="114300" distR="114300">
            <wp:extent cx="5222875" cy="2386330"/>
            <wp:effectExtent l="4445" t="4445" r="11430" b="9525"/>
            <wp:docPr id="2109169"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color w:val="FF0000"/>
          <w:sz w:val="32"/>
          <w:szCs w:val="32"/>
        </w:rPr>
      </w:pPr>
      <w:r>
        <w:rPr>
          <w:rFonts w:hint="eastAsia" w:ascii="黑体" w:hAnsi="黑体" w:eastAsia="黑体"/>
          <w:bCs/>
          <w:color w:val="000000"/>
          <w:kern w:val="0"/>
          <w:sz w:val="32"/>
          <w:szCs w:val="32"/>
        </w:rPr>
        <w:t>三、支出决算情况说明</w:t>
      </w:r>
    </w:p>
    <w:p>
      <w:pPr>
        <w:keepNext w:val="0"/>
        <w:keepLines w:val="0"/>
        <w:pageBreakBefore w:val="0"/>
        <w:kinsoku/>
        <w:wordWrap/>
        <w:overflowPunct/>
        <w:topLinePunct w:val="0"/>
        <w:autoSpaceDE/>
        <w:autoSpaceDN/>
        <w:bidi w:val="0"/>
        <w:spacing w:line="36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sz w:val="32"/>
          <w:szCs w:val="32"/>
          <w:lang w:val="en-US" w:eastAsia="zh-CN" w:bidi="ar"/>
        </w:rPr>
        <w:t>2022年度本年支出合计</w:t>
      </w:r>
      <w:r>
        <w:rPr>
          <w:rFonts w:hint="eastAsia" w:ascii="仿宋_GB2312" w:hAnsi="仿宋_GB2312" w:eastAsia="仿宋_GB2312" w:cs="仿宋_GB2312"/>
          <w:sz w:val="32"/>
          <w:szCs w:val="32"/>
          <w:lang w:eastAsia="zh-CN"/>
        </w:rPr>
        <w:t>4225.33万</w:t>
      </w:r>
      <w:r>
        <w:rPr>
          <w:rFonts w:hint="eastAsia" w:ascii="仿宋_GB2312" w:hAnsi="仿宋_GB2312" w:eastAsia="仿宋_GB2312" w:cs="仿宋_GB2312"/>
          <w:sz w:val="32"/>
          <w:szCs w:val="32"/>
        </w:rPr>
        <w:t>元，其中：基本支出</w:t>
      </w:r>
      <w:r>
        <w:rPr>
          <w:rFonts w:hint="eastAsia" w:ascii="仿宋_GB2312" w:hAnsi="仿宋_GB2312" w:eastAsia="仿宋_GB2312" w:cs="仿宋_GB2312"/>
          <w:sz w:val="32"/>
          <w:szCs w:val="32"/>
          <w:lang w:eastAsia="zh-CN"/>
        </w:rPr>
        <w:t>378.23万</w:t>
      </w:r>
      <w:r>
        <w:rPr>
          <w:rFonts w:hint="eastAsia" w:ascii="仿宋_GB2312" w:hAnsi="仿宋_GB2312" w:eastAsia="仿宋_GB2312" w:cs="仿宋_GB2312"/>
          <w:sz w:val="32"/>
          <w:szCs w:val="32"/>
        </w:rPr>
        <w:t>元，占</w:t>
      </w:r>
      <w:r>
        <w:rPr>
          <w:rFonts w:hint="eastAsia" w:ascii="仿宋_GB2312" w:hAnsi="仿宋_GB2312" w:eastAsia="仿宋_GB2312" w:cs="仿宋_GB2312"/>
          <w:sz w:val="32"/>
          <w:szCs w:val="32"/>
          <w:lang w:eastAsia="zh-CN"/>
        </w:rPr>
        <w:t>8.95%</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eastAsia="zh-CN"/>
        </w:rPr>
        <w:t>3847.10万</w:t>
      </w:r>
      <w:r>
        <w:rPr>
          <w:rFonts w:hint="eastAsia" w:ascii="仿宋_GB2312" w:hAnsi="仿宋_GB2312" w:eastAsia="仿宋_GB2312" w:cs="仿宋_GB2312"/>
          <w:sz w:val="32"/>
          <w:szCs w:val="32"/>
        </w:rPr>
        <w:t>元，占</w:t>
      </w:r>
      <w:r>
        <w:rPr>
          <w:rFonts w:hint="eastAsia" w:ascii="仿宋_GB2312" w:hAnsi="仿宋_GB2312" w:eastAsia="仿宋_GB2312" w:cs="仿宋_GB2312"/>
          <w:sz w:val="32"/>
          <w:szCs w:val="32"/>
          <w:lang w:eastAsia="zh-CN"/>
        </w:rPr>
        <w:t>91.05%；</w:t>
      </w:r>
      <w:r>
        <w:rPr>
          <w:rFonts w:hint="eastAsia" w:ascii="仿宋_GB2312" w:hAnsi="仿宋_GB2312" w:eastAsia="仿宋_GB2312" w:cs="仿宋_GB2312"/>
          <w:sz w:val="32"/>
          <w:szCs w:val="32"/>
          <w:lang w:val="en-US" w:eastAsia="zh-CN"/>
        </w:rPr>
        <w:t>经营支出0.00万元，占0.00%。</w:t>
      </w:r>
    </w:p>
    <w:p>
      <w:pPr>
        <w:keepNext w:val="0"/>
        <w:keepLines w:val="0"/>
        <w:pageBreakBefore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rPr>
      </w:pPr>
      <w:r>
        <w:drawing>
          <wp:inline distT="0" distB="0" distL="114300" distR="114300">
            <wp:extent cx="5186045" cy="2536825"/>
            <wp:effectExtent l="4445" t="4445" r="10160" b="11430"/>
            <wp:docPr id="2109170"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keepNext w:val="0"/>
        <w:keepLines w:val="0"/>
        <w:pageBreakBefore w:val="0"/>
        <w:numPr>
          <w:ilvl w:val="0"/>
          <w:numId w:val="2"/>
        </w:numPr>
        <w:kinsoku/>
        <w:wordWrap/>
        <w:overflowPunct/>
        <w:topLinePunct w:val="0"/>
        <w:autoSpaceDE/>
        <w:autoSpaceDN/>
        <w:bidi w:val="0"/>
        <w:spacing w:line="360" w:lineRule="auto"/>
        <w:ind w:firstLine="640" w:firstLineChars="200"/>
        <w:jc w:val="left"/>
        <w:textAlignment w:val="auto"/>
        <w:rPr>
          <w:rFonts w:hint="eastAsia" w:ascii="黑体" w:hAnsi="黑体" w:eastAsia="黑体"/>
          <w:bCs/>
          <w:color w:val="000000"/>
          <w:kern w:val="0"/>
          <w:sz w:val="32"/>
          <w:szCs w:val="32"/>
        </w:rPr>
      </w:pPr>
      <w:r>
        <w:rPr>
          <w:rFonts w:hint="eastAsia" w:ascii="黑体" w:hAnsi="黑体" w:eastAsia="黑体"/>
          <w:bCs/>
          <w:color w:val="000000"/>
          <w:kern w:val="0"/>
          <w:sz w:val="32"/>
          <w:szCs w:val="32"/>
        </w:rPr>
        <w:t>财政拨款收入支出决算总体情况说明</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default" w:ascii="仿宋_GB2312" w:hAnsi="仿宋" w:eastAsia="仿宋_GB2312"/>
          <w:sz w:val="32"/>
          <w:szCs w:val="32"/>
          <w:lang w:val="en-US" w:eastAsia="zh-CN"/>
        </w:rPr>
      </w:pPr>
      <w:r>
        <w:rPr>
          <w:rFonts w:hint="eastAsia" w:ascii="仿宋_GB2312" w:hAnsi="仿宋" w:eastAsia="仿宋_GB2312"/>
          <w:sz w:val="32"/>
          <w:szCs w:val="32"/>
        </w:rPr>
        <w:t>2022年度</w:t>
      </w:r>
      <w:r>
        <w:rPr>
          <w:rFonts w:ascii="仿宋_GB2312" w:hAnsi="宋体" w:eastAsia="仿宋_GB2312" w:cs="仿宋_GB2312"/>
          <w:color w:val="000000"/>
          <w:kern w:val="0"/>
          <w:sz w:val="32"/>
          <w:szCs w:val="32"/>
        </w:rPr>
        <w:t>财政拨款</w:t>
      </w:r>
      <w:r>
        <w:rPr>
          <w:rFonts w:hint="eastAsia" w:ascii="仿宋_GB2312" w:hAnsi="仿宋" w:eastAsia="仿宋_GB2312"/>
          <w:sz w:val="32"/>
          <w:szCs w:val="32"/>
        </w:rPr>
        <w:t>收入总计、支出总计均为</w:t>
      </w:r>
      <w:r>
        <w:rPr>
          <w:rFonts w:hint="eastAsia" w:ascii="仿宋_GB2312" w:hAnsi="仿宋_GB2312" w:eastAsia="仿宋_GB2312" w:cs="仿宋_GB2312"/>
          <w:sz w:val="32"/>
          <w:szCs w:val="32"/>
          <w:lang w:eastAsia="zh-CN"/>
        </w:rPr>
        <w:t>4337.66万</w:t>
      </w:r>
      <w:r>
        <w:rPr>
          <w:rFonts w:ascii="仿宋_GB2312" w:hAnsi="仿宋_GB2312" w:eastAsia="仿宋_GB2312" w:cs="仿宋_GB2312"/>
          <w:sz w:val="32"/>
          <w:szCs w:val="32"/>
        </w:rPr>
        <w:t>元，</w:t>
      </w:r>
      <w:r>
        <w:rPr>
          <w:rFonts w:hint="eastAsia" w:ascii="仿宋_GB2312" w:hAnsi="宋体" w:eastAsia="仿宋_GB2312" w:cs="仿宋_GB2312"/>
          <w:color w:val="000000"/>
          <w:kern w:val="0"/>
          <w:sz w:val="32"/>
          <w:szCs w:val="32"/>
        </w:rPr>
        <w:t>与</w:t>
      </w:r>
      <w:r>
        <w:rPr>
          <w:rFonts w:hint="eastAsia" w:ascii="仿宋_GB2312" w:hAnsi="仿宋" w:eastAsia="仿宋_GB2312"/>
          <w:sz w:val="32"/>
          <w:szCs w:val="32"/>
        </w:rPr>
        <w:t>上年相比收入总计、</w:t>
      </w:r>
      <w:r>
        <w:rPr>
          <w:rFonts w:hint="eastAsia" w:ascii="仿宋_GB2312" w:hAnsi="仿宋" w:eastAsia="仿宋_GB2312"/>
          <w:sz w:val="32"/>
          <w:szCs w:val="32"/>
          <w:highlight w:val="none"/>
        </w:rPr>
        <w:t>支出总计增加</w:t>
      </w:r>
      <w:r>
        <w:rPr>
          <w:rFonts w:hint="eastAsia" w:ascii="仿宋_GB2312" w:hAnsi="仿宋_GB2312" w:eastAsia="仿宋_GB2312" w:cs="仿宋_GB2312"/>
          <w:sz w:val="32"/>
          <w:szCs w:val="32"/>
          <w:highlight w:val="none"/>
          <w:lang w:eastAsia="zh-CN"/>
        </w:rPr>
        <w:t>3,570.24万</w:t>
      </w:r>
      <w:r>
        <w:rPr>
          <w:rFonts w:hint="eastAsia" w:ascii="仿宋_GB2312" w:hAnsi="仿宋_GB2312" w:eastAsia="仿宋_GB2312" w:cs="仿宋_GB2312"/>
          <w:sz w:val="32"/>
          <w:szCs w:val="32"/>
          <w:highlight w:val="none"/>
        </w:rPr>
        <w:t>元，</w:t>
      </w:r>
      <w:r>
        <w:rPr>
          <w:rFonts w:hint="eastAsia" w:ascii="仿宋_GB2312" w:hAnsi="仿宋" w:eastAsia="仿宋_GB2312" w:cs="黑体"/>
          <w:kern w:val="2"/>
          <w:sz w:val="32"/>
          <w:szCs w:val="32"/>
          <w:highlight w:val="none"/>
          <w:lang w:val="en-US" w:eastAsia="zh-CN" w:bidi="ar"/>
        </w:rPr>
        <w:t>增长</w:t>
      </w:r>
      <w:r>
        <w:rPr>
          <w:rFonts w:hint="eastAsia" w:ascii="仿宋_GB2312" w:hAnsi="仿宋_GB2312" w:eastAsia="仿宋_GB2312" w:cs="仿宋_GB2312"/>
          <w:sz w:val="32"/>
          <w:szCs w:val="32"/>
          <w:highlight w:val="none"/>
          <w:lang w:eastAsia="zh-CN"/>
        </w:rPr>
        <w:t>465.23%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shd w:val="clear" w:color="auto" w:fill="auto"/>
          <w:lang w:val="en-US" w:eastAsia="zh-CN"/>
        </w:rPr>
        <w:t>增长</w:t>
      </w:r>
      <w:r>
        <w:rPr>
          <w:rFonts w:hint="eastAsia" w:ascii="仿宋_GB2312" w:hAnsi="仿宋_GB2312" w:eastAsia="仿宋_GB2312" w:cs="仿宋_GB2312"/>
          <w:sz w:val="32"/>
          <w:szCs w:val="32"/>
          <w:highlight w:val="none"/>
        </w:rPr>
        <w:t>主要原因</w:t>
      </w:r>
      <w:r>
        <w:rPr>
          <w:rFonts w:hint="eastAsia" w:ascii="仿宋_GB2312" w:hAnsi="仿宋_GB2312" w:eastAsia="仿宋_GB2312" w:cs="仿宋_GB2312"/>
          <w:sz w:val="32"/>
          <w:szCs w:val="32"/>
          <w:highlight w:val="none"/>
          <w:lang w:val="en-US" w:eastAsia="zh-CN"/>
        </w:rPr>
        <w:t>是</w:t>
      </w:r>
      <w:r>
        <w:rPr>
          <w:rFonts w:hint="eastAsia" w:ascii="仿宋_GB2312" w:hAnsi="仿宋_GB2312" w:eastAsia="仿宋_GB2312" w:cs="仿宋_GB2312"/>
          <w:sz w:val="32"/>
          <w:szCs w:val="32"/>
          <w:lang w:val="en-US" w:eastAsia="zh-CN"/>
        </w:rPr>
        <w:t>：</w:t>
      </w:r>
      <w:r>
        <w:rPr>
          <w:rFonts w:hint="eastAsia" w:ascii="仿宋_GB2312" w:hAnsi="仿宋" w:eastAsia="仿宋_GB2312"/>
          <w:sz w:val="32"/>
          <w:szCs w:val="32"/>
          <w:lang w:val="en-US" w:eastAsia="zh-CN"/>
        </w:rPr>
        <w:t>人员经费及项目经费其他社会保障和就业支出增加。</w:t>
      </w:r>
    </w:p>
    <w:p>
      <w:pPr>
        <w:keepNext w:val="0"/>
        <w:keepLines w:val="0"/>
        <w:pageBreakBefore w:val="0"/>
        <w:kinsoku/>
        <w:wordWrap/>
        <w:overflowPunct/>
        <w:topLinePunct w:val="0"/>
        <w:autoSpaceDE/>
        <w:autoSpaceDN/>
        <w:bidi w:val="0"/>
        <w:spacing w:line="360" w:lineRule="auto"/>
        <w:jc w:val="left"/>
        <w:textAlignment w:val="auto"/>
        <w:rPr>
          <w:rFonts w:hint="eastAsia" w:ascii="仿宋_GB2312" w:hAnsi="仿宋_GB2312" w:cs="仿宋_GB2312"/>
          <w:sz w:val="32"/>
          <w:szCs w:val="32"/>
          <w:highlight w:val="yellow"/>
        </w:rPr>
      </w:pPr>
      <w:r>
        <w:drawing>
          <wp:inline distT="0" distB="0" distL="114300" distR="114300">
            <wp:extent cx="4695825" cy="2733675"/>
            <wp:effectExtent l="4445" t="4445" r="5080" b="5080"/>
            <wp:docPr id="2109171"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ascii="黑体" w:hAnsi="黑体" w:eastAsia="黑体"/>
          <w:bCs/>
          <w:color w:val="000000"/>
          <w:kern w:val="0"/>
          <w:sz w:val="32"/>
          <w:szCs w:val="32"/>
        </w:rPr>
      </w:pPr>
      <w:r>
        <w:rPr>
          <w:rFonts w:hint="eastAsia" w:ascii="黑体" w:hAnsi="黑体" w:eastAsia="黑体"/>
          <w:bCs/>
          <w:color w:val="000000"/>
          <w:kern w:val="0"/>
          <w:sz w:val="32"/>
          <w:szCs w:val="32"/>
        </w:rPr>
        <w:t>五、一般公共预算财政拨款支出决算情况说明</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宋体" w:eastAsia="仿宋_GB2312" w:cs="仿宋_GB2312"/>
          <w:color w:val="000000"/>
          <w:sz w:val="32"/>
          <w:szCs w:val="32"/>
          <w:lang w:val="en-US" w:eastAsia="zh-CN" w:bidi="ar"/>
        </w:rPr>
        <w:t>2022年度</w:t>
      </w:r>
      <w:r>
        <w:rPr>
          <w:rFonts w:hint="eastAsia" w:ascii="仿宋_GB2312" w:hAnsi="宋体" w:eastAsia="仿宋_GB2312" w:cs="仿宋_GB2312"/>
          <w:color w:val="000000"/>
          <w:kern w:val="0"/>
          <w:sz w:val="32"/>
          <w:szCs w:val="32"/>
        </w:rPr>
        <w:t>一般公共预算</w:t>
      </w:r>
      <w:r>
        <w:rPr>
          <w:rFonts w:hint="eastAsia" w:ascii="仿宋_GB2312" w:hAnsi="宋体" w:eastAsia="仿宋_GB2312" w:cs="仿宋_GB2312"/>
          <w:color w:val="000000"/>
          <w:sz w:val="32"/>
          <w:szCs w:val="32"/>
          <w:lang w:val="en-US" w:eastAsia="zh-CN" w:bidi="ar"/>
        </w:rPr>
        <w:t>财政拨款支出年初预算548.79万元，支出决算</w:t>
      </w:r>
      <w:r>
        <w:rPr>
          <w:rFonts w:hint="eastAsia" w:ascii="仿宋_GB2312" w:hAnsi="仿宋_GB2312" w:eastAsia="仿宋_GB2312" w:cs="仿宋_GB2312"/>
          <w:sz w:val="32"/>
          <w:szCs w:val="32"/>
          <w:lang w:eastAsia="zh-CN"/>
        </w:rPr>
        <w:t>2,286.04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完成年初预算的416.56%。</w:t>
      </w:r>
      <w:r>
        <w:rPr>
          <w:rFonts w:hint="eastAsia" w:ascii="仿宋_GB2312" w:hAnsi="仿宋_GB2312" w:eastAsia="仿宋_GB2312" w:cs="仿宋_GB2312"/>
          <w:sz w:val="32"/>
          <w:szCs w:val="32"/>
        </w:rPr>
        <w:t>占本年支出合计的</w:t>
      </w:r>
      <w:r>
        <w:rPr>
          <w:rFonts w:hint="eastAsia" w:ascii="仿宋_GB2312" w:hAnsi="仿宋_GB2312" w:eastAsia="仿宋_GB2312" w:cs="仿宋_GB2312"/>
          <w:sz w:val="32"/>
          <w:szCs w:val="32"/>
          <w:lang w:eastAsia="zh-CN"/>
        </w:rPr>
        <w:t>54.10%</w:t>
      </w:r>
      <w:r>
        <w:rPr>
          <w:rFonts w:hint="eastAsia" w:ascii="仿宋_GB2312" w:hAnsi="仿宋_GB2312" w:eastAsia="仿宋_GB2312" w:cs="仿宋_GB2312"/>
          <w:sz w:val="32"/>
          <w:szCs w:val="32"/>
        </w:rPr>
        <w:t>。与上年相比，财政拨款支出增</w:t>
      </w:r>
      <w:r>
        <w:rPr>
          <w:rFonts w:hint="eastAsia" w:ascii="仿宋_GB2312" w:hAnsi="仿宋_GB2312" w:eastAsia="仿宋_GB2312" w:cs="仿宋_GB2312"/>
          <w:sz w:val="32"/>
          <w:szCs w:val="32"/>
          <w:lang w:val="en-US" w:eastAsia="zh-CN"/>
        </w:rPr>
        <w:t>加</w:t>
      </w:r>
      <w:r>
        <w:rPr>
          <w:rFonts w:hint="eastAsia" w:ascii="仿宋_GB2312" w:hAnsi="仿宋_GB2312" w:eastAsia="仿宋_GB2312" w:cs="仿宋_GB2312"/>
          <w:sz w:val="32"/>
          <w:szCs w:val="32"/>
          <w:lang w:eastAsia="zh-CN"/>
        </w:rPr>
        <w:t>1,985.99万</w:t>
      </w:r>
      <w:r>
        <w:rPr>
          <w:rFonts w:hint="eastAsia" w:ascii="仿宋_GB2312" w:hAnsi="仿宋_GB2312" w:eastAsia="仿宋_GB2312" w:cs="仿宋_GB2312"/>
          <w:sz w:val="32"/>
          <w:szCs w:val="32"/>
        </w:rPr>
        <w:t>元，增</w:t>
      </w:r>
      <w:r>
        <w:rPr>
          <w:rFonts w:hint="eastAsia" w:ascii="仿宋_GB2312" w:hAnsi="仿宋_GB2312" w:eastAsia="仿宋_GB2312" w:cs="仿宋_GB2312"/>
          <w:sz w:val="32"/>
          <w:szCs w:val="32"/>
          <w:lang w:val="en-US" w:eastAsia="zh-CN"/>
        </w:rPr>
        <w:t>长</w:t>
      </w:r>
      <w:r>
        <w:rPr>
          <w:rFonts w:hint="eastAsia" w:ascii="仿宋_GB2312" w:hAnsi="仿宋_GB2312" w:eastAsia="仿宋_GB2312" w:cs="仿宋_GB2312"/>
          <w:sz w:val="32"/>
          <w:szCs w:val="32"/>
          <w:lang w:eastAsia="zh-CN"/>
        </w:rPr>
        <w:t>661.89%</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shd w:val="clear" w:color="auto" w:fill="auto"/>
          <w:lang w:val="en-US" w:eastAsia="zh-CN"/>
        </w:rPr>
        <w:t>增长</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是：</w:t>
      </w:r>
      <w:r>
        <w:rPr>
          <w:rFonts w:hint="eastAsia" w:ascii="仿宋_GB2312" w:hAnsi="仿宋" w:eastAsia="仿宋_GB2312"/>
          <w:sz w:val="32"/>
          <w:szCs w:val="32"/>
          <w:lang w:val="en-US" w:eastAsia="zh-CN"/>
        </w:rPr>
        <w:t>人员经费及项目经费其他社会保障和就业支出增加</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rPr>
        <w:t>按照政府功能分类科目，</w:t>
      </w:r>
      <w:r>
        <w:rPr>
          <w:rFonts w:ascii="仿宋_GB2312" w:hAnsi="宋体" w:eastAsia="仿宋_GB2312" w:cs="仿宋_GB2312"/>
          <w:color w:val="000000"/>
          <w:kern w:val="0"/>
          <w:sz w:val="32"/>
          <w:szCs w:val="32"/>
        </w:rPr>
        <w:t>其中：</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w:t>
      </w:r>
      <w:r>
        <w:rPr>
          <w:rFonts w:hint="eastAsia" w:ascii="仿宋_GB2312" w:hAnsi="仿宋_GB2312" w:eastAsia="仿宋_GB2312" w:cs="仿宋_GB2312"/>
          <w:sz w:val="32"/>
          <w:szCs w:val="32"/>
          <w:highlight w:val="none"/>
          <w:lang w:val="en-US" w:eastAsia="zh-CN"/>
        </w:rPr>
        <w:t>和就业支出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民政管理事务</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行政运行</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预算</w:t>
      </w:r>
      <w:r>
        <w:rPr>
          <w:rFonts w:hint="eastAsia" w:ascii="仿宋_GB2312" w:hAnsi="仿宋_GB2312" w:eastAsia="仿宋_GB2312" w:cs="仿宋_GB2312"/>
          <w:sz w:val="32"/>
          <w:szCs w:val="32"/>
          <w:highlight w:val="none"/>
          <w:lang w:val="en-US" w:eastAsia="zh-CN"/>
        </w:rPr>
        <w:t>204.27</w:t>
      </w:r>
      <w:r>
        <w:rPr>
          <w:rFonts w:hint="eastAsia" w:ascii="仿宋_GB2312" w:hAnsi="仿宋_GB2312" w:eastAsia="仿宋_GB2312" w:cs="仿宋_GB2312"/>
          <w:sz w:val="32"/>
          <w:szCs w:val="32"/>
          <w:highlight w:val="none"/>
        </w:rPr>
        <w:t>万元，支出决算</w:t>
      </w:r>
      <w:r>
        <w:rPr>
          <w:rFonts w:hint="eastAsia" w:ascii="仿宋_GB2312" w:hAnsi="仿宋_GB2312" w:eastAsia="仿宋_GB2312" w:cs="仿宋_GB2312"/>
          <w:sz w:val="32"/>
          <w:szCs w:val="32"/>
          <w:highlight w:val="none"/>
          <w:lang w:eastAsia="zh-CN"/>
        </w:rPr>
        <w:t>311.7</w:t>
      </w:r>
      <w:r>
        <w:rPr>
          <w:rFonts w:hint="eastAsia" w:ascii="仿宋_GB2312" w:hAnsi="仿宋_GB2312" w:eastAsia="仿宋_GB2312" w:cs="仿宋_GB2312"/>
          <w:sz w:val="32"/>
          <w:szCs w:val="32"/>
          <w:highlight w:val="none"/>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预算的</w:t>
      </w:r>
      <w:r>
        <w:rPr>
          <w:rFonts w:hint="eastAsia" w:ascii="仿宋_GB2312" w:hAnsi="仿宋_GB2312" w:eastAsia="仿宋_GB2312" w:cs="仿宋_GB2312"/>
          <w:sz w:val="32"/>
          <w:szCs w:val="32"/>
          <w:highlight w:val="none"/>
          <w:lang w:val="en-US" w:eastAsia="zh-CN"/>
        </w:rPr>
        <w:t>152.59</w:t>
      </w:r>
      <w:r>
        <w:rPr>
          <w:rFonts w:hint="eastAsia" w:ascii="仿宋_GB2312" w:hAnsi="仿宋_GB2312" w:eastAsia="仿宋_GB2312" w:cs="仿宋_GB2312"/>
          <w:sz w:val="32"/>
          <w:szCs w:val="32"/>
          <w:highlight w:val="none"/>
        </w:rPr>
        <w:t>%。决算数大于</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预算数的主</w:t>
      </w:r>
      <w:r>
        <w:rPr>
          <w:rFonts w:hint="eastAsia" w:ascii="仿宋_GB2312" w:hAnsi="仿宋_GB2312" w:eastAsia="仿宋_GB2312" w:cs="仿宋_GB2312"/>
          <w:sz w:val="32"/>
          <w:szCs w:val="32"/>
          <w:highlight w:val="none"/>
          <w:lang w:val="en-US" w:eastAsia="zh-CN"/>
        </w:rPr>
        <w:t>要原因是工资普调、新增基础性绩效奖、目标责任考核奖和专项业务费。</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社会保障和就业支出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民政管理事务</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款</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其他民政管理事务支出</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highlight w:val="none"/>
        </w:rPr>
        <w:t>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eastAsia="zh-CN"/>
        </w:rPr>
        <w:t>2.94</w:t>
      </w:r>
      <w:r>
        <w:rPr>
          <w:rFonts w:hint="eastAsia" w:ascii="仿宋_GB2312" w:hAnsi="仿宋_GB2312" w:eastAsia="仿宋_GB2312" w:cs="仿宋_GB2312"/>
          <w:sz w:val="32"/>
          <w:szCs w:val="32"/>
        </w:rPr>
        <w:t>万元。决算数大于预算数的主要原因</w:t>
      </w:r>
      <w:r>
        <w:rPr>
          <w:rFonts w:hint="eastAsia" w:ascii="仿宋_GB2312" w:hAnsi="仿宋_GB2312" w:eastAsia="仿宋_GB2312" w:cs="仿宋_GB2312"/>
          <w:sz w:val="32"/>
          <w:szCs w:val="32"/>
          <w:lang w:val="en-US" w:eastAsia="zh-CN"/>
        </w:rPr>
        <w:t>是新增功能科目</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24.8</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24.8</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机关事业单位职业年金缴费支出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12.4</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12.4</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278</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1904.87</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685.21</w:t>
      </w:r>
      <w:r>
        <w:rPr>
          <w:rFonts w:hint="eastAsia" w:ascii="仿宋_GB2312" w:hAnsi="仿宋_GB2312" w:eastAsia="仿宋_GB2312" w:cs="仿宋_GB2312"/>
          <w:sz w:val="32"/>
          <w:szCs w:val="32"/>
        </w:rPr>
        <w:t>%。决算大于预算数的主要原因</w:t>
      </w:r>
      <w:r>
        <w:rPr>
          <w:rFonts w:hint="eastAsia" w:ascii="仿宋_GB2312" w:hAnsi="仿宋_GB2312" w:eastAsia="仿宋_GB2312" w:cs="仿宋_GB2312"/>
          <w:sz w:val="32"/>
          <w:szCs w:val="32"/>
          <w:lang w:val="en-US" w:eastAsia="zh-CN"/>
        </w:rPr>
        <w:t>是新增功能科目</w:t>
      </w:r>
      <w:r>
        <w:rPr>
          <w:rFonts w:hint="eastAsia" w:ascii="仿宋_GB2312" w:hAnsi="仿宋" w:eastAsia="仿宋_GB2312"/>
          <w:sz w:val="32"/>
          <w:szCs w:val="32"/>
          <w:lang w:val="en-US" w:eastAsia="zh-CN"/>
        </w:rPr>
        <w:t>项目经费其他社会保障和就业支出</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行政单位医疗</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10.72</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10.72</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highlight w:val="none"/>
          <w:lang w:val="en-US" w:eastAsia="zh-CN"/>
        </w:rPr>
        <w:t>年初</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color w:val="000000"/>
          <w:kern w:val="0"/>
          <w:sz w:val="32"/>
          <w:szCs w:val="32"/>
        </w:rPr>
        <w:t>六、</w:t>
      </w:r>
      <w:r>
        <w:rPr>
          <w:rFonts w:hint="eastAsia" w:ascii="黑体" w:hAnsi="黑体" w:eastAsia="黑体"/>
          <w:color w:val="000000"/>
          <w:kern w:val="0"/>
          <w:sz w:val="32"/>
          <w:szCs w:val="32"/>
        </w:rPr>
        <w:t xml:space="preserve">一般公共预算财政拨款基本支出决算情况说明 </w:t>
      </w:r>
    </w:p>
    <w:p>
      <w:pPr>
        <w:keepNext w:val="0"/>
        <w:keepLines w:val="0"/>
        <w:pageBreakBefore w:val="0"/>
        <w:kinsoku/>
        <w:wordWrap/>
        <w:overflowPunct/>
        <w:topLinePunct w:val="0"/>
        <w:autoSpaceDE/>
        <w:autoSpaceDN/>
        <w:bidi w:val="0"/>
        <w:spacing w:line="360" w:lineRule="auto"/>
        <w:ind w:firstLine="62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1"/>
          <w:szCs w:val="31"/>
          <w:lang w:val="en-US" w:eastAsia="zh-CN" w:bidi="ar"/>
        </w:rPr>
        <w:t>2022年度一般公共预算财政拨款基本支出</w:t>
      </w:r>
      <w:r>
        <w:rPr>
          <w:rFonts w:hint="eastAsia" w:ascii="仿宋_GB2312" w:hAnsi="仿宋_GB2312" w:eastAsia="仿宋_GB2312" w:cs="仿宋_GB2312"/>
          <w:sz w:val="32"/>
          <w:szCs w:val="32"/>
          <w:lang w:eastAsia="zh-CN"/>
        </w:rPr>
        <w:t>378.23</w:t>
      </w:r>
      <w:r>
        <w:rPr>
          <w:rFonts w:hint="eastAsia" w:ascii="仿宋_GB2312" w:hAnsi="仿宋_GB2312" w:eastAsia="仿宋_GB2312" w:cs="仿宋_GB2312"/>
          <w:sz w:val="32"/>
          <w:szCs w:val="32"/>
        </w:rPr>
        <w:t>万元，包括</w:t>
      </w:r>
      <w:r>
        <w:rPr>
          <w:rFonts w:hint="eastAsia" w:ascii="仿宋_GB2312" w:hAnsi="仿宋_GB2312" w:eastAsia="仿宋_GB2312" w:cs="仿宋_GB2312"/>
          <w:sz w:val="32"/>
          <w:szCs w:val="32"/>
          <w:lang w:val="en-US" w:eastAsia="zh-CN"/>
        </w:rPr>
        <w:t>人员经费和公用经费。其中</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_GB2312" w:hAnsi="仿宋_GB2312" w:eastAsia="仿宋_GB2312" w:cs="仿宋_GB2312"/>
          <w:sz w:val="32"/>
          <w:szCs w:val="32"/>
        </w:rPr>
      </w:pPr>
      <w:r>
        <w:rPr>
          <w:rFonts w:hint="eastAsia" w:ascii="楷体" w:hAnsi="楷体" w:eastAsia="楷体" w:cs="楷体"/>
          <w:color w:val="000000"/>
          <w:sz w:val="32"/>
          <w:szCs w:val="32"/>
          <w:lang w:val="en-US" w:eastAsia="zh-CN" w:bidi="ar"/>
        </w:rPr>
        <w:t>（一）人员经费</w:t>
      </w:r>
      <w:r>
        <w:rPr>
          <w:rFonts w:hint="eastAsia" w:ascii="仿宋_GB2312" w:hAnsi="仿宋_GB2312" w:eastAsia="仿宋_GB2312" w:cs="仿宋_GB2312"/>
          <w:sz w:val="32"/>
          <w:szCs w:val="32"/>
          <w:lang w:eastAsia="zh-CN"/>
        </w:rPr>
        <w:t>338.31</w:t>
      </w:r>
      <w:r>
        <w:rPr>
          <w:rFonts w:hint="eastAsia" w:ascii="仿宋_GB2312" w:hAnsi="仿宋_GB2312" w:eastAsia="仿宋_GB2312" w:cs="仿宋_GB2312"/>
          <w:sz w:val="32"/>
          <w:szCs w:val="32"/>
        </w:rPr>
        <w:t>万元，主要包括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基本工资</w:t>
      </w:r>
      <w:r>
        <w:rPr>
          <w:rFonts w:hint="eastAsia" w:ascii="仿宋_GB2312" w:hAnsi="仿宋_GB2312" w:eastAsia="仿宋_GB2312" w:cs="仿宋_GB2312"/>
          <w:sz w:val="32"/>
          <w:szCs w:val="32"/>
          <w:lang w:eastAsia="zh-CN"/>
        </w:rPr>
        <w:t>122.99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64.61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59.54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24.8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12.4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职工基本医疗保险缴费保障缴费</w:t>
      </w:r>
      <w:r>
        <w:rPr>
          <w:rFonts w:hint="eastAsia" w:ascii="仿宋_GB2312" w:hAnsi="仿宋_GB2312" w:eastAsia="仿宋_GB2312" w:cs="仿宋_GB2312"/>
          <w:sz w:val="32"/>
          <w:szCs w:val="32"/>
          <w:lang w:eastAsia="zh-CN"/>
        </w:rPr>
        <w:t>10.72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15.56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23.73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其他工资福利支出</w:t>
      </w:r>
      <w:r>
        <w:rPr>
          <w:rFonts w:hint="eastAsia" w:ascii="仿宋_GB2312" w:hAnsi="仿宋_GB2312" w:eastAsia="仿宋_GB2312" w:cs="仿宋_GB2312"/>
          <w:sz w:val="32"/>
          <w:szCs w:val="32"/>
          <w:lang w:eastAsia="zh-CN"/>
        </w:rPr>
        <w:t>1.74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生活补助</w:t>
      </w:r>
      <w:r>
        <w:rPr>
          <w:rFonts w:hint="eastAsia" w:ascii="仿宋_GB2312" w:hAnsi="仿宋_GB2312" w:eastAsia="仿宋_GB2312" w:cs="仿宋_GB2312"/>
          <w:sz w:val="32"/>
          <w:szCs w:val="32"/>
          <w:lang w:eastAsia="zh-CN"/>
        </w:rPr>
        <w:t>1.67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0.56</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_GB2312" w:hAnsi="仿宋_GB2312" w:eastAsia="仿宋_GB2312" w:cs="仿宋_GB2312"/>
          <w:sz w:val="32"/>
          <w:szCs w:val="32"/>
        </w:rPr>
      </w:pPr>
      <w:r>
        <w:rPr>
          <w:rFonts w:hint="eastAsia" w:ascii="楷体" w:hAnsi="楷体" w:eastAsia="楷体" w:cs="楷体"/>
          <w:color w:val="000000"/>
          <w:sz w:val="32"/>
          <w:szCs w:val="32"/>
          <w:lang w:val="en-US" w:eastAsia="zh-CN" w:bidi="ar"/>
        </w:rPr>
        <w:t>（二）公用经费</w:t>
      </w:r>
      <w:r>
        <w:rPr>
          <w:rFonts w:hint="eastAsia" w:ascii="仿宋_GB2312" w:hAnsi="仿宋_GB2312" w:eastAsia="仿宋_GB2312" w:cs="仿宋_GB2312"/>
          <w:sz w:val="32"/>
          <w:szCs w:val="32"/>
          <w:lang w:eastAsia="zh-CN"/>
        </w:rPr>
        <w:t>39.92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办公费</w:t>
      </w:r>
      <w:r>
        <w:rPr>
          <w:rFonts w:hint="eastAsia" w:ascii="仿宋_GB2312" w:hAnsi="仿宋_GB2312" w:eastAsia="仿宋_GB2312" w:cs="仿宋_GB2312"/>
          <w:sz w:val="32"/>
          <w:szCs w:val="32"/>
          <w:lang w:eastAsia="zh-CN"/>
        </w:rPr>
        <w:t>0.89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val="en-US" w:eastAsia="zh-CN"/>
        </w:rPr>
        <w:t>1.95万元、</w:t>
      </w:r>
      <w:r>
        <w:rPr>
          <w:rFonts w:hint="eastAsia" w:ascii="仿宋_GB2312" w:hAnsi="仿宋_GB2312" w:eastAsia="仿宋_GB2312" w:cs="仿宋_GB2312"/>
          <w:sz w:val="32"/>
          <w:szCs w:val="32"/>
        </w:rPr>
        <w:t>水费</w:t>
      </w:r>
      <w:r>
        <w:rPr>
          <w:rFonts w:hint="eastAsia" w:ascii="仿宋_GB2312" w:hAnsi="仿宋_GB2312" w:eastAsia="仿宋_GB2312" w:cs="仿宋_GB2312"/>
          <w:sz w:val="32"/>
          <w:szCs w:val="32"/>
          <w:lang w:eastAsia="zh-CN"/>
        </w:rPr>
        <w:t>0.44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3.1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取暖费</w:t>
      </w:r>
      <w:r>
        <w:rPr>
          <w:rFonts w:hint="eastAsia" w:ascii="仿宋_GB2312" w:hAnsi="仿宋_GB2312" w:eastAsia="仿宋_GB2312" w:cs="仿宋_GB2312"/>
          <w:sz w:val="32"/>
          <w:szCs w:val="32"/>
          <w:lang w:val="en-US" w:eastAsia="zh-CN"/>
        </w:rPr>
        <w:t>1.24万元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4.43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2.5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劳务费0.14万元、</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3.04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16.79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0.7</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黑体" w:hAnsi="黑体" w:eastAsia="黑体"/>
          <w:color w:val="000000"/>
          <w:kern w:val="0"/>
          <w:sz w:val="32"/>
          <w:szCs w:val="32"/>
        </w:rPr>
      </w:pPr>
      <w:r>
        <w:rPr>
          <w:rFonts w:hint="eastAsia" w:ascii="黑体" w:hAnsi="黑体" w:eastAsia="黑体"/>
          <w:color w:val="000000"/>
          <w:kern w:val="0"/>
          <w:sz w:val="32"/>
          <w:szCs w:val="32"/>
        </w:rPr>
        <w:t xml:space="preserve">七、政府性基金预算财政拨款收入支出决算情况说明 </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left"/>
        <w:textAlignment w:val="auto"/>
        <w:rPr>
          <w:rFonts w:hint="eastAsia"/>
          <w:lang w:val="en-US" w:eastAsia="zh-CN"/>
        </w:rPr>
      </w:pPr>
      <w:r>
        <w:rPr>
          <w:rFonts w:hint="eastAsia" w:ascii="仿宋_GB2312" w:hAnsi="仿宋" w:eastAsia="仿宋_GB2312"/>
          <w:sz w:val="32"/>
          <w:szCs w:val="32"/>
        </w:rPr>
        <w:t>2022年度</w:t>
      </w:r>
      <w:r>
        <w:rPr>
          <w:rFonts w:hint="eastAsia" w:ascii="仿宋" w:hAnsi="仿宋" w:eastAsia="仿宋" w:cs="仿宋"/>
          <w:color w:val="000000"/>
          <w:kern w:val="0"/>
          <w:sz w:val="32"/>
          <w:szCs w:val="32"/>
        </w:rPr>
        <w:t>政府性基金预算财政拨款年初结转和结余</w:t>
      </w:r>
      <w:r>
        <w:rPr>
          <w:rFonts w:hint="eastAsia" w:ascii="仿宋_GB2312" w:hAnsi="宋体" w:eastAsia="仿宋_GB2312" w:cs="仿宋_GB2312"/>
          <w:color w:val="000000"/>
          <w:kern w:val="0"/>
          <w:sz w:val="32"/>
          <w:szCs w:val="32"/>
        </w:rPr>
        <w:t>19.03</w:t>
      </w:r>
      <w:r>
        <w:rPr>
          <w:rFonts w:hint="eastAsia" w:ascii="仿宋" w:hAnsi="仿宋" w:eastAsia="仿宋" w:cs="仿宋"/>
          <w:color w:val="000000"/>
          <w:kern w:val="0"/>
          <w:sz w:val="32"/>
          <w:szCs w:val="32"/>
        </w:rPr>
        <w:t>万元，收入决算</w:t>
      </w:r>
      <w:r>
        <w:rPr>
          <w:rFonts w:hint="eastAsia" w:ascii="仿宋_GB2312" w:hAnsi="宋体" w:eastAsia="仿宋_GB2312" w:cs="仿宋_GB2312"/>
          <w:color w:val="000000"/>
          <w:kern w:val="0"/>
          <w:sz w:val="32"/>
          <w:szCs w:val="32"/>
          <w:lang w:val="en-US" w:eastAsia="zh-CN"/>
        </w:rPr>
        <w:t>1939.29</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支出决算</w:t>
      </w:r>
      <w:r>
        <w:rPr>
          <w:rFonts w:hint="eastAsia" w:ascii="仿宋_GB2312" w:hAnsi="宋体" w:eastAsia="仿宋_GB2312" w:cs="仿宋_GB2312"/>
          <w:color w:val="000000"/>
          <w:kern w:val="0"/>
          <w:sz w:val="32"/>
          <w:szCs w:val="32"/>
        </w:rPr>
        <w:t>1939.29</w:t>
      </w:r>
      <w:r>
        <w:rPr>
          <w:rFonts w:hint="eastAsia" w:ascii="仿宋" w:hAnsi="仿宋" w:eastAsia="仿宋" w:cs="仿宋"/>
          <w:color w:val="000000"/>
          <w:kern w:val="0"/>
          <w:sz w:val="32"/>
          <w:szCs w:val="32"/>
        </w:rPr>
        <w:t>万元，年末结转和结余</w:t>
      </w:r>
      <w:r>
        <w:rPr>
          <w:rFonts w:hint="eastAsia" w:ascii="仿宋_GB2312" w:hAnsi="宋体" w:eastAsia="仿宋_GB2312" w:cs="仿宋_GB2312"/>
          <w:color w:val="000000"/>
          <w:kern w:val="0"/>
          <w:sz w:val="32"/>
          <w:szCs w:val="32"/>
        </w:rPr>
        <w:t>19.03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val="en-US" w:eastAsia="zh-CN"/>
        </w:rPr>
        <w:t>具体指出情况如下：</w:t>
      </w:r>
    </w:p>
    <w:p>
      <w:pPr>
        <w:pStyle w:val="10"/>
        <w:numPr>
          <w:ilvl w:val="0"/>
          <w:numId w:val="0"/>
        </w:num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1.其他支出（类）彩票发行销售机构业务费安排的支出（款）福利彩票销售机构的业务费支出。本年支出决算728万元，主要用于福彩销售宣传</w:t>
      </w:r>
      <w:r>
        <w:rPr>
          <w:rFonts w:hint="eastAsia" w:ascii="仿宋_GB2312" w:hAnsi="宋体" w:eastAsia="仿宋_GB2312" w:cs="仿宋_GB2312"/>
          <w:color w:val="000000"/>
          <w:kern w:val="0"/>
          <w:sz w:val="32"/>
          <w:szCs w:val="32"/>
          <w:u w:val="none"/>
          <w:lang w:eastAsia="zh-CN"/>
        </w:rPr>
        <w:t>支出</w:t>
      </w:r>
      <w:r>
        <w:rPr>
          <w:rFonts w:hint="eastAsia" w:ascii="仿宋" w:hAnsi="仿宋" w:eastAsia="仿宋" w:cs="仿宋"/>
          <w:color w:val="000000"/>
          <w:kern w:val="0"/>
          <w:sz w:val="32"/>
          <w:szCs w:val="32"/>
          <w:lang w:val="en-US" w:eastAsia="zh-CN"/>
        </w:rPr>
        <w:t>。</w:t>
      </w:r>
    </w:p>
    <w:p>
      <w:pPr>
        <w:pStyle w:val="10"/>
        <w:numPr>
          <w:ilvl w:val="0"/>
          <w:numId w:val="0"/>
        </w:num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2.其他支出（类）彩票公益金安排的支出（款）用于社会福利的彩票公益金支出。本年支出决算1211.29万元，主要用于</w:t>
      </w:r>
      <w:r>
        <w:rPr>
          <w:rFonts w:hint="eastAsia" w:ascii="仿宋_GB2312" w:hAnsi="宋体" w:eastAsia="仿宋_GB2312" w:cs="仿宋_GB2312"/>
          <w:color w:val="000000"/>
          <w:kern w:val="0"/>
          <w:sz w:val="32"/>
          <w:szCs w:val="32"/>
          <w:u w:val="none"/>
          <w:lang w:eastAsia="zh-CN"/>
        </w:rPr>
        <w:t>精神卫生福利中心项目支出</w:t>
      </w:r>
      <w:r>
        <w:rPr>
          <w:rFonts w:hint="eastAsia" w:ascii="仿宋_GB2312" w:hAnsi="宋体" w:eastAsia="仿宋_GB2312" w:cs="仿宋_GB2312"/>
          <w:color w:val="000000"/>
          <w:kern w:val="0"/>
          <w:sz w:val="32"/>
          <w:szCs w:val="32"/>
        </w:rPr>
        <w:t>。</w:t>
      </w:r>
    </w:p>
    <w:p>
      <w:pPr>
        <w:keepNext w:val="0"/>
        <w:keepLines w:val="0"/>
        <w:pageBreakBefore w:val="0"/>
        <w:widowControl/>
        <w:kinsoku/>
        <w:wordWrap/>
        <w:overflowPunct/>
        <w:topLinePunct w:val="0"/>
        <w:autoSpaceDE/>
        <w:autoSpaceDN/>
        <w:bidi w:val="0"/>
        <w:spacing w:line="360" w:lineRule="auto"/>
        <w:ind w:firstLine="640" w:firstLineChars="200"/>
        <w:jc w:val="left"/>
        <w:textAlignment w:val="auto"/>
        <w:rPr>
          <w:rFonts w:ascii="黑体" w:hAnsi="黑体" w:eastAsia="黑体"/>
          <w:color w:val="000000"/>
          <w:kern w:val="0"/>
          <w:sz w:val="32"/>
          <w:szCs w:val="32"/>
        </w:rPr>
      </w:pPr>
      <w:r>
        <w:rPr>
          <w:rFonts w:hint="eastAsia" w:ascii="黑体" w:hAnsi="黑体" w:eastAsia="黑体"/>
          <w:color w:val="000000"/>
          <w:kern w:val="0"/>
          <w:sz w:val="32"/>
          <w:szCs w:val="32"/>
        </w:rPr>
        <w:t>八、国有资本经营预算财政拨款支出决算情况说明</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本单位2022年度无国有资本经营预算财政拨款收支，已公开空表。</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ascii="黑体" w:hAnsi="黑体" w:eastAsia="黑体"/>
          <w:color w:val="000000"/>
          <w:kern w:val="0"/>
          <w:sz w:val="32"/>
          <w:szCs w:val="32"/>
        </w:rPr>
      </w:pPr>
      <w:r>
        <w:rPr>
          <w:rFonts w:hint="eastAsia" w:ascii="黑体" w:hAnsi="黑体" w:eastAsia="黑体"/>
          <w:color w:val="000000"/>
          <w:kern w:val="0"/>
          <w:sz w:val="32"/>
          <w:szCs w:val="32"/>
        </w:rPr>
        <w:t xml:space="preserve">九、财政拨款“三公”经费及会议费、培训费支出决算情况说明 </w:t>
      </w:r>
    </w:p>
    <w:p>
      <w:pPr>
        <w:keepNext w:val="0"/>
        <w:keepLines w:val="0"/>
        <w:pageBreakBefore w:val="0"/>
        <w:widowControl/>
        <w:kinsoku/>
        <w:wordWrap/>
        <w:overflowPunct/>
        <w:topLinePunct w:val="0"/>
        <w:autoSpaceDE/>
        <w:autoSpaceDN/>
        <w:bidi w:val="0"/>
        <w:spacing w:line="360" w:lineRule="auto"/>
        <w:ind w:firstLine="640" w:firstLineChars="200"/>
        <w:jc w:val="left"/>
        <w:textAlignment w:val="auto"/>
        <w:rPr>
          <w:rFonts w:ascii="楷体_GB2312" w:hAnsi="宋体" w:eastAsia="楷体_GB2312" w:cs="楷体_GB2312"/>
          <w:b/>
          <w:color w:val="000000"/>
          <w:kern w:val="0"/>
          <w:sz w:val="32"/>
          <w:szCs w:val="32"/>
        </w:rPr>
      </w:pPr>
      <w:r>
        <w:rPr>
          <w:rFonts w:hint="eastAsia" w:ascii="楷体" w:hAnsi="楷体" w:eastAsia="楷体" w:cs="楷体"/>
          <w:bCs/>
          <w:color w:val="000000"/>
          <w:kern w:val="0"/>
          <w:sz w:val="32"/>
          <w:szCs w:val="32"/>
        </w:rPr>
        <w:t>（一）“三公”经费支出决算情况说明</w:t>
      </w:r>
      <w:r>
        <w:rPr>
          <w:rFonts w:ascii="楷体_GB2312" w:hAnsi="宋体" w:eastAsia="楷体_GB2312" w:cs="楷体_GB2312"/>
          <w:b/>
          <w:color w:val="000000"/>
          <w:kern w:val="0"/>
          <w:sz w:val="32"/>
          <w:szCs w:val="32"/>
        </w:rPr>
        <w:t xml:space="preserve"> </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黑体"/>
          <w:b/>
          <w:bCs/>
          <w:sz w:val="32"/>
          <w:szCs w:val="32"/>
        </w:rPr>
      </w:pPr>
      <w:r>
        <w:rPr>
          <w:rFonts w:hint="eastAsia" w:ascii="仿宋_GB2312" w:hAnsi="宋体" w:eastAsia="仿宋_GB2312" w:cs="仿宋_GB2312"/>
          <w:color w:val="000000"/>
          <w:sz w:val="32"/>
          <w:szCs w:val="32"/>
          <w:lang w:val="en-US" w:eastAsia="zh-CN" w:bidi="ar"/>
        </w:rPr>
        <w:t>2022年度</w:t>
      </w:r>
      <w:r>
        <w:rPr>
          <w:rFonts w:hint="eastAsia" w:ascii="仿宋_GB2312" w:hAnsi="宋体" w:eastAsia="仿宋_GB2312" w:cs="仿宋_GB2312"/>
          <w:color w:val="000000"/>
          <w:kern w:val="0"/>
          <w:sz w:val="32"/>
          <w:szCs w:val="32"/>
        </w:rPr>
        <w:t>财政拨款</w:t>
      </w:r>
      <w:r>
        <w:rPr>
          <w:rFonts w:hint="eastAsia" w:ascii="仿宋_GB2312" w:hAnsi="宋体" w:eastAsia="仿宋_GB2312" w:cs="仿宋_GB2312"/>
          <w:color w:val="000000"/>
          <w:sz w:val="32"/>
          <w:szCs w:val="32"/>
          <w:lang w:val="en-US" w:eastAsia="zh-CN" w:bidi="ar"/>
        </w:rPr>
        <w:t>安排“三公”经费支出预算</w:t>
      </w: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eastAsia="zh-CN"/>
        </w:rPr>
        <w:t>2.2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eastAsia="zh-CN"/>
        </w:rPr>
        <w:t>100</w:t>
      </w:r>
      <w:r>
        <w:rPr>
          <w:rFonts w:hint="eastAsia" w:ascii="仿宋_GB2312" w:hAnsi="仿宋_GB2312" w:eastAsia="仿宋_GB2312" w:cs="仿宋_GB2312"/>
          <w:sz w:val="32"/>
          <w:szCs w:val="32"/>
        </w:rPr>
        <w:t>%。</w:t>
      </w:r>
      <w:r>
        <w:rPr>
          <w:rFonts w:hint="eastAsia" w:ascii="仿宋_GB2312" w:hAnsi="宋体" w:eastAsia="仿宋_GB2312" w:cs="仿宋_GB2312"/>
          <w:color w:val="000000"/>
          <w:sz w:val="32"/>
          <w:szCs w:val="32"/>
          <w:lang w:val="en-US" w:eastAsia="zh-CN" w:bidi="ar"/>
        </w:rPr>
        <w:t>决算数等于预算数的主要原因是</w:t>
      </w:r>
      <w:r>
        <w:rPr>
          <w:rFonts w:hint="eastAsia" w:ascii="仿宋_GB2312" w:hAnsi="宋体" w:eastAsia="仿宋_GB2312" w:cs="仿宋_GB2312"/>
          <w:color w:val="000000"/>
          <w:kern w:val="0"/>
          <w:sz w:val="32"/>
          <w:szCs w:val="32"/>
          <w:lang w:val="en-US" w:eastAsia="zh-CN"/>
        </w:rPr>
        <w:t>预算数为全年预算数，决算与预算持平</w:t>
      </w:r>
      <w:r>
        <w:rPr>
          <w:rFonts w:hint="eastAsia" w:ascii="仿宋_GB2312" w:hAnsi="宋体" w:eastAsia="仿宋_GB2312" w:cs="仿宋_GB2312"/>
          <w:color w:val="000000"/>
          <w:sz w:val="32"/>
          <w:szCs w:val="32"/>
          <w:lang w:val="en-US" w:eastAsia="zh-CN" w:bidi="ar"/>
        </w:rPr>
        <w:t>。</w:t>
      </w:r>
      <w:r>
        <w:rPr>
          <w:rFonts w:hint="eastAsia" w:ascii="仿宋_GB2312" w:hAnsi="宋体" w:eastAsia="仿宋_GB2312" w:cs="仿宋_GB2312"/>
          <w:color w:val="000000"/>
          <w:kern w:val="0"/>
          <w:sz w:val="32"/>
          <w:szCs w:val="32"/>
        </w:rPr>
        <w:t>决算数较上年减少的主要原因是</w:t>
      </w:r>
      <w:r>
        <w:rPr>
          <w:rFonts w:hint="eastAsia" w:ascii="仿宋_GB2312" w:hAnsi="宋体" w:eastAsia="仿宋_GB2312" w:cs="仿宋_GB2312"/>
          <w:color w:val="000000"/>
          <w:kern w:val="0"/>
          <w:sz w:val="32"/>
          <w:szCs w:val="32"/>
          <w:lang w:val="en-US" w:eastAsia="zh-CN"/>
        </w:rPr>
        <w:t>厉行节俭，缩减开支</w:t>
      </w:r>
      <w:r>
        <w:rPr>
          <w:rFonts w:hint="eastAsia" w:ascii="仿宋_GB2312" w:hAnsi="宋体" w:eastAsia="仿宋_GB2312" w:cs="仿宋_GB2312"/>
          <w:color w:val="000000"/>
          <w:kern w:val="0"/>
          <w:sz w:val="32"/>
          <w:szCs w:val="32"/>
        </w:rPr>
        <w:t>。</w:t>
      </w:r>
    </w:p>
    <w:p>
      <w:pPr>
        <w:keepNext w:val="0"/>
        <w:keepLines w:val="0"/>
        <w:pageBreakBefore w:val="0"/>
        <w:kinsoku/>
        <w:wordWrap/>
        <w:overflowPunct/>
        <w:topLinePunct w:val="0"/>
        <w:autoSpaceDE/>
        <w:autoSpaceDN/>
        <w:bidi w:val="0"/>
        <w:spacing w:line="360" w:lineRule="auto"/>
        <w:textAlignment w:val="auto"/>
        <w:rPr>
          <w:rFonts w:hint="eastAsia" w:ascii="楷体" w:hAnsi="楷体" w:eastAsia="楷体" w:cs="楷体"/>
          <w:sz w:val="32"/>
          <w:szCs w:val="32"/>
        </w:rPr>
      </w:pPr>
      <w:r>
        <w:rPr>
          <w:rFonts w:hint="eastAsia" w:ascii="楷体" w:hAnsi="楷体" w:eastAsia="楷体" w:cs="楷体"/>
          <w:sz w:val="32"/>
          <w:szCs w:val="32"/>
        </w:rPr>
        <w:t xml:space="preserve">    1.因公出国（境）费支出情况</w:t>
      </w:r>
      <w:r>
        <w:rPr>
          <w:rFonts w:hint="eastAsia" w:ascii="楷体" w:hAnsi="楷体" w:eastAsia="楷体" w:cs="楷体"/>
          <w:color w:val="000000"/>
          <w:kern w:val="0"/>
          <w:sz w:val="32"/>
          <w:szCs w:val="32"/>
        </w:rPr>
        <w:t>说明</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本年度无</w:t>
      </w:r>
      <w:r>
        <w:rPr>
          <w:rFonts w:hint="eastAsia" w:ascii="仿宋_GB2312" w:hAnsi="宋体" w:eastAsia="仿宋_GB2312" w:cs="仿宋_GB2312"/>
          <w:color w:val="000000"/>
          <w:kern w:val="0"/>
          <w:sz w:val="32"/>
          <w:szCs w:val="32"/>
          <w:lang w:val="en-US" w:eastAsia="zh-CN"/>
        </w:rPr>
        <w:t>一般公共预算</w:t>
      </w:r>
      <w:r>
        <w:rPr>
          <w:rFonts w:hint="eastAsia" w:ascii="仿宋_GB2312" w:hAnsi="宋体" w:eastAsia="仿宋_GB2312" w:cs="仿宋_GB2312"/>
          <w:color w:val="000000"/>
          <w:kern w:val="0"/>
          <w:sz w:val="32"/>
          <w:szCs w:val="32"/>
        </w:rPr>
        <w:t>因公出国（境）</w:t>
      </w:r>
      <w:r>
        <w:rPr>
          <w:rFonts w:hint="eastAsia" w:ascii="仿宋_GB2312" w:hAnsi="宋体" w:eastAsia="仿宋_GB2312" w:cs="仿宋_GB2312"/>
          <w:color w:val="000000"/>
          <w:kern w:val="0"/>
          <w:sz w:val="32"/>
          <w:szCs w:val="32"/>
          <w:lang w:val="en-US" w:eastAsia="zh-CN"/>
        </w:rPr>
        <w:t>预算安排</w:t>
      </w:r>
      <w:r>
        <w:rPr>
          <w:rFonts w:hint="eastAsia" w:ascii="仿宋_GB2312" w:hAnsi="宋体" w:eastAsia="仿宋_GB2312" w:cs="仿宋_GB2312"/>
          <w:color w:val="000000"/>
          <w:kern w:val="0"/>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2.公务用车购置费支出情况</w:t>
      </w:r>
      <w:r>
        <w:rPr>
          <w:rFonts w:hint="eastAsia" w:ascii="楷体" w:hAnsi="楷体" w:eastAsia="楷体" w:cs="楷体"/>
          <w:color w:val="000000"/>
          <w:kern w:val="0"/>
          <w:sz w:val="32"/>
          <w:szCs w:val="32"/>
        </w:rPr>
        <w:t>说明</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宋体" w:eastAsia="仿宋_GB2312" w:cs="仿宋_GB2312"/>
          <w:color w:val="000000"/>
          <w:kern w:val="0"/>
          <w:sz w:val="32"/>
          <w:szCs w:val="32"/>
        </w:rPr>
      </w:pPr>
      <w:r>
        <w:rPr>
          <w:rFonts w:hint="eastAsia" w:ascii="仿宋_GB2312" w:hAnsi="宋体" w:eastAsia="仿宋_GB2312" w:cs="仿宋_GB2312"/>
          <w:color w:val="000000"/>
          <w:kern w:val="0"/>
          <w:sz w:val="32"/>
          <w:szCs w:val="32"/>
        </w:rPr>
        <w:t>本年度无</w:t>
      </w:r>
      <w:r>
        <w:rPr>
          <w:rFonts w:hint="eastAsia" w:ascii="仿宋_GB2312" w:hAnsi="宋体" w:eastAsia="仿宋_GB2312" w:cs="仿宋_GB2312"/>
          <w:color w:val="000000"/>
          <w:kern w:val="0"/>
          <w:sz w:val="32"/>
          <w:szCs w:val="32"/>
          <w:lang w:val="en-US" w:eastAsia="zh-CN"/>
        </w:rPr>
        <w:t>一般公共预算</w:t>
      </w:r>
      <w:r>
        <w:rPr>
          <w:rFonts w:hint="eastAsia" w:ascii="仿宋_GB2312" w:hAnsi="宋体" w:eastAsia="仿宋_GB2312" w:cs="仿宋_GB2312"/>
          <w:color w:val="000000"/>
          <w:kern w:val="0"/>
          <w:sz w:val="32"/>
          <w:szCs w:val="32"/>
        </w:rPr>
        <w:t>公务用车购置费</w:t>
      </w:r>
      <w:r>
        <w:rPr>
          <w:rFonts w:hint="eastAsia" w:ascii="仿宋_GB2312" w:hAnsi="宋体" w:eastAsia="仿宋_GB2312" w:cs="仿宋_GB2312"/>
          <w:color w:val="000000"/>
          <w:kern w:val="0"/>
          <w:sz w:val="32"/>
          <w:szCs w:val="32"/>
          <w:lang w:val="en-US" w:eastAsia="zh-CN"/>
        </w:rPr>
        <w:t>用预算安排</w:t>
      </w:r>
      <w:r>
        <w:rPr>
          <w:rFonts w:hint="eastAsia" w:ascii="仿宋_GB2312" w:hAnsi="宋体" w:eastAsia="仿宋_GB2312" w:cs="仿宋_GB2312"/>
          <w:color w:val="000000"/>
          <w:kern w:val="0"/>
          <w:sz w:val="32"/>
          <w:szCs w:val="32"/>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楷体" w:hAnsi="楷体" w:eastAsia="楷体" w:cs="楷体"/>
          <w:iCs/>
          <w:color w:val="0000FF"/>
          <w:kern w:val="0"/>
          <w:sz w:val="32"/>
          <w:szCs w:val="32"/>
          <w:highlight w:val="cyan"/>
        </w:rPr>
      </w:pPr>
      <w:r>
        <w:rPr>
          <w:rFonts w:hint="eastAsia" w:ascii="楷体" w:hAnsi="楷体" w:eastAsia="楷体" w:cs="楷体"/>
          <w:sz w:val="32"/>
          <w:szCs w:val="32"/>
        </w:rPr>
        <w:t>3.公务用车运行维护费支出情况</w:t>
      </w:r>
      <w:r>
        <w:rPr>
          <w:rFonts w:hint="eastAsia" w:ascii="楷体" w:hAnsi="楷体" w:eastAsia="楷体" w:cs="楷体"/>
          <w:color w:val="000000"/>
          <w:kern w:val="0"/>
          <w:sz w:val="32"/>
          <w:szCs w:val="32"/>
        </w:rPr>
        <w:t>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s="仿宋_GB2312"/>
          <w:color w:val="000000"/>
          <w:kern w:val="0"/>
          <w:sz w:val="32"/>
          <w:szCs w:val="32"/>
          <w:highlight w:val="none"/>
        </w:rPr>
      </w:pPr>
      <w:r>
        <w:rPr>
          <w:rFonts w:hint="eastAsia" w:ascii="仿宋_GB2312" w:hAnsi="仿宋" w:eastAsia="仿宋_GB2312" w:cs="黑体"/>
          <w:kern w:val="2"/>
          <w:sz w:val="32"/>
          <w:szCs w:val="32"/>
          <w:highlight w:val="none"/>
          <w:lang w:val="en-US" w:eastAsia="zh-CN" w:bidi="ar"/>
        </w:rPr>
        <w:t>2022年度</w:t>
      </w:r>
      <w:r>
        <w:rPr>
          <w:rFonts w:hint="eastAsia" w:ascii="仿宋_GB2312" w:hAnsi="宋体" w:eastAsia="仿宋_GB2312" w:cs="仿宋_GB2312"/>
          <w:color w:val="000000"/>
          <w:kern w:val="0"/>
          <w:sz w:val="32"/>
          <w:szCs w:val="32"/>
          <w:highlight w:val="none"/>
        </w:rPr>
        <w:t>财政拨款</w:t>
      </w:r>
      <w:r>
        <w:rPr>
          <w:rFonts w:hint="eastAsia" w:ascii="仿宋_GB2312" w:hAnsi="仿宋" w:eastAsia="仿宋_GB2312"/>
          <w:sz w:val="32"/>
          <w:szCs w:val="32"/>
          <w:highlight w:val="none"/>
        </w:rPr>
        <w:t>安排</w:t>
      </w:r>
      <w:r>
        <w:rPr>
          <w:rFonts w:hint="eastAsia" w:ascii="仿宋_GB2312" w:hAnsi="仿宋" w:eastAsia="仿宋_GB2312" w:cs="黑体"/>
          <w:kern w:val="2"/>
          <w:sz w:val="32"/>
          <w:szCs w:val="32"/>
          <w:highlight w:val="none"/>
          <w:lang w:val="en-US" w:eastAsia="zh-CN" w:bidi="ar"/>
        </w:rPr>
        <w:t>安排</w:t>
      </w:r>
      <w:r>
        <w:rPr>
          <w:rFonts w:hint="eastAsia" w:ascii="仿宋_GB2312" w:hAnsi="仿宋_GB2312" w:eastAsia="仿宋_GB2312" w:cs="仿宋_GB2312"/>
          <w:kern w:val="2"/>
          <w:sz w:val="32"/>
          <w:szCs w:val="32"/>
          <w:highlight w:val="none"/>
          <w:lang w:val="en-US" w:eastAsia="zh-CN" w:bidi="ar"/>
        </w:rPr>
        <w:t>公务用车运行维护</w:t>
      </w:r>
      <w:r>
        <w:rPr>
          <w:rFonts w:hint="eastAsia" w:ascii="仿宋_GB2312" w:hAnsi="宋体" w:eastAsia="仿宋_GB2312" w:cs="仿宋_GB2312"/>
          <w:color w:val="000000"/>
          <w:sz w:val="32"/>
          <w:szCs w:val="32"/>
          <w:highlight w:val="none"/>
          <w:lang w:val="en-US" w:eastAsia="zh-CN" w:bidi="ar"/>
        </w:rPr>
        <w:t>预算</w:t>
      </w:r>
      <w:r>
        <w:rPr>
          <w:rFonts w:hint="eastAsia" w:ascii="仿宋_GB2312" w:hAnsi="仿宋_GB2312" w:eastAsia="仿宋_GB2312" w:cs="仿宋_GB2312"/>
          <w:sz w:val="32"/>
          <w:szCs w:val="32"/>
          <w:highlight w:val="none"/>
          <w:lang w:eastAsia="zh-CN"/>
        </w:rPr>
        <w:t>1.5</w:t>
      </w:r>
      <w:r>
        <w:rPr>
          <w:rFonts w:hint="eastAsia" w:ascii="仿宋_GB2312" w:hAnsi="仿宋_GB2312" w:eastAsia="仿宋_GB2312" w:cs="仿宋_GB2312"/>
          <w:sz w:val="32"/>
          <w:szCs w:val="32"/>
          <w:highlight w:val="none"/>
        </w:rPr>
        <w:t>万元，支出决算</w:t>
      </w:r>
      <w:r>
        <w:rPr>
          <w:rFonts w:hint="eastAsia" w:ascii="仿宋_GB2312" w:hAnsi="仿宋_GB2312" w:eastAsia="仿宋_GB2312" w:cs="仿宋_GB2312"/>
          <w:sz w:val="32"/>
          <w:szCs w:val="32"/>
          <w:highlight w:val="none"/>
          <w:lang w:eastAsia="zh-CN"/>
        </w:rPr>
        <w:t>1.5</w:t>
      </w:r>
      <w:r>
        <w:rPr>
          <w:rFonts w:hint="eastAsia" w:ascii="仿宋_GB2312" w:hAnsi="仿宋_GB2312" w:eastAsia="仿宋_GB2312" w:cs="仿宋_GB2312"/>
          <w:sz w:val="32"/>
          <w:szCs w:val="32"/>
          <w:highlight w:val="none"/>
        </w:rPr>
        <w:t>万元，完成预算的</w:t>
      </w:r>
      <w:r>
        <w:rPr>
          <w:rFonts w:hint="eastAsia" w:ascii="仿宋_GB2312" w:hAnsi="仿宋_GB2312" w:eastAsia="仿宋_GB2312" w:cs="仿宋_GB2312"/>
          <w:sz w:val="32"/>
          <w:szCs w:val="32"/>
          <w:highlight w:val="none"/>
          <w:lang w:eastAsia="zh-CN"/>
        </w:rPr>
        <w:t>100</w:t>
      </w:r>
      <w:r>
        <w:rPr>
          <w:rFonts w:hint="eastAsia" w:ascii="仿宋_GB2312" w:hAnsi="仿宋_GB2312" w:eastAsia="仿宋_GB2312" w:cs="仿宋_GB2312"/>
          <w:sz w:val="32"/>
          <w:szCs w:val="32"/>
          <w:highlight w:val="none"/>
        </w:rPr>
        <w:t>%，</w:t>
      </w:r>
      <w:r>
        <w:rPr>
          <w:rFonts w:hint="eastAsia" w:ascii="仿宋_GB2312" w:hAnsi="宋体" w:eastAsia="仿宋_GB2312" w:cs="仿宋_GB2312"/>
          <w:color w:val="000000"/>
          <w:sz w:val="32"/>
          <w:szCs w:val="32"/>
          <w:highlight w:val="none"/>
          <w:lang w:val="en-US" w:eastAsia="zh-CN" w:bidi="ar"/>
        </w:rPr>
        <w:t>决算数较预算数无增减</w:t>
      </w:r>
      <w:r>
        <w:rPr>
          <w:rFonts w:hint="eastAsia" w:ascii="仿宋_GB2312" w:hAnsi="仿宋_GB2312" w:eastAsia="仿宋_GB2312" w:cs="仿宋_GB2312"/>
          <w:sz w:val="32"/>
          <w:szCs w:val="32"/>
          <w:highlight w:val="none"/>
        </w:rPr>
        <w:t>，主要原因</w:t>
      </w:r>
      <w:r>
        <w:rPr>
          <w:rFonts w:hint="eastAsia" w:ascii="仿宋_GB2312" w:hAnsi="仿宋_GB2312" w:eastAsia="仿宋_GB2312" w:cs="仿宋_GB2312"/>
          <w:sz w:val="32"/>
          <w:szCs w:val="32"/>
          <w:highlight w:val="none"/>
          <w:lang w:val="en-US" w:eastAsia="zh-CN"/>
        </w:rPr>
        <w:t>是：</w:t>
      </w:r>
      <w:r>
        <w:rPr>
          <w:rFonts w:hint="eastAsia" w:ascii="仿宋_GB2312" w:hAnsi="宋体" w:eastAsia="仿宋_GB2312" w:cs="仿宋_GB2312"/>
          <w:color w:val="000000"/>
          <w:kern w:val="0"/>
          <w:sz w:val="32"/>
          <w:szCs w:val="32"/>
          <w:lang w:val="en-US" w:eastAsia="zh-CN"/>
        </w:rPr>
        <w:t>预算数为全年预算数，决算与预算持平</w:t>
      </w:r>
      <w:r>
        <w:rPr>
          <w:rFonts w:hint="eastAsia" w:ascii="仿宋_GB2312" w:hAnsi="宋体" w:eastAsia="仿宋_GB2312" w:cs="仿宋_GB2312"/>
          <w:color w:val="000000"/>
          <w:sz w:val="32"/>
          <w:szCs w:val="32"/>
          <w:lang w:val="en-US" w:eastAsia="zh-CN" w:bidi="ar"/>
        </w:rPr>
        <w:t>。</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4.公务接待费支出情况</w:t>
      </w:r>
      <w:r>
        <w:rPr>
          <w:rFonts w:hint="eastAsia" w:ascii="楷体" w:hAnsi="楷体" w:eastAsia="楷体" w:cs="楷体"/>
          <w:color w:val="000000"/>
          <w:kern w:val="0"/>
          <w:sz w:val="32"/>
          <w:szCs w:val="32"/>
        </w:rPr>
        <w:t>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s="仿宋_GB2312"/>
          <w:color w:val="000000"/>
          <w:kern w:val="0"/>
          <w:sz w:val="32"/>
          <w:szCs w:val="32"/>
        </w:rPr>
      </w:pPr>
      <w:r>
        <w:rPr>
          <w:rFonts w:hint="eastAsia" w:ascii="仿宋_GB2312" w:hAnsi="仿宋" w:eastAsia="仿宋_GB2312"/>
          <w:sz w:val="32"/>
          <w:szCs w:val="32"/>
          <w:highlight w:val="none"/>
        </w:rPr>
        <w:t>2022</w:t>
      </w:r>
      <w:r>
        <w:rPr>
          <w:rFonts w:hint="eastAsia" w:ascii="仿宋_GB2312" w:hAnsi="仿宋" w:eastAsia="仿宋_GB2312" w:cs="黑体"/>
          <w:kern w:val="2"/>
          <w:sz w:val="32"/>
          <w:szCs w:val="32"/>
          <w:highlight w:val="none"/>
          <w:lang w:val="en-US" w:eastAsia="zh-CN" w:bidi="ar"/>
        </w:rPr>
        <w:t>年度财政拨款安排公务接待预算</w:t>
      </w:r>
      <w:r>
        <w:rPr>
          <w:rFonts w:hint="eastAsia" w:ascii="仿宋_GB2312" w:hAnsi="仿宋_GB2312" w:eastAsia="仿宋_GB2312" w:cs="仿宋_GB2312"/>
          <w:sz w:val="32"/>
          <w:szCs w:val="32"/>
          <w:highlight w:val="none"/>
          <w:lang w:eastAsia="zh-CN"/>
        </w:rPr>
        <w:t>0.7</w:t>
      </w:r>
      <w:r>
        <w:rPr>
          <w:rFonts w:hint="eastAsia" w:ascii="仿宋_GB2312" w:hAnsi="仿宋_GB2312" w:eastAsia="仿宋_GB2312" w:cs="仿宋_GB2312"/>
          <w:sz w:val="32"/>
          <w:szCs w:val="32"/>
          <w:highlight w:val="none"/>
        </w:rPr>
        <w:t>万元，支出决算</w:t>
      </w:r>
      <w:r>
        <w:rPr>
          <w:rFonts w:hint="eastAsia" w:ascii="仿宋_GB2312" w:hAnsi="仿宋_GB2312" w:eastAsia="仿宋_GB2312" w:cs="仿宋_GB2312"/>
          <w:sz w:val="32"/>
          <w:szCs w:val="32"/>
          <w:highlight w:val="none"/>
          <w:lang w:eastAsia="zh-CN"/>
        </w:rPr>
        <w:t>0.7</w:t>
      </w:r>
      <w:r>
        <w:rPr>
          <w:rFonts w:hint="eastAsia" w:ascii="仿宋_GB2312" w:hAnsi="仿宋_GB2312" w:eastAsia="仿宋_GB2312" w:cs="仿宋_GB2312"/>
          <w:sz w:val="32"/>
          <w:szCs w:val="32"/>
          <w:highlight w:val="none"/>
        </w:rPr>
        <w:t>万元，完成预算的</w:t>
      </w:r>
      <w:r>
        <w:rPr>
          <w:rFonts w:hint="eastAsia" w:ascii="仿宋_GB2312" w:hAnsi="仿宋_GB2312" w:eastAsia="仿宋_GB2312" w:cs="仿宋_GB2312"/>
          <w:sz w:val="32"/>
          <w:szCs w:val="32"/>
          <w:highlight w:val="none"/>
          <w:lang w:eastAsia="zh-CN"/>
        </w:rPr>
        <w:t>100</w:t>
      </w:r>
      <w:r>
        <w:rPr>
          <w:rFonts w:hint="eastAsia" w:ascii="仿宋_GB2312" w:hAnsi="仿宋_GB2312" w:eastAsia="仿宋_GB2312" w:cs="仿宋_GB2312"/>
          <w:sz w:val="32"/>
          <w:szCs w:val="32"/>
          <w:highlight w:val="none"/>
        </w:rPr>
        <w:t>%，</w:t>
      </w:r>
      <w:r>
        <w:rPr>
          <w:rFonts w:hint="eastAsia" w:ascii="仿宋_GB2312" w:hAnsi="宋体" w:eastAsia="仿宋_GB2312" w:cs="仿宋_GB2312"/>
          <w:color w:val="000000"/>
          <w:sz w:val="32"/>
          <w:szCs w:val="32"/>
          <w:highlight w:val="none"/>
          <w:lang w:val="en-US" w:eastAsia="zh-CN" w:bidi="ar"/>
        </w:rPr>
        <w:t>决算数较预算数无增减</w:t>
      </w:r>
      <w:r>
        <w:rPr>
          <w:rFonts w:hint="eastAsia" w:ascii="仿宋_GB2312" w:hAnsi="仿宋_GB2312" w:eastAsia="仿宋_GB2312" w:cs="仿宋_GB2312"/>
          <w:sz w:val="32"/>
          <w:szCs w:val="32"/>
          <w:highlight w:val="none"/>
        </w:rPr>
        <w:t>，主要原因</w:t>
      </w:r>
      <w:r>
        <w:rPr>
          <w:rFonts w:hint="eastAsia" w:ascii="仿宋_GB2312" w:hAnsi="仿宋_GB2312" w:eastAsia="仿宋_GB2312" w:cs="仿宋_GB2312"/>
          <w:sz w:val="32"/>
          <w:szCs w:val="32"/>
          <w:highlight w:val="none"/>
          <w:lang w:val="en-US" w:eastAsia="zh-CN"/>
        </w:rPr>
        <w:t>是：</w:t>
      </w:r>
      <w:r>
        <w:rPr>
          <w:rFonts w:hint="eastAsia" w:ascii="仿宋_GB2312" w:hAnsi="宋体" w:eastAsia="仿宋_GB2312" w:cs="仿宋_GB2312"/>
          <w:color w:val="000000"/>
          <w:kern w:val="0"/>
          <w:sz w:val="32"/>
          <w:szCs w:val="32"/>
          <w:lang w:val="en-US" w:eastAsia="zh-CN"/>
        </w:rPr>
        <w:t>预算数为全年预算数，决算与预算持平</w:t>
      </w:r>
      <w:r>
        <w:rPr>
          <w:rFonts w:hint="eastAsia" w:ascii="仿宋_GB2312" w:hAnsi="仿宋_GB2312" w:eastAsia="仿宋_GB2312" w:cs="仿宋_GB2312"/>
          <w:sz w:val="32"/>
          <w:szCs w:val="32"/>
          <w:highlight w:val="none"/>
        </w:rPr>
        <w:t>。</w:t>
      </w:r>
      <w:r>
        <w:rPr>
          <w:rFonts w:hint="eastAsia" w:ascii="仿宋_GB2312" w:hAnsi="宋体" w:eastAsia="仿宋_GB2312" w:cs="仿宋_GB2312"/>
          <w:color w:val="000000"/>
          <w:sz w:val="32"/>
          <w:szCs w:val="32"/>
          <w:highlight w:val="none"/>
          <w:lang w:val="en-US" w:eastAsia="zh-CN" w:bidi="ar"/>
        </w:rPr>
        <w:t>其中：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cs="黑体"/>
          <w:kern w:val="2"/>
          <w:sz w:val="32"/>
          <w:szCs w:val="32"/>
          <w:highlight w:val="none"/>
          <w:lang w:val="en-US" w:eastAsia="zh-CN" w:bidi="ar"/>
        </w:rPr>
      </w:pPr>
      <w:r>
        <w:rPr>
          <w:rFonts w:hint="eastAsia" w:ascii="仿宋_GB2312" w:hAnsi="仿宋" w:eastAsia="仿宋_GB2312" w:cs="黑体"/>
          <w:kern w:val="2"/>
          <w:sz w:val="32"/>
          <w:szCs w:val="32"/>
          <w:highlight w:val="none"/>
          <w:lang w:val="en-US" w:eastAsia="zh-CN" w:bidi="ar"/>
        </w:rPr>
        <w:t>国内公务接待支出0.7万元。主要是本单位与国内相关单位交流工作、接受有关部门工作检查指导发生的接待支出。共接待国内来访团组11个，来宾52人次。</w:t>
      </w:r>
    </w:p>
    <w:p>
      <w:pPr>
        <w:keepNext w:val="0"/>
        <w:keepLines w:val="0"/>
        <w:pageBreakBefore w:val="0"/>
        <w:widowControl/>
        <w:kinsoku/>
        <w:wordWrap/>
        <w:overflowPunct/>
        <w:topLinePunct w:val="0"/>
        <w:autoSpaceDE/>
        <w:autoSpaceDN/>
        <w:bidi w:val="0"/>
        <w:spacing w:line="360" w:lineRule="auto"/>
        <w:ind w:firstLine="640" w:firstLineChars="200"/>
        <w:jc w:val="left"/>
        <w:textAlignment w:val="auto"/>
        <w:rPr>
          <w:rFonts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（二）培训费支出情况说明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本年度无财政拨款培训费支出。</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楷体" w:hAnsi="楷体" w:eastAsia="楷体" w:cs="楷体"/>
          <w:bCs/>
          <w:color w:val="000000"/>
          <w:kern w:val="0"/>
          <w:sz w:val="32"/>
          <w:szCs w:val="32"/>
        </w:rPr>
      </w:pPr>
      <w:r>
        <w:rPr>
          <w:rFonts w:hint="eastAsia" w:ascii="楷体" w:hAnsi="楷体" w:eastAsia="楷体" w:cs="楷体"/>
          <w:bCs/>
          <w:color w:val="000000"/>
          <w:kern w:val="0"/>
          <w:sz w:val="32"/>
          <w:szCs w:val="32"/>
        </w:rPr>
        <w:t>（三）会议费支出情况说明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i w:val="0"/>
          <w:iCs/>
          <w:kern w:val="2"/>
          <w:sz w:val="32"/>
          <w:szCs w:val="32"/>
          <w:highlight w:val="yellow"/>
          <w:lang w:val="en-US" w:eastAsia="zh-CN" w:bidi="ar"/>
        </w:rPr>
      </w:pPr>
      <w:r>
        <w:rPr>
          <w:rFonts w:hint="eastAsia" w:ascii="仿宋_GB2312" w:hAnsi="仿宋_GB2312" w:eastAsia="仿宋_GB2312" w:cs="仿宋_GB2312"/>
          <w:kern w:val="2"/>
          <w:sz w:val="32"/>
          <w:szCs w:val="32"/>
          <w:lang w:val="en-US" w:eastAsia="zh-CN" w:bidi="ar"/>
        </w:rPr>
        <w:t>2022年度</w:t>
      </w:r>
      <w:r>
        <w:rPr>
          <w:rFonts w:hint="eastAsia" w:ascii="仿宋_GB2312" w:hAnsi="宋体" w:eastAsia="仿宋_GB2312" w:cs="仿宋_GB2312"/>
          <w:color w:val="000000"/>
          <w:kern w:val="0"/>
          <w:sz w:val="32"/>
          <w:szCs w:val="32"/>
        </w:rPr>
        <w:t>财政拨款</w:t>
      </w:r>
      <w:r>
        <w:rPr>
          <w:rFonts w:hint="eastAsia" w:ascii="仿宋_GB2312" w:hAnsi="仿宋_GB2312" w:eastAsia="仿宋_GB2312" w:cs="仿宋_GB2312"/>
          <w:kern w:val="2"/>
          <w:sz w:val="32"/>
          <w:szCs w:val="32"/>
          <w:lang w:val="en-US" w:eastAsia="zh-CN" w:bidi="ar"/>
        </w:rPr>
        <w:t>安排会议费</w:t>
      </w:r>
      <w:r>
        <w:rPr>
          <w:rFonts w:hint="eastAsia" w:ascii="仿宋_GB2312" w:hAnsi="宋体" w:eastAsia="仿宋_GB2312" w:cs="仿宋_GB2312"/>
          <w:color w:val="000000"/>
          <w:sz w:val="32"/>
          <w:szCs w:val="32"/>
          <w:lang w:val="en-US" w:eastAsia="zh-CN" w:bidi="ar"/>
        </w:rPr>
        <w:t>预算2.97</w:t>
      </w:r>
      <w:r>
        <w:rPr>
          <w:rFonts w:hint="eastAsia" w:ascii="仿宋_GB2312" w:hAnsi="仿宋_GB2312" w:eastAsia="仿宋_GB2312" w:cs="仿宋_GB2312"/>
          <w:color w:val="000000"/>
          <w:kern w:val="0"/>
          <w:sz w:val="32"/>
          <w:szCs w:val="32"/>
        </w:rPr>
        <w:t>万元，支出决算</w:t>
      </w:r>
      <w:r>
        <w:rPr>
          <w:rFonts w:hint="eastAsia" w:ascii="仿宋_GB2312" w:hAnsi="仿宋_GB2312" w:eastAsia="仿宋_GB2312" w:cs="仿宋_GB2312"/>
          <w:color w:val="000000"/>
          <w:kern w:val="0"/>
          <w:sz w:val="32"/>
          <w:szCs w:val="32"/>
          <w:lang w:val="en-US" w:eastAsia="zh-CN"/>
        </w:rPr>
        <w:t>2.97</w:t>
      </w:r>
      <w:r>
        <w:rPr>
          <w:rFonts w:hint="eastAsia" w:ascii="仿宋_GB2312" w:hAnsi="仿宋_GB2312" w:eastAsia="仿宋_GB2312" w:cs="仿宋_GB2312"/>
          <w:color w:val="000000"/>
          <w:kern w:val="0"/>
          <w:sz w:val="32"/>
          <w:szCs w:val="32"/>
        </w:rPr>
        <w:t>万元，完成预算的</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highlight w:val="none"/>
        </w:rPr>
        <w:t>主要原因</w:t>
      </w:r>
      <w:r>
        <w:rPr>
          <w:rFonts w:hint="eastAsia" w:ascii="仿宋_GB2312" w:hAnsi="仿宋_GB2312" w:eastAsia="仿宋_GB2312" w:cs="仿宋_GB2312"/>
          <w:sz w:val="32"/>
          <w:szCs w:val="32"/>
          <w:highlight w:val="none"/>
          <w:lang w:val="en-US" w:eastAsia="zh-CN"/>
        </w:rPr>
        <w:t>是：本年按照省民政厅和市委、市政府要求临时增加困难群众救助资金审计反馈问题专项治理会议、“人盯房、房管人”现场会等，根据实际情况调整会议费用。</w:t>
      </w:r>
      <w:r>
        <w:rPr>
          <w:rFonts w:hint="eastAsia" w:ascii="仿宋_GB2312" w:hAnsi="仿宋" w:eastAsia="仿宋_GB2312" w:cs="黑体"/>
          <w:kern w:val="2"/>
          <w:sz w:val="32"/>
          <w:szCs w:val="32"/>
          <w:highlight w:val="none"/>
          <w:lang w:val="en-US" w:eastAsia="zh-CN" w:bidi="ar"/>
        </w:rPr>
        <w:t>决算数较上年增加的主要原因是</w:t>
      </w:r>
      <w:r>
        <w:rPr>
          <w:rFonts w:hint="eastAsia" w:ascii="仿宋_GB2312" w:hAnsi="仿宋_GB2312" w:eastAsia="仿宋_GB2312" w:cs="仿宋_GB2312"/>
          <w:sz w:val="32"/>
          <w:szCs w:val="32"/>
          <w:highlight w:val="none"/>
          <w:lang w:val="en-US" w:eastAsia="zh-CN"/>
        </w:rPr>
        <w:t>本年按照省民政厅和市委、市政府要求临时增加困难群众救助资金审计反馈问题专项治理会议2场次，</w:t>
      </w:r>
      <w:bookmarkStart w:id="0" w:name="_GoBack"/>
      <w:bookmarkEnd w:id="0"/>
      <w:r>
        <w:rPr>
          <w:rFonts w:hint="eastAsia" w:ascii="仿宋_GB2312" w:hAnsi="仿宋_GB2312" w:eastAsia="仿宋_GB2312" w:cs="仿宋_GB2312"/>
          <w:sz w:val="32"/>
          <w:szCs w:val="32"/>
          <w:highlight w:val="none"/>
          <w:lang w:val="en-US" w:eastAsia="zh-CN"/>
        </w:rPr>
        <w:t>“人盯房、房管人”现场会1场次，导致会议费决算数较上年增加。</w:t>
      </w:r>
    </w:p>
    <w:p>
      <w:pPr>
        <w:keepNext w:val="0"/>
        <w:keepLines w:val="0"/>
        <w:pageBreakBefore w:val="0"/>
        <w:widowControl w:val="0"/>
        <w:kinsoku/>
        <w:wordWrap/>
        <w:overflowPunct/>
        <w:topLinePunct w:val="0"/>
        <w:autoSpaceDE/>
        <w:autoSpaceDN/>
        <w:bidi w:val="0"/>
        <w:adjustRightInd/>
        <w:snapToGrid/>
        <w:spacing w:line="360" w:lineRule="auto"/>
        <w:ind w:left="638" w:leftChars="304" w:firstLine="0" w:firstLineChars="0"/>
        <w:jc w:val="left"/>
        <w:textAlignment w:val="auto"/>
        <w:rPr>
          <w:rFonts w:hint="eastAsia" w:ascii="黑体" w:hAnsi="黑体" w:eastAsia="黑体"/>
          <w:color w:val="000000"/>
          <w:kern w:val="0"/>
          <w:sz w:val="32"/>
          <w:szCs w:val="32"/>
        </w:rPr>
      </w:pPr>
      <w:r>
        <w:rPr>
          <w:rFonts w:hint="eastAsia" w:ascii="黑体" w:hAnsi="黑体" w:eastAsia="黑体"/>
          <w:color w:val="000000"/>
          <w:kern w:val="0"/>
          <w:sz w:val="32"/>
          <w:szCs w:val="32"/>
        </w:rPr>
        <w:t>十、机关运行经费支出情况说明。</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1"/>
          <w:szCs w:val="31"/>
          <w:lang w:val="en-US" w:eastAsia="zh-CN" w:bidi="ar"/>
        </w:rPr>
        <w:t>2022年度机关运行经费预算</w:t>
      </w:r>
      <w:r>
        <w:rPr>
          <w:rFonts w:hint="eastAsia" w:ascii="仿宋_GB2312" w:hAnsi="仿宋_GB2312" w:eastAsia="仿宋_GB2312" w:cs="仿宋_GB2312"/>
          <w:sz w:val="32"/>
          <w:szCs w:val="32"/>
          <w:lang w:eastAsia="zh-CN"/>
        </w:rPr>
        <w:t>39.92</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eastAsia="zh-CN"/>
        </w:rPr>
        <w:t>39.92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宋体" w:eastAsia="仿宋_GB2312" w:cs="仿宋_GB2312"/>
          <w:color w:val="000000"/>
          <w:sz w:val="32"/>
          <w:szCs w:val="32"/>
          <w:lang w:val="en-US" w:eastAsia="zh-CN" w:bidi="ar"/>
        </w:rPr>
        <w:t>支出决算比上年增加</w:t>
      </w:r>
      <w:r>
        <w:rPr>
          <w:rFonts w:hint="eastAsia" w:ascii="仿宋_GB2312" w:hAnsi="仿宋_GB2312" w:eastAsia="仿宋_GB2312" w:cs="仿宋_GB2312"/>
          <w:sz w:val="32"/>
          <w:szCs w:val="32"/>
          <w:lang w:eastAsia="zh-CN"/>
        </w:rPr>
        <w:t>33.6万</w:t>
      </w:r>
      <w:r>
        <w:rPr>
          <w:rFonts w:hint="eastAsia" w:ascii="仿宋_GB2312" w:hAnsi="仿宋_GB2312" w:eastAsia="仿宋_GB2312" w:cs="仿宋_GB2312"/>
          <w:sz w:val="32"/>
          <w:szCs w:val="32"/>
        </w:rPr>
        <w:t>元，主要原因</w:t>
      </w:r>
      <w:r>
        <w:rPr>
          <w:rFonts w:hint="eastAsia" w:ascii="仿宋_GB2312" w:hAnsi="仿宋_GB2312" w:eastAsia="仿宋_GB2312" w:cs="仿宋_GB2312"/>
          <w:sz w:val="32"/>
          <w:szCs w:val="32"/>
          <w:lang w:val="en-US" w:eastAsia="zh-CN"/>
        </w:rPr>
        <w:t>是其他交通费用、公务用车运行维护费、工会经费、差旅费等费用增加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638" w:leftChars="304" w:firstLine="0" w:firstLineChars="0"/>
        <w:jc w:val="left"/>
        <w:textAlignment w:val="auto"/>
        <w:rPr>
          <w:rFonts w:hint="eastAsia" w:ascii="黑体" w:hAnsi="黑体" w:eastAsia="黑体" w:cs="Times New Roman"/>
          <w:color w:val="000000"/>
          <w:kern w:val="0"/>
          <w:sz w:val="32"/>
          <w:szCs w:val="32"/>
          <w:lang w:val="en-US" w:eastAsia="zh-CN"/>
        </w:rPr>
      </w:pPr>
      <w:r>
        <w:rPr>
          <w:rFonts w:hint="eastAsia" w:ascii="黑体" w:hAnsi="黑体" w:eastAsia="黑体" w:cs="Times New Roman"/>
          <w:color w:val="000000"/>
          <w:kern w:val="0"/>
          <w:sz w:val="32"/>
          <w:szCs w:val="32"/>
          <w:lang w:val="en-US" w:eastAsia="zh-CN"/>
        </w:rPr>
        <w:t>十一、</w:t>
      </w:r>
      <w:r>
        <w:rPr>
          <w:rFonts w:hint="eastAsia" w:ascii="黑体" w:hAnsi="黑体" w:eastAsia="黑体" w:cs="Times New Roman"/>
          <w:color w:val="000000"/>
          <w:kern w:val="0"/>
          <w:sz w:val="32"/>
          <w:szCs w:val="32"/>
        </w:rPr>
        <w:t>政府采购支出情况说明</w:t>
      </w:r>
    </w:p>
    <w:p>
      <w:pPr>
        <w:keepNext w:val="0"/>
        <w:keepLines w:val="0"/>
        <w:pageBreakBefore w:val="0"/>
        <w:numPr>
          <w:ilvl w:val="0"/>
          <w:numId w:val="0"/>
        </w:numPr>
        <w:kinsoku/>
        <w:wordWrap/>
        <w:overflowPunct/>
        <w:topLinePunct w:val="0"/>
        <w:autoSpaceDE/>
        <w:autoSpaceDN/>
        <w:bidi w:val="0"/>
        <w:spacing w:line="360" w:lineRule="auto"/>
        <w:ind w:firstLine="640" w:firstLineChars="200"/>
        <w:jc w:val="left"/>
        <w:textAlignment w:val="auto"/>
        <w:rPr>
          <w:rFonts w:hint="default" w:ascii="楷体" w:hAnsi="楷体" w:eastAsia="楷体" w:cs="楷体"/>
          <w:iCs/>
          <w:color w:val="0000FF"/>
          <w:kern w:val="0"/>
          <w:sz w:val="32"/>
          <w:szCs w:val="32"/>
          <w:highlight w:val="cyan"/>
          <w:lang w:val="en-US" w:eastAsia="zh-CN"/>
        </w:rPr>
      </w:pPr>
      <w:r>
        <w:rPr>
          <w:rFonts w:hint="eastAsia" w:ascii="仿宋_GB2312" w:hAnsi="仿宋_GB2312" w:eastAsia="仿宋_GB2312" w:cs="仿宋_GB2312"/>
          <w:sz w:val="32"/>
          <w:szCs w:val="32"/>
          <w:lang w:val="en-US" w:eastAsia="zh-CN"/>
        </w:rPr>
        <w:t>本单位2022年度无政府采购事项。</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eastAsia" w:ascii="黑体" w:hAnsi="黑体" w:eastAsia="黑体"/>
          <w:color w:val="000000"/>
          <w:kern w:val="0"/>
          <w:sz w:val="32"/>
          <w:szCs w:val="32"/>
        </w:rPr>
      </w:pPr>
      <w:r>
        <w:rPr>
          <w:rFonts w:hint="eastAsia" w:ascii="黑体" w:hAnsi="黑体" w:eastAsia="黑体"/>
          <w:color w:val="000000"/>
          <w:kern w:val="0"/>
          <w:sz w:val="32"/>
          <w:szCs w:val="32"/>
        </w:rPr>
        <w:t>十二、国有资产占用及购置情况说明</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截至2022年末，本</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rPr>
        <w:t>共有车辆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辆，其中副部（省）级以上领导用车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辆，主要领导干部用车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辆，机要通信用车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辆，应急保障用车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辆，执法执勤用车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辆，特种专业技术用车</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辆，离退休干部用车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辆，其他用车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w:t>
      </w:r>
      <w:r>
        <w:rPr>
          <w:rFonts w:hint="eastAsia" w:ascii="楷体_GB2312" w:hAnsi="仿宋" w:eastAsia="楷体_GB2312"/>
          <w:szCs w:val="32"/>
          <w:highlight w:val="none"/>
        </w:rPr>
        <w:t>。</w:t>
      </w:r>
      <w:r>
        <w:rPr>
          <w:rFonts w:hint="eastAsia" w:ascii="仿宋_GB2312" w:hAnsi="仿宋_GB2312" w:eastAsia="仿宋_GB2312" w:cs="仿宋_GB2312"/>
          <w:sz w:val="32"/>
          <w:szCs w:val="32"/>
          <w:highlight w:val="none"/>
        </w:rPr>
        <w:t>单价100万元及以上的设备（不含车辆）</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2022年当年购置车辆</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辆；购置单价100万元以上的设备</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台（套）。</w:t>
      </w:r>
    </w:p>
    <w:p>
      <w:pPr>
        <w:widowControl/>
        <w:spacing w:line="560" w:lineRule="exact"/>
        <w:ind w:firstLine="640" w:firstLineChars="200"/>
        <w:jc w:val="left"/>
        <w:rPr>
          <w:rFonts w:hint="eastAsia" w:ascii="黑体" w:hAnsi="黑体" w:eastAsia="黑体"/>
          <w:color w:val="000000"/>
          <w:kern w:val="0"/>
          <w:sz w:val="32"/>
          <w:szCs w:val="32"/>
        </w:rPr>
      </w:pPr>
      <w:r>
        <w:rPr>
          <w:rFonts w:hint="eastAsia" w:ascii="黑体" w:hAnsi="黑体" w:eastAsia="黑体"/>
          <w:color w:val="000000"/>
          <w:kern w:val="0"/>
          <w:sz w:val="32"/>
          <w:szCs w:val="32"/>
        </w:rPr>
        <w:t>十三、预算绩效情况说明</w:t>
      </w:r>
    </w:p>
    <w:p>
      <w:pPr>
        <w:widowControl/>
        <w:ind w:firstLine="640"/>
        <w:jc w:val="left"/>
        <w:rPr>
          <w:rFonts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（一）</w:t>
      </w:r>
      <w:r>
        <w:rPr>
          <w:rFonts w:ascii="楷体_GB2312" w:hAnsi="宋体" w:eastAsia="楷体_GB2312" w:cs="楷体_GB2312"/>
          <w:bCs/>
          <w:color w:val="000000"/>
          <w:kern w:val="0"/>
          <w:sz w:val="32"/>
          <w:szCs w:val="32"/>
        </w:rPr>
        <w:t>预算绩效管理工作开展情况</w:t>
      </w:r>
      <w:r>
        <w:rPr>
          <w:rFonts w:hint="eastAsia" w:ascii="楷体_GB2312" w:hAnsi="宋体" w:eastAsia="楷体_GB2312" w:cs="楷体_GB2312"/>
          <w:bCs/>
          <w:color w:val="000000"/>
          <w:kern w:val="0"/>
          <w:sz w:val="32"/>
          <w:szCs w:val="32"/>
        </w:rPr>
        <w:t>说明</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根据预算绩效管理要求，本部门组织开展了2022年度部门整体支出绩效自评工作，从评价情况来看，</w:t>
      </w:r>
      <w:r>
        <w:rPr>
          <w:rFonts w:hint="eastAsia" w:ascii="仿宋_GB2312" w:hAnsi="仿宋_GB2312" w:eastAsia="仿宋_GB2312" w:cs="仿宋_GB2312"/>
          <w:sz w:val="32"/>
          <w:szCs w:val="32"/>
          <w:highlight w:val="none"/>
          <w:lang w:val="en-US" w:eastAsia="zh-CN"/>
        </w:rPr>
        <w:t>本部门履职尽责，强化管理，较好地完成了年度总体绩效目标，全面提升民政工作能力。按照民政事业发展规划战略要求，进一步完善养老服务体系，倡导现代社会治理体系建设，高质量加快推进儿童福利保障体系，深化殡葬服务，做好婚姻登记，深化社区治理，充分发挥社会组织，做好行政区域调整，充分运用资金，加强各类民政服务设施建设，稳步提升养老、儿童福利、婚姻、殡葬、区划地名、流浪乞讨人员救助、残疾人福利、慈善等服务水平，民政法规制度体系实现有效突破，基本民生保障水平持续提升，基层社会治理取得新的显著成效，基本社会服务更趋完善，为如期全面建成小康社会、迈上全面建设社会主义现代化国家新征程作出了重要贡献。服务对象总体满意度较高，各项服务保障工作推进有力，得到了社会各界和人民群众的一致好评。</w:t>
      </w:r>
    </w:p>
    <w:p>
      <w:pPr>
        <w:widowControl/>
        <w:ind w:firstLine="640"/>
        <w:jc w:val="left"/>
        <w:rPr>
          <w:rFonts w:hint="eastAsia"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（二）部门整体支出绩效自评结果</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年度设定的绩效目标，部门整体支出自评得分97分，全年预算数5228.8万元，执行数5594.48万元，完成预算的107%。本年度本部门总体运行情况及取得的成绩：2022年本部门绩效目标全面完成，取得了一定社会效益和社会公众服务对象好评。我部门在整体支出资金使用和管理中，实际支出与计划规定的用途一致，资金收支平衡，资金使用做到公开、公平，按照相关程序进行上报和审批，财务制度健全，财务信息真实完整，无截留、挤占、挪用等违规违纪行为。有效促进了各项工作顺利开展。我部门正在进一步完善机关管理、资产管理、财务管理等制度，使节能降耗工作逐步走上制度化、规范化管理轨迹。2022年我部门整体支出绩效自我评价结果为优秀，按照相关要求已公开绩效自评结果。发现的问题：通过自评发现本部门预算内资金根据工作进度正常支付，年末执行率较高，整体绩效目标无调整，也无偏差。下一步改进措施：一是按照预算规定的项目和用途严格财务审核，经费支出严格按照预算规定项目的财务支出内容进行财务核算，在预算金额内严格控制费用支出。二是预算财务分析常态化，定期做好预算支出财务分析，做好部门整体支出预算评价工作。三是制定适用本部门固定资产管理制度，从资产采购、使用以及报废各个环节规范固定资产管理，提高固定资产使用效率，减少资金浪费。</w:t>
      </w:r>
    </w:p>
    <w:tbl>
      <w:tblPr>
        <w:tblStyle w:val="6"/>
        <w:tblW w:w="10020" w:type="dxa"/>
        <w:jc w:val="center"/>
        <w:tblLayout w:type="fixed"/>
        <w:tblCellMar>
          <w:top w:w="0" w:type="dxa"/>
          <w:left w:w="108" w:type="dxa"/>
          <w:bottom w:w="0" w:type="dxa"/>
          <w:right w:w="108" w:type="dxa"/>
        </w:tblCellMar>
      </w:tblPr>
      <w:tblGrid>
        <w:gridCol w:w="468"/>
        <w:gridCol w:w="699"/>
        <w:gridCol w:w="1548"/>
        <w:gridCol w:w="831"/>
        <w:gridCol w:w="872"/>
        <w:gridCol w:w="809"/>
        <w:gridCol w:w="565"/>
        <w:gridCol w:w="874"/>
        <w:gridCol w:w="976"/>
        <w:gridCol w:w="512"/>
        <w:gridCol w:w="450"/>
        <w:gridCol w:w="400"/>
        <w:gridCol w:w="550"/>
        <w:gridCol w:w="466"/>
      </w:tblGrid>
      <w:tr>
        <w:tblPrEx>
          <w:tblCellMar>
            <w:top w:w="0" w:type="dxa"/>
            <w:left w:w="108" w:type="dxa"/>
            <w:bottom w:w="0" w:type="dxa"/>
            <w:right w:w="108" w:type="dxa"/>
          </w:tblCellMar>
        </w:tblPrEx>
        <w:trPr>
          <w:trHeight w:val="440" w:hRule="atLeast"/>
          <w:jc w:val="center"/>
        </w:trPr>
        <w:tc>
          <w:tcPr>
            <w:tcW w:w="10020" w:type="dxa"/>
            <w:gridSpan w:val="14"/>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6"/>
                <w:szCs w:val="36"/>
                <w:lang w:bidi="ar"/>
              </w:rPr>
              <w:t>部门整体支出绩效自评表</w:t>
            </w:r>
          </w:p>
        </w:tc>
      </w:tr>
      <w:tr>
        <w:tblPrEx>
          <w:tblCellMar>
            <w:top w:w="0" w:type="dxa"/>
            <w:left w:w="108" w:type="dxa"/>
            <w:bottom w:w="0" w:type="dxa"/>
            <w:right w:w="108" w:type="dxa"/>
          </w:tblCellMar>
        </w:tblPrEx>
        <w:trPr>
          <w:trHeight w:val="350" w:hRule="atLeast"/>
          <w:jc w:val="center"/>
        </w:trPr>
        <w:tc>
          <w:tcPr>
            <w:tcW w:w="10020" w:type="dxa"/>
            <w:gridSpan w:val="14"/>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340" w:hRule="atLeast"/>
          <w:jc w:val="center"/>
        </w:trPr>
        <w:tc>
          <w:tcPr>
            <w:tcW w:w="271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部门（单位）名称</w:t>
            </w:r>
          </w:p>
        </w:tc>
        <w:tc>
          <w:tcPr>
            <w:tcW w:w="73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商洛市民政局</w:t>
            </w:r>
          </w:p>
        </w:tc>
      </w:tr>
      <w:tr>
        <w:tblPrEx>
          <w:tblCellMar>
            <w:top w:w="0" w:type="dxa"/>
            <w:left w:w="108" w:type="dxa"/>
            <w:bottom w:w="0" w:type="dxa"/>
            <w:right w:w="108" w:type="dxa"/>
          </w:tblCellMar>
        </w:tblPrEx>
        <w:trPr>
          <w:trHeight w:val="340" w:hRule="atLeast"/>
          <w:jc w:val="center"/>
        </w:trPr>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年度主要任务完成情况</w:t>
            </w:r>
          </w:p>
        </w:tc>
        <w:tc>
          <w:tcPr>
            <w:tcW w:w="69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任务名称</w:t>
            </w:r>
          </w:p>
        </w:tc>
        <w:tc>
          <w:tcPr>
            <w:tcW w:w="15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主要内容</w:t>
            </w:r>
          </w:p>
        </w:tc>
        <w:tc>
          <w:tcPr>
            <w:tcW w:w="83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完成情况</w:t>
            </w:r>
          </w:p>
        </w:tc>
        <w:tc>
          <w:tcPr>
            <w:tcW w:w="224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全年预算数（万元）</w:t>
            </w:r>
          </w:p>
        </w:tc>
        <w:tc>
          <w:tcPr>
            <w:tcW w:w="236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全年执行数（万元）</w:t>
            </w:r>
          </w:p>
        </w:tc>
        <w:tc>
          <w:tcPr>
            <w:tcW w:w="45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950"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执行率</w:t>
            </w:r>
          </w:p>
        </w:tc>
        <w:tc>
          <w:tcPr>
            <w:tcW w:w="46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r>
      <w:tr>
        <w:tblPrEx>
          <w:tblCellMar>
            <w:top w:w="0" w:type="dxa"/>
            <w:left w:w="108" w:type="dxa"/>
            <w:bottom w:w="0" w:type="dxa"/>
            <w:right w:w="108" w:type="dxa"/>
          </w:tblCellMar>
        </w:tblPrEx>
        <w:trPr>
          <w:trHeight w:val="34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83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8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总额</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财政拨款</w:t>
            </w:r>
          </w:p>
        </w:tc>
        <w:tc>
          <w:tcPr>
            <w:tcW w:w="5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其他资金</w:t>
            </w:r>
          </w:p>
        </w:tc>
        <w:tc>
          <w:tcPr>
            <w:tcW w:w="8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总额</w:t>
            </w:r>
          </w:p>
        </w:tc>
        <w:tc>
          <w:tcPr>
            <w:tcW w:w="9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财政拨款</w:t>
            </w:r>
          </w:p>
        </w:tc>
        <w:tc>
          <w:tcPr>
            <w:tcW w:w="5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其他资金</w:t>
            </w:r>
          </w:p>
        </w:tc>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95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46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r>
      <w:tr>
        <w:tblPrEx>
          <w:tblCellMar>
            <w:top w:w="0" w:type="dxa"/>
            <w:left w:w="108" w:type="dxa"/>
            <w:bottom w:w="0" w:type="dxa"/>
            <w:right w:w="108" w:type="dxa"/>
          </w:tblCellMar>
        </w:tblPrEx>
        <w:trPr>
          <w:trHeight w:val="34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任务1</w:t>
            </w:r>
          </w:p>
        </w:tc>
        <w:tc>
          <w:tcPr>
            <w:tcW w:w="154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按照民政事业发展规划战略要求，进一步完善养老服务体系，倡导现代社会治理体系建设，高质量加快推进儿童福利保障体系，深化殡葬服务，做好婚姻登记，深化社区治理，充分发挥社会组织，做好行政区域调整，充分运用资金，加强各类民政服务设施建设，稳步提升养老、儿童福利、婚姻、殡葬、区划地名、流浪乞讨人员救助、残疾人福利、慈善等服务水平。</w:t>
            </w:r>
          </w:p>
        </w:tc>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完成</w:t>
            </w:r>
          </w:p>
        </w:tc>
        <w:tc>
          <w:tcPr>
            <w:tcW w:w="87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5228.8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5228.8</w:t>
            </w:r>
          </w:p>
        </w:tc>
        <w:tc>
          <w:tcPr>
            <w:tcW w:w="56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8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5594.48</w:t>
            </w:r>
          </w:p>
        </w:tc>
        <w:tc>
          <w:tcPr>
            <w:tcW w:w="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5594.48</w:t>
            </w:r>
          </w:p>
        </w:tc>
        <w:tc>
          <w:tcPr>
            <w:tcW w:w="51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4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c>
          <w:tcPr>
            <w:tcW w:w="95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106.99%</w:t>
            </w:r>
          </w:p>
        </w:tc>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bidi="ar"/>
              </w:rPr>
              <w:t>10</w:t>
            </w:r>
          </w:p>
        </w:tc>
      </w:tr>
      <w:tr>
        <w:tblPrEx>
          <w:tblCellMar>
            <w:top w:w="0" w:type="dxa"/>
            <w:left w:w="108" w:type="dxa"/>
            <w:bottom w:w="0" w:type="dxa"/>
            <w:right w:w="108" w:type="dxa"/>
          </w:tblCellMar>
        </w:tblPrEx>
        <w:trPr>
          <w:trHeight w:val="34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3078"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金额合计</w:t>
            </w:r>
          </w:p>
        </w:tc>
        <w:tc>
          <w:tcPr>
            <w:tcW w:w="87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5228.8</w:t>
            </w:r>
          </w:p>
        </w:tc>
        <w:tc>
          <w:tcPr>
            <w:tcW w:w="80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5228.8</w:t>
            </w:r>
          </w:p>
        </w:tc>
        <w:tc>
          <w:tcPr>
            <w:tcW w:w="565"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8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5594.48</w:t>
            </w:r>
          </w:p>
        </w:tc>
        <w:tc>
          <w:tcPr>
            <w:tcW w:w="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r>
              <w:rPr>
                <w:rFonts w:hint="eastAsia" w:ascii="宋体" w:hAnsi="宋体" w:cs="宋体"/>
                <w:color w:val="000000"/>
                <w:sz w:val="18"/>
                <w:szCs w:val="18"/>
              </w:rPr>
              <w:t>5594.48</w:t>
            </w:r>
          </w:p>
        </w:tc>
        <w:tc>
          <w:tcPr>
            <w:tcW w:w="512"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4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95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106.99%</w:t>
            </w:r>
          </w:p>
        </w:tc>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w:t>
            </w:r>
          </w:p>
        </w:tc>
      </w:tr>
      <w:tr>
        <w:tblPrEx>
          <w:tblCellMar>
            <w:top w:w="0" w:type="dxa"/>
            <w:left w:w="108" w:type="dxa"/>
            <w:bottom w:w="0" w:type="dxa"/>
            <w:right w:w="108" w:type="dxa"/>
          </w:tblCellMar>
        </w:tblPrEx>
        <w:trPr>
          <w:trHeight w:val="340" w:hRule="atLeast"/>
          <w:jc w:val="center"/>
        </w:trPr>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年度总体目标完成情况</w:t>
            </w:r>
          </w:p>
        </w:tc>
        <w:tc>
          <w:tcPr>
            <w:tcW w:w="5324"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预期目标（年初设定）</w:t>
            </w:r>
          </w:p>
        </w:tc>
        <w:tc>
          <w:tcPr>
            <w:tcW w:w="422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目标实际完成情况</w:t>
            </w:r>
          </w:p>
        </w:tc>
      </w:tr>
      <w:tr>
        <w:tblPrEx>
          <w:tblCellMar>
            <w:top w:w="0" w:type="dxa"/>
            <w:left w:w="108" w:type="dxa"/>
            <w:bottom w:w="0" w:type="dxa"/>
            <w:right w:w="108" w:type="dxa"/>
          </w:tblCellMar>
        </w:tblPrEx>
        <w:trPr>
          <w:trHeight w:val="100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5324"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1.加强城乡居民最低生活保障、特困人员救助供养、临时救助、生活无着流浪乞讨人员救助工作。</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2.推动城乡社区治理体系和治理能力建设，加强城乡社区服务体系建设，及时足额发放社区工作者薪酬待遇。</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3.推进全市婚俗和殡葬改革，推进全市养老服务体系建设工作。</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4.做好老年人和特殊困难群体社会福利和权益的保障工作，推进残疾人福利保障工作。</w:t>
            </w:r>
          </w:p>
        </w:tc>
        <w:tc>
          <w:tcPr>
            <w:tcW w:w="4228"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1.加强城乡居民最低生活保障、特困人员救助供养、临时救助、生活无着流浪乞讨人员救助工作。</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2.推动城乡社区治理体系和治理能力建设，加强城乡社区服务体系建设，及时足额发放社区工作者薪酬待遇。</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3.推进全市婚俗和殡葬改革，推进全市养老服务体系建设工作。</w:t>
            </w:r>
          </w:p>
          <w:p>
            <w:pPr>
              <w:keepNext w:val="0"/>
              <w:keepLines w:val="0"/>
              <w:suppressLineNumbers w:val="0"/>
              <w:spacing w:before="0" w:beforeAutospacing="0" w:after="0" w:afterAutospacing="0"/>
              <w:ind w:left="0" w:right="0"/>
              <w:jc w:val="left"/>
              <w:rPr>
                <w:rFonts w:hint="eastAsia" w:ascii="宋体" w:hAnsi="宋体" w:cs="宋体"/>
                <w:color w:val="000000"/>
                <w:sz w:val="18"/>
                <w:szCs w:val="18"/>
              </w:rPr>
            </w:pPr>
            <w:r>
              <w:rPr>
                <w:rFonts w:hint="eastAsia" w:ascii="宋体" w:hAnsi="宋体" w:cs="宋体"/>
                <w:color w:val="000000"/>
                <w:sz w:val="18"/>
                <w:szCs w:val="18"/>
              </w:rPr>
              <w:t>4.做好老年人和特殊困难群体社会福利和权益的保障工作，推进残疾人福利保障工作。</w:t>
            </w:r>
          </w:p>
        </w:tc>
      </w:tr>
      <w:tr>
        <w:tblPrEx>
          <w:tblCellMar>
            <w:top w:w="0" w:type="dxa"/>
            <w:left w:w="108" w:type="dxa"/>
            <w:bottom w:w="0" w:type="dxa"/>
            <w:right w:w="108" w:type="dxa"/>
          </w:tblCellMar>
        </w:tblPrEx>
        <w:trPr>
          <w:trHeight w:val="629" w:hRule="atLeast"/>
          <w:jc w:val="center"/>
        </w:trPr>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年度绩效指标完成情况</w:t>
            </w:r>
          </w:p>
        </w:tc>
        <w:tc>
          <w:tcPr>
            <w:tcW w:w="6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w:t>
            </w:r>
          </w:p>
        </w:tc>
        <w:tc>
          <w:tcPr>
            <w:tcW w:w="1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二级指标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指标内容</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年度指标值</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实际完成值</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（50分）</w:t>
            </w:r>
          </w:p>
        </w:tc>
        <w:tc>
          <w:tcPr>
            <w:tcW w:w="1548"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6"/>
                <w:szCs w:val="16"/>
                <w:u w:val="none"/>
                <w:lang w:val="en-US" w:eastAsia="zh-CN" w:bidi="ar"/>
              </w:rPr>
              <w:t>困难残疾人生活补贴和重度残疾人护理补贴对象</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≥10.8万人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≥10.8万人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1548"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6"/>
                <w:szCs w:val="16"/>
                <w:u w:val="none"/>
                <w:lang w:val="en-US" w:eastAsia="zh-CN" w:bidi="ar"/>
              </w:rPr>
              <w:t>保障农村特困人员供养服务机构聘用人员</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≥300人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≥300人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1548"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6"/>
                <w:szCs w:val="16"/>
                <w:u w:val="none"/>
                <w:lang w:val="en-US" w:eastAsia="zh-CN" w:bidi="ar"/>
              </w:rPr>
              <w:t>事实无人抚养儿童对象</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≥380人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≥380人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1548"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6"/>
                <w:szCs w:val="16"/>
                <w:u w:val="none"/>
                <w:lang w:val="en-US" w:eastAsia="zh-CN" w:bidi="ar"/>
              </w:rPr>
              <w:t>严重精神障碍患者监护对象</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≥2500人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≥2500人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1548"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6"/>
                <w:szCs w:val="16"/>
                <w:u w:val="none"/>
                <w:lang w:val="en-US" w:eastAsia="zh-CN" w:bidi="ar"/>
              </w:rPr>
              <w:t>保障城镇社区工作数量</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≥204个</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≥204个</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1548"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保障城镇社区“两委”人员数量</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≧1200人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≧1200人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i w:val="0"/>
                <w:iCs w:val="0"/>
                <w:color w:val="000000"/>
                <w:kern w:val="0"/>
                <w:sz w:val="18"/>
                <w:szCs w:val="18"/>
                <w:u w:val="none"/>
                <w:lang w:val="en-US" w:eastAsia="zh-CN" w:bidi="ar"/>
              </w:rPr>
              <w:t>5</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资金发放准确率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95%</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94%</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时效指标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资金发放及时率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100%</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100%</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3</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3</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项目完成时间</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12月底前</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12月底前</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2</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2</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效益指标（30分）</w:t>
            </w:r>
          </w:p>
        </w:tc>
        <w:tc>
          <w:tcPr>
            <w:tcW w:w="1548"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社会效益指标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项目受益人数</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≥11.2万人</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≥11.2万人</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民政政策知晓率提升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4%</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i w:val="0"/>
                <w:iCs w:val="0"/>
                <w:color w:val="000000"/>
                <w:kern w:val="0"/>
                <w:sz w:val="18"/>
                <w:szCs w:val="18"/>
                <w:u w:val="none"/>
                <w:lang w:val="en-US" w:eastAsia="zh-CN" w:bidi="ar"/>
              </w:rPr>
              <w:t>9</w:t>
            </w:r>
          </w:p>
        </w:tc>
      </w:tr>
      <w:tr>
        <w:tblPrEx>
          <w:tblCellMar>
            <w:top w:w="0" w:type="dxa"/>
            <w:left w:w="108" w:type="dxa"/>
            <w:bottom w:w="0" w:type="dxa"/>
            <w:right w:w="108" w:type="dxa"/>
          </w:tblCellMar>
        </w:tblPrEx>
        <w:trPr>
          <w:trHeight w:val="33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1548"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cs="宋体"/>
                <w:color w:val="000000"/>
                <w:sz w:val="18"/>
                <w:szCs w:val="18"/>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民政工作水平提升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lang w:val="en-US"/>
              </w:rPr>
            </w:pPr>
            <w:r>
              <w:rPr>
                <w:rFonts w:hint="eastAsia" w:ascii="宋体" w:hAnsi="宋体" w:cs="宋体"/>
                <w:i w:val="0"/>
                <w:iCs w:val="0"/>
                <w:color w:val="000000"/>
                <w:kern w:val="0"/>
                <w:sz w:val="18"/>
                <w:szCs w:val="18"/>
                <w:u w:val="none"/>
                <w:lang w:val="en-US" w:eastAsia="zh-CN" w:bidi="ar"/>
              </w:rPr>
              <w:t>10</w:t>
            </w:r>
          </w:p>
        </w:tc>
      </w:tr>
      <w:tr>
        <w:tblPrEx>
          <w:tblCellMar>
            <w:top w:w="0" w:type="dxa"/>
            <w:left w:w="108" w:type="dxa"/>
            <w:bottom w:w="0" w:type="dxa"/>
            <w:right w:w="108" w:type="dxa"/>
          </w:tblCellMar>
        </w:tblPrEx>
        <w:trPr>
          <w:trHeight w:val="78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（10分）</w:t>
            </w:r>
          </w:p>
        </w:tc>
        <w:tc>
          <w:tcPr>
            <w:tcW w:w="1548"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服务对象满意度指标</w:t>
            </w: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群众满意率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≥90%</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≥89%</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4</w:t>
            </w:r>
          </w:p>
        </w:tc>
      </w:tr>
      <w:tr>
        <w:tblPrEx>
          <w:tblCellMar>
            <w:top w:w="0" w:type="dxa"/>
            <w:left w:w="108" w:type="dxa"/>
            <w:bottom w:w="0" w:type="dxa"/>
            <w:right w:w="108" w:type="dxa"/>
          </w:tblCellMar>
        </w:tblPrEx>
        <w:trPr>
          <w:trHeight w:val="780" w:hRule="atLeast"/>
          <w:jc w:val="center"/>
        </w:trPr>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18"/>
                <w:szCs w:val="18"/>
              </w:rPr>
            </w:pPr>
          </w:p>
        </w:tc>
        <w:tc>
          <w:tcPr>
            <w:tcW w:w="699"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1548"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p>
        </w:tc>
        <w:tc>
          <w:tcPr>
            <w:tcW w:w="25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保障对象满意率</w:t>
            </w:r>
          </w:p>
        </w:tc>
        <w:tc>
          <w:tcPr>
            <w:tcW w:w="14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≥90%</w:t>
            </w:r>
          </w:p>
        </w:tc>
        <w:tc>
          <w:tcPr>
            <w:tcW w:w="14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6"/>
                <w:szCs w:val="16"/>
                <w:u w:val="none"/>
                <w:lang w:val="en-US" w:eastAsia="zh-CN" w:bidi="ar"/>
              </w:rPr>
              <w:t>≥90%</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5</w:t>
            </w:r>
          </w:p>
        </w:tc>
      </w:tr>
      <w:tr>
        <w:tblPrEx>
          <w:tblCellMar>
            <w:top w:w="0" w:type="dxa"/>
            <w:left w:w="108" w:type="dxa"/>
            <w:bottom w:w="0" w:type="dxa"/>
            <w:right w:w="108" w:type="dxa"/>
          </w:tblCellMar>
        </w:tblPrEx>
        <w:trPr>
          <w:trHeight w:val="330" w:hRule="atLeast"/>
          <w:jc w:val="center"/>
        </w:trPr>
        <w:tc>
          <w:tcPr>
            <w:tcW w:w="8154" w:type="dxa"/>
            <w:gridSpan w:val="10"/>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总分</w:t>
            </w:r>
          </w:p>
        </w:tc>
        <w:tc>
          <w:tcPr>
            <w:tcW w:w="850" w:type="dxa"/>
            <w:gridSpan w:val="2"/>
            <w:tcBorders>
              <w:top w:val="single" w:color="000000" w:sz="4" w:space="0"/>
              <w:left w:val="single" w:color="000000"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0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97</w:t>
            </w:r>
          </w:p>
        </w:tc>
      </w:tr>
    </w:tbl>
    <w:p>
      <w:pPr>
        <w:widowControl/>
        <w:spacing w:line="560" w:lineRule="exact"/>
        <w:ind w:firstLine="640" w:firstLineChars="200"/>
        <w:jc w:val="left"/>
        <w:rPr>
          <w:rFonts w:hint="eastAsia" w:ascii="楷体_GB2312" w:hAnsi="宋体" w:eastAsia="楷体_GB2312" w:cs="楷体_GB2312"/>
          <w:bCs/>
          <w:color w:val="000000"/>
          <w:kern w:val="0"/>
          <w:sz w:val="32"/>
          <w:szCs w:val="32"/>
        </w:rPr>
      </w:pPr>
    </w:p>
    <w:p>
      <w:pPr>
        <w:widowControl/>
        <w:ind w:firstLine="640"/>
        <w:jc w:val="left"/>
        <w:rPr>
          <w:rFonts w:hint="eastAsia"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（三）项目绩效自评结果</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本部门在部门决算中反映商洛市民政局等4个一级项目的绩效自评结果。</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具体见下：</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en-US"/>
        </w:rPr>
        <w:t>1.</w:t>
      </w:r>
      <w:r>
        <w:rPr>
          <w:rFonts w:hint="eastAsia" w:ascii="仿宋_GB2312" w:hAnsi="仿宋_GB2312" w:eastAsia="仿宋_GB2312" w:cs="仿宋_GB2312"/>
          <w:sz w:val="32"/>
          <w:szCs w:val="32"/>
          <w:highlight w:val="none"/>
          <w:lang w:val="en-US" w:eastAsia="zh-CN"/>
        </w:rPr>
        <w:t>商洛市残疾人两项补贴项目绩效自评综述：全年预算数1165万元，执行数1149.75万元，完成预算的90.1%。</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项目绩效目标完成情况：2022年我局全面完成了项目绩效目标，确保了市场安全，有效的保证了人民群众生命财产安全。</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产出指标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数量指标：完成我市10.8万余残疾人补助保障。</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质量指标：资金发放准确率100%，全面完成年初计划。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时效指标：按时完成率年度指标值为100%，实际完成值为100%，全面完成年初计划。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成本指标：残疾人两项补贴专项控制数年度指标值为1165万元，实际完成值为1049.75万元，未超年初计划。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效益指标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社会效益指标：残疾人两项补贴领域重大以上安全事故及重大舆情发生，全面完成年初计划。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服务对象满意度指标：满意度年度指标值为90%，实际完成指标值为90%，全面完成年初任务。</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发现的问题及原因：</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问题：2022年度市级配套资金下拨进度稍慢，个别县区反映因上级资金拨付不到位，出现资金缺口，影响及时发放。    原因：受疫情影响我局安全领域专项整顿、督查和培训活动有所减少，导致专项资金执行率不高，未达到预期目的。</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rPr>
      </w:pPr>
      <w:r>
        <w:rPr>
          <w:rFonts w:hint="eastAsia" w:ascii="仿宋_GB2312" w:hAnsi="仿宋_GB2312" w:eastAsia="仿宋_GB2312" w:cs="仿宋_GB2312"/>
          <w:sz w:val="32"/>
          <w:szCs w:val="32"/>
          <w:highlight w:val="none"/>
          <w:lang w:val="en-US" w:eastAsia="zh-CN"/>
        </w:rPr>
        <w:t>下一步改进措施：2023年我局将继续加大工作力度，深层次开展专项整顿活动和业务培训活动，确保我市残疾人两项补贴工作顺利实施。</w:t>
      </w:r>
    </w:p>
    <w:tbl>
      <w:tblPr>
        <w:tblStyle w:val="6"/>
        <w:tblpPr w:leftFromText="180" w:rightFromText="180" w:vertAnchor="text" w:horzAnchor="page" w:tblpX="1690" w:tblpY="290"/>
        <w:tblOverlap w:val="never"/>
        <w:tblW w:w="9214" w:type="dxa"/>
        <w:tblInd w:w="0" w:type="dxa"/>
        <w:tblLayout w:type="fixed"/>
        <w:tblCellMar>
          <w:top w:w="0" w:type="dxa"/>
          <w:left w:w="108" w:type="dxa"/>
          <w:bottom w:w="0" w:type="dxa"/>
          <w:right w:w="108" w:type="dxa"/>
        </w:tblCellMar>
      </w:tblPr>
      <w:tblGrid>
        <w:gridCol w:w="960"/>
        <w:gridCol w:w="825"/>
        <w:gridCol w:w="1515"/>
        <w:gridCol w:w="405"/>
        <w:gridCol w:w="686"/>
        <w:gridCol w:w="1272"/>
        <w:gridCol w:w="1098"/>
        <w:gridCol w:w="606"/>
        <w:gridCol w:w="604"/>
        <w:gridCol w:w="312"/>
        <w:gridCol w:w="931"/>
      </w:tblGrid>
      <w:tr>
        <w:tblPrEx>
          <w:tblCellMar>
            <w:top w:w="0" w:type="dxa"/>
            <w:left w:w="108" w:type="dxa"/>
            <w:bottom w:w="0" w:type="dxa"/>
            <w:right w:w="108" w:type="dxa"/>
          </w:tblCellMar>
        </w:tblPrEx>
        <w:trPr>
          <w:trHeight w:val="574" w:hRule="atLeast"/>
        </w:trPr>
        <w:tc>
          <w:tcPr>
            <w:tcW w:w="9214" w:type="dxa"/>
            <w:gridSpan w:val="11"/>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6"/>
                <w:szCs w:val="36"/>
                <w:lang w:bidi="ar"/>
              </w:rPr>
              <w:t>市级项目绩效自评表</w:t>
            </w:r>
          </w:p>
        </w:tc>
      </w:tr>
      <w:tr>
        <w:tblPrEx>
          <w:tblCellMar>
            <w:top w:w="0" w:type="dxa"/>
            <w:left w:w="108" w:type="dxa"/>
            <w:bottom w:w="0" w:type="dxa"/>
            <w:right w:w="108" w:type="dxa"/>
          </w:tblCellMar>
        </w:tblPrEx>
        <w:trPr>
          <w:trHeight w:val="310" w:hRule="atLeast"/>
        </w:trPr>
        <w:tc>
          <w:tcPr>
            <w:tcW w:w="9214" w:type="dxa"/>
            <w:gridSpan w:val="11"/>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297" w:hRule="atLeast"/>
        </w:trPr>
        <w:tc>
          <w:tcPr>
            <w:tcW w:w="178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项目名称</w:t>
            </w:r>
          </w:p>
        </w:tc>
        <w:tc>
          <w:tcPr>
            <w:tcW w:w="742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残疾人两项补贴</w:t>
            </w:r>
          </w:p>
        </w:tc>
      </w:tr>
      <w:tr>
        <w:tblPrEx>
          <w:tblCellMar>
            <w:top w:w="0" w:type="dxa"/>
            <w:left w:w="108" w:type="dxa"/>
            <w:bottom w:w="0" w:type="dxa"/>
            <w:right w:w="108" w:type="dxa"/>
          </w:tblCellMar>
        </w:tblPrEx>
        <w:trPr>
          <w:trHeight w:val="301" w:hRule="atLeast"/>
        </w:trPr>
        <w:tc>
          <w:tcPr>
            <w:tcW w:w="178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主管部门</w:t>
            </w:r>
          </w:p>
        </w:tc>
        <w:tc>
          <w:tcPr>
            <w:tcW w:w="387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商洛市民政局</w:t>
            </w:r>
          </w:p>
        </w:tc>
        <w:tc>
          <w:tcPr>
            <w:tcW w:w="170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实施单位</w:t>
            </w:r>
          </w:p>
        </w:tc>
        <w:tc>
          <w:tcPr>
            <w:tcW w:w="1847"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商洛市民政局</w:t>
            </w:r>
          </w:p>
        </w:tc>
      </w:tr>
      <w:tr>
        <w:tblPrEx>
          <w:tblCellMar>
            <w:top w:w="0" w:type="dxa"/>
            <w:left w:w="108" w:type="dxa"/>
            <w:bottom w:w="0" w:type="dxa"/>
            <w:right w:w="108" w:type="dxa"/>
          </w:tblCellMar>
        </w:tblPrEx>
        <w:trPr>
          <w:trHeight w:val="584"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项目资金</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（万元）</w:t>
            </w: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全年预算数（A）</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全年执行数（B）</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执行率（B/A）</w:t>
            </w: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年度资金总额</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1165</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1165</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1049.75</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90.10%</w:t>
            </w: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97</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其中</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bidi="ar"/>
              </w:rPr>
              <w:t>当年财政拨款</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1165</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1165</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1049.75</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90.10%</w:t>
            </w: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上年结转资金</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其</w:t>
            </w:r>
            <w:r>
              <w:rPr>
                <w:rFonts w:hint="eastAsia" w:ascii="宋体" w:hAnsi="宋体" w:cs="宋体"/>
                <w:color w:val="000000"/>
                <w:kern w:val="0"/>
                <w:sz w:val="20"/>
                <w:szCs w:val="20"/>
                <w:lang w:bidi="ar"/>
              </w:rPr>
              <w:t>他资金</w:t>
            </w:r>
          </w:p>
        </w:tc>
        <w:tc>
          <w:tcPr>
            <w:tcW w:w="6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年度总体目标完成情况</w:t>
            </w:r>
          </w:p>
        </w:tc>
        <w:tc>
          <w:tcPr>
            <w:tcW w:w="4703"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预期目标（年初设定）</w:t>
            </w:r>
          </w:p>
        </w:tc>
        <w:tc>
          <w:tcPr>
            <w:tcW w:w="3551"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953"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4703"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确保我市两项补贴按时足额发放</w:t>
            </w:r>
          </w:p>
        </w:tc>
        <w:tc>
          <w:tcPr>
            <w:tcW w:w="3551"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确保了我市残疾人两项补贴的及时足额发放。</w:t>
            </w:r>
          </w:p>
        </w:tc>
      </w:tr>
      <w:tr>
        <w:tblPrEx>
          <w:tblCellMar>
            <w:top w:w="0" w:type="dxa"/>
            <w:left w:w="108" w:type="dxa"/>
            <w:bottom w:w="0" w:type="dxa"/>
            <w:right w:w="108" w:type="dxa"/>
          </w:tblCellMar>
        </w:tblPrEx>
        <w:trPr>
          <w:trHeight w:val="1369"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绩</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w:t>
            </w:r>
          </w:p>
        </w:tc>
        <w:tc>
          <w:tcPr>
            <w:tcW w:w="8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二级</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三级指标</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年度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指标值</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实际</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完成值</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（50分）</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数量指标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两项补贴对象</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≥10.8万人</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≥10.8万人</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13</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上年预测数据和本年度实际保障数据有偏差</w:t>
            </w: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质量指标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资金发放准确率</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时效指标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项目完成时间</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12月底前</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12月底前</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7352"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成本指标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市级配套标准</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难残疾人生活补贴标准18岁以下（不含18岁）每人每月100元，18岁及以上每人每月60元。重度残疾人护理补贴标准为一级残疾人120元/人/月，二级残疾人80元/人/月.所需资金由省、市、县三级财政按照5:1:4比例预算安排</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难残疾人生活补贴标准18岁以下（不含18岁）每人每月100元，18岁及以上每人每月60元。重度残疾人护理补贴标准为一级残疾人120元/人/月，二级残疾人80元/人/月.所需资金由省、市、县三级财政按照5:1:4比例预算安排</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1063"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效益指标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（30分）</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社会效益指标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项目受益人数</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≥10.8万人</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≥10.8万人</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800"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（10分）</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1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生活困难和重度护理残疾人满意度</w:t>
            </w:r>
          </w:p>
        </w:tc>
        <w:tc>
          <w:tcPr>
            <w:tcW w:w="127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306" w:hRule="atLeast"/>
        </w:trPr>
        <w:tc>
          <w:tcPr>
            <w:tcW w:w="6761"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总分</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97</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bl>
    <w:p>
      <w:pPr>
        <w:adjustRightInd w:val="0"/>
        <w:snapToGrid w:val="0"/>
        <w:spacing w:line="560" w:lineRule="exact"/>
        <w:rPr>
          <w:rFonts w:hint="eastAsia" w:ascii="仿宋" w:hAnsi="仿宋" w:eastAsia="仿宋" w:cs="仿宋"/>
          <w:sz w:val="32"/>
          <w:szCs w:val="40"/>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en-US"/>
        </w:rPr>
        <w:t>1.</w:t>
      </w:r>
      <w:r>
        <w:rPr>
          <w:rFonts w:hint="eastAsia" w:ascii="仿宋_GB2312" w:hAnsi="仿宋_GB2312" w:eastAsia="仿宋_GB2312" w:cs="仿宋_GB2312"/>
          <w:sz w:val="32"/>
          <w:szCs w:val="32"/>
          <w:highlight w:val="none"/>
          <w:lang w:val="en-US" w:eastAsia="zh-CN"/>
        </w:rPr>
        <w:t>商洛市严重精神障碍患者监护补贴项目绩效自评综述：全年预算数324万元，执行数173.76万元，完成预算的53.6%。</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项目绩效目标完成情况：2022年我局全面完成了项目绩效目标，确保了市场安全，有效的保证了人民群众生命财产安全。</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产出指标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数量指标：完成我市1452人补助保障。</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质量指标：资金发放准确率100%，全面完成年初计划。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时效指标：按时完成率年度指标值为100%，实际完成值为100%，全面完成年初计划。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成本指标：严重精神障碍患者监护补贴专项控制数年度指标值为324万元，实际完成值为173.76万元，未超年初计划。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效益指标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社会效益指标：严重精神障碍患者监护补贴领域重大以上安全事故及重大舆情发生，全面完成年初计划。</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服务对象满意度指标：满意度年度指标值为90%，实际完成指标值为90%，全面完成年初任务。</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发现的问题及原因：</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问题：2022年度部门数据录入不及时，未能提供完整数据，影响及时发放。</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原因：受疫情影响，与相关部门对接有所减少，导致专项资金执行率不高，未达到预期目的。</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下一步改进措施：2023年我局将继续加大工作力度，加强部门合作，确保我市严重精神障碍患者监护补贴工作顺利实施。</w:t>
      </w:r>
    </w:p>
    <w:tbl>
      <w:tblPr>
        <w:tblStyle w:val="6"/>
        <w:tblpPr w:leftFromText="180" w:rightFromText="180" w:vertAnchor="text" w:horzAnchor="page" w:tblpX="1690" w:tblpY="290"/>
        <w:tblOverlap w:val="never"/>
        <w:tblW w:w="9214" w:type="dxa"/>
        <w:tblInd w:w="0" w:type="dxa"/>
        <w:tblLayout w:type="fixed"/>
        <w:tblCellMar>
          <w:top w:w="0" w:type="dxa"/>
          <w:left w:w="108" w:type="dxa"/>
          <w:bottom w:w="0" w:type="dxa"/>
          <w:right w:w="108" w:type="dxa"/>
        </w:tblCellMar>
      </w:tblPr>
      <w:tblGrid>
        <w:gridCol w:w="960"/>
        <w:gridCol w:w="825"/>
        <w:gridCol w:w="1515"/>
        <w:gridCol w:w="405"/>
        <w:gridCol w:w="859"/>
        <w:gridCol w:w="1099"/>
        <w:gridCol w:w="1098"/>
        <w:gridCol w:w="606"/>
        <w:gridCol w:w="604"/>
        <w:gridCol w:w="312"/>
        <w:gridCol w:w="931"/>
      </w:tblGrid>
      <w:tr>
        <w:tblPrEx>
          <w:tblCellMar>
            <w:top w:w="0" w:type="dxa"/>
            <w:left w:w="108" w:type="dxa"/>
            <w:bottom w:w="0" w:type="dxa"/>
            <w:right w:w="108" w:type="dxa"/>
          </w:tblCellMar>
        </w:tblPrEx>
        <w:trPr>
          <w:trHeight w:val="574" w:hRule="atLeast"/>
        </w:trPr>
        <w:tc>
          <w:tcPr>
            <w:tcW w:w="9214" w:type="dxa"/>
            <w:gridSpan w:val="11"/>
            <w:tcBorders>
              <w:top w:val="nil"/>
              <w:left w:val="nil"/>
              <w:bottom w:val="nil"/>
              <w:right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6"/>
                <w:szCs w:val="36"/>
                <w:lang w:bidi="ar"/>
              </w:rPr>
              <w:t>市级项目绩效自评表</w:t>
            </w:r>
          </w:p>
        </w:tc>
      </w:tr>
      <w:tr>
        <w:tblPrEx>
          <w:tblCellMar>
            <w:top w:w="0" w:type="dxa"/>
            <w:left w:w="108" w:type="dxa"/>
            <w:bottom w:w="0" w:type="dxa"/>
            <w:right w:w="108" w:type="dxa"/>
          </w:tblCellMar>
        </w:tblPrEx>
        <w:trPr>
          <w:trHeight w:val="310" w:hRule="atLeast"/>
        </w:trPr>
        <w:tc>
          <w:tcPr>
            <w:tcW w:w="9214" w:type="dxa"/>
            <w:gridSpan w:val="11"/>
            <w:tcBorders>
              <w:top w:val="nil"/>
              <w:left w:val="nil"/>
              <w:bottom w:val="nil"/>
              <w:right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297" w:hRule="atLeast"/>
        </w:trPr>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项目名称</w:t>
            </w:r>
          </w:p>
        </w:tc>
        <w:tc>
          <w:tcPr>
            <w:tcW w:w="7429"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严重精神障碍患者监护补贴</w:t>
            </w:r>
          </w:p>
        </w:tc>
      </w:tr>
      <w:tr>
        <w:tblPrEx>
          <w:tblCellMar>
            <w:top w:w="0" w:type="dxa"/>
            <w:left w:w="108" w:type="dxa"/>
            <w:bottom w:w="0" w:type="dxa"/>
            <w:right w:w="108" w:type="dxa"/>
          </w:tblCellMar>
        </w:tblPrEx>
        <w:trPr>
          <w:trHeight w:val="301" w:hRule="atLeast"/>
        </w:trPr>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主管部门</w:t>
            </w:r>
          </w:p>
        </w:tc>
        <w:tc>
          <w:tcPr>
            <w:tcW w:w="387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商洛市政法委</w:t>
            </w:r>
          </w:p>
        </w:tc>
        <w:tc>
          <w:tcPr>
            <w:tcW w:w="17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实施单位</w:t>
            </w:r>
          </w:p>
        </w:tc>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商洛市民政局</w:t>
            </w:r>
          </w:p>
        </w:tc>
      </w:tr>
      <w:tr>
        <w:tblPrEx>
          <w:tblCellMar>
            <w:top w:w="0" w:type="dxa"/>
            <w:left w:w="108" w:type="dxa"/>
            <w:bottom w:w="0" w:type="dxa"/>
            <w:right w:w="108" w:type="dxa"/>
          </w:tblCellMar>
        </w:tblPrEx>
        <w:trPr>
          <w:trHeight w:val="584"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项目资金</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（万元）</w:t>
            </w: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年初预算数</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全年预算数（A）</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全年执行数（B）</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执行率（B/A）</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年度资金总额</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324</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324</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173.76</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53.60%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95</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324</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324</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173.76</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53.60%</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上年结转资金</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其他资金</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年度总体目标完成情况</w:t>
            </w:r>
          </w:p>
        </w:tc>
        <w:tc>
          <w:tcPr>
            <w:tcW w:w="470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预期目标（年初设定）</w:t>
            </w:r>
          </w:p>
        </w:tc>
        <w:tc>
          <w:tcPr>
            <w:tcW w:w="3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300"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470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确保我市严重精神障碍患者监护补贴按时足额发放</w:t>
            </w:r>
          </w:p>
        </w:tc>
        <w:tc>
          <w:tcPr>
            <w:tcW w:w="3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经过与市公安和市卫健委数据比对去重，确保了录入系统严重精神障碍患者监护补贴的及时足额发放。</w:t>
            </w:r>
          </w:p>
        </w:tc>
      </w:tr>
      <w:tr>
        <w:tblPrEx>
          <w:tblCellMar>
            <w:top w:w="0" w:type="dxa"/>
            <w:left w:w="108" w:type="dxa"/>
            <w:bottom w:w="0" w:type="dxa"/>
            <w:right w:w="108" w:type="dxa"/>
          </w:tblCellMar>
        </w:tblPrEx>
        <w:trPr>
          <w:trHeight w:val="870" w:hRule="atLeast"/>
        </w:trPr>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绩</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二级</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三级指标</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年度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指标值</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实际</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完成值</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数量指标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严重精神障碍患者监护对象</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≥2500人</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≥1452人</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2022年丹凤县卫健委未及时录入符合条件的患者，该部分补贴由县级自行解决</w:t>
            </w: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质量指标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资金发放准确率</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时效指标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项目完成时间</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12月底前</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12月底前</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成本指标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市级配套标准</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100/人/月</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100/人/月</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效益指标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社会效益指标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项目受益人数</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≥2500人</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≥1452人</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1013"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严重精神障碍患者监护人满意度</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306" w:hRule="atLeast"/>
        </w:trPr>
        <w:tc>
          <w:tcPr>
            <w:tcW w:w="676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总分</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100</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95</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bl>
    <w:p>
      <w:pPr>
        <w:numPr>
          <w:ilvl w:val="0"/>
          <w:numId w:val="0"/>
        </w:numPr>
        <w:adjustRightInd w:val="0"/>
        <w:snapToGrid w:val="0"/>
        <w:spacing w:line="560" w:lineRule="exact"/>
        <w:ind w:firstLine="640" w:firstLineChars="200"/>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en-US"/>
        </w:rPr>
      </w:pPr>
      <w:r>
        <w:rPr>
          <w:rFonts w:hint="eastAsia" w:ascii="仿宋_GB2312" w:hAnsi="仿宋_GB2312" w:eastAsia="仿宋_GB2312" w:cs="仿宋_GB2312"/>
          <w:sz w:val="32"/>
          <w:szCs w:val="32"/>
          <w:highlight w:val="none"/>
          <w:lang w:val="en-US" w:eastAsia="zh-CN"/>
        </w:rPr>
        <w:t>1.严重精神障碍患者监护补贴项</w:t>
      </w:r>
      <w:r>
        <w:rPr>
          <w:rFonts w:hint="eastAsia" w:ascii="仿宋_GB2312" w:hAnsi="仿宋_GB2312" w:eastAsia="仿宋_GB2312" w:cs="仿宋_GB2312"/>
          <w:sz w:val="32"/>
          <w:szCs w:val="32"/>
          <w:highlight w:val="none"/>
          <w:lang w:val="en-US" w:eastAsia="en-US"/>
        </w:rPr>
        <w:t>目绩效自评综述</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en-US"/>
        </w:rPr>
        <w:t>全年预算数</w:t>
      </w:r>
      <w:r>
        <w:rPr>
          <w:rFonts w:hint="eastAsia" w:ascii="仿宋_GB2312" w:hAnsi="仿宋_GB2312" w:eastAsia="仿宋_GB2312" w:cs="仿宋_GB2312"/>
          <w:sz w:val="32"/>
          <w:szCs w:val="32"/>
          <w:highlight w:val="none"/>
          <w:lang w:val="en-US" w:eastAsia="zh-CN"/>
        </w:rPr>
        <w:t>1085.2</w:t>
      </w:r>
      <w:r>
        <w:rPr>
          <w:rFonts w:hint="eastAsia" w:ascii="仿宋_GB2312" w:hAnsi="仿宋_GB2312" w:eastAsia="仿宋_GB2312" w:cs="仿宋_GB2312"/>
          <w:sz w:val="32"/>
          <w:szCs w:val="32"/>
          <w:highlight w:val="none"/>
          <w:lang w:val="en-US" w:eastAsia="en-US"/>
        </w:rPr>
        <w:t>万元，执行数</w:t>
      </w:r>
      <w:r>
        <w:rPr>
          <w:rFonts w:hint="eastAsia" w:ascii="仿宋_GB2312" w:hAnsi="仿宋_GB2312" w:eastAsia="仿宋_GB2312" w:cs="仿宋_GB2312"/>
          <w:sz w:val="32"/>
          <w:szCs w:val="32"/>
          <w:highlight w:val="none"/>
          <w:lang w:val="en-US" w:eastAsia="zh-CN"/>
        </w:rPr>
        <w:t>1039.49</w:t>
      </w:r>
      <w:r>
        <w:rPr>
          <w:rFonts w:hint="eastAsia" w:ascii="仿宋_GB2312" w:hAnsi="仿宋_GB2312" w:eastAsia="仿宋_GB2312" w:cs="仿宋_GB2312"/>
          <w:sz w:val="32"/>
          <w:szCs w:val="32"/>
          <w:highlight w:val="none"/>
          <w:lang w:val="en-US" w:eastAsia="en-US"/>
        </w:rPr>
        <w:t>万元，完成预算的</w:t>
      </w:r>
      <w:r>
        <w:rPr>
          <w:rFonts w:hint="eastAsia" w:ascii="仿宋_GB2312" w:hAnsi="仿宋_GB2312" w:eastAsia="仿宋_GB2312" w:cs="仿宋_GB2312"/>
          <w:sz w:val="32"/>
          <w:szCs w:val="32"/>
          <w:highlight w:val="none"/>
          <w:lang w:val="en-US" w:eastAsia="zh-CN"/>
        </w:rPr>
        <w:t>96</w:t>
      </w:r>
      <w:r>
        <w:rPr>
          <w:rFonts w:hint="eastAsia" w:ascii="仿宋_GB2312" w:hAnsi="仿宋_GB2312" w:eastAsia="仿宋_GB2312" w:cs="仿宋_GB2312"/>
          <w:sz w:val="32"/>
          <w:szCs w:val="32"/>
          <w:highlight w:val="none"/>
          <w:lang w:val="en-US" w:eastAsia="en-US"/>
        </w:rPr>
        <w:t>%。</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en-US"/>
        </w:rPr>
        <w:t>项目绩效目标完成情况</w:t>
      </w:r>
      <w:r>
        <w:rPr>
          <w:rFonts w:hint="eastAsia" w:ascii="仿宋_GB2312" w:hAnsi="仿宋_GB2312" w:eastAsia="仿宋_GB2312" w:cs="仿宋_GB2312"/>
          <w:sz w:val="32"/>
          <w:szCs w:val="32"/>
          <w:highlight w:val="none"/>
          <w:lang w:val="en-US" w:eastAsia="zh-CN"/>
        </w:rPr>
        <w:t>：2022年我市共有敬老院73个，聘用工作人员947人，收住农村特困人员4363人，其中失能、半失能集中供养对象2059人。根据《陕西省农村五保供养服务机构聘用人员薪酬待遇和运转维护经费保障意见》（陕民发〔2013〕23号)、《商洛市人民政府关于进一步健全特困人员救助供养制度的实施意见》(商政发〔2017〕37号)精神，聘用人员基本工资为1300元/月，生活补贴为1000元/月，聘用年限补贴为20元/月，每续聘一年增加20元，年终一次性加发1个月基本工资，按照与失能、半失能集中供养对象1:3，与其他集中供养对象1:10的比例配备工作人员；机构运转维护经费按每集中供养一名农村特困人员资助1200元/年的标准核定。所需资金省、市、县按照3:3:4的比例分担。本次市级分担补助1039.49万元，其中：商州区137.9万元，洛南县94.32万元，丹凤县118.73万元，商南县100.16万元，山阳县242.54万元，镇安县261.63万元，柞水县84.21万元，《商财办预〔2022〕281号》文件已全部下拨至各县区。切实保障了我市特困人员基本生活权益，充分发挥民政工作在“保障民生、维护稳定、促进发展”中的基础作用。</w:t>
      </w:r>
      <w:r>
        <w:rPr>
          <w:rFonts w:hint="default" w:ascii="仿宋_GB2312" w:hAnsi="仿宋_GB2312" w:eastAsia="仿宋_GB2312" w:cs="仿宋_GB2312"/>
          <w:sz w:val="32"/>
          <w:szCs w:val="32"/>
          <w:highlight w:val="none"/>
          <w:lang w:val="en-US" w:eastAsia="zh-CN"/>
        </w:rPr>
        <w:t>确保所有政策规定</w:t>
      </w:r>
      <w:r>
        <w:rPr>
          <w:rFonts w:hint="eastAsia" w:ascii="仿宋_GB2312" w:hAnsi="仿宋_GB2312" w:eastAsia="仿宋_GB2312" w:cs="仿宋_GB2312"/>
          <w:sz w:val="32"/>
          <w:szCs w:val="32"/>
          <w:highlight w:val="none"/>
          <w:lang w:val="en-US" w:eastAsia="zh-CN"/>
        </w:rPr>
        <w:t>的</w:t>
      </w:r>
      <w:r>
        <w:rPr>
          <w:rFonts w:hint="default" w:ascii="仿宋_GB2312" w:hAnsi="仿宋_GB2312" w:eastAsia="仿宋_GB2312" w:cs="仿宋_GB2312"/>
          <w:sz w:val="32"/>
          <w:szCs w:val="32"/>
          <w:highlight w:val="none"/>
          <w:lang w:val="en-US" w:eastAsia="zh-CN"/>
        </w:rPr>
        <w:t>所有服务对象合法权益得到保障，待遇得到落实</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en-US"/>
        </w:rPr>
        <w:t>发现的问题及</w:t>
      </w:r>
      <w:r>
        <w:rPr>
          <w:rFonts w:hint="eastAsia" w:ascii="仿宋_GB2312" w:hAnsi="仿宋_GB2312" w:eastAsia="仿宋_GB2312" w:cs="仿宋_GB2312"/>
          <w:sz w:val="32"/>
          <w:szCs w:val="32"/>
          <w:highlight w:val="none"/>
          <w:lang w:val="en-US" w:eastAsia="zh-CN"/>
        </w:rPr>
        <w:t>措施：</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问题：特困人员供养机构，护理员工资水平偏低、年龄偏大、文化水平不高、护理技能有待提升，对进一步提高特困人员供养机构的发展和整体管理水平产生一定影响。 </w:t>
      </w:r>
    </w:p>
    <w:p>
      <w:pPr>
        <w:keepNext w:val="0"/>
        <w:keepLines w:val="0"/>
        <w:pageBreakBefore w:val="0"/>
        <w:widowControl w:val="0"/>
        <w:kinsoku/>
        <w:wordWrap/>
        <w:overflowPunct/>
        <w:topLinePunct w:val="0"/>
        <w:autoSpaceDE/>
        <w:autoSpaceDN/>
        <w:bidi w:val="0"/>
        <w:adjustRightInd/>
        <w:snapToGrid/>
        <w:spacing w:line="360" w:lineRule="auto"/>
        <w:ind w:firstLine="641"/>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en-US"/>
        </w:rPr>
        <w:t>下一步改进措施</w:t>
      </w:r>
      <w:r>
        <w:rPr>
          <w:rFonts w:hint="eastAsia" w:ascii="仿宋_GB2312" w:hAnsi="仿宋_GB2312" w:eastAsia="仿宋_GB2312" w:cs="仿宋_GB2312"/>
          <w:sz w:val="32"/>
          <w:szCs w:val="32"/>
          <w:highlight w:val="none"/>
          <w:lang w:val="en-US" w:eastAsia="zh-CN"/>
        </w:rPr>
        <w:t>：一是完善农村养老服务网络。实施特困供养服务机构提升改造工程，确保每个县（区）至少建有1所以失能、部分失能特困人员专业照护为主的县级养老服务设施（敬老院）。将服务延伸至农村幸福院和居家老年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highlight w:val="none"/>
          <w:lang w:val="en-US" w:eastAsia="en-US"/>
        </w:rPr>
      </w:pPr>
      <w:r>
        <w:rPr>
          <w:rFonts w:hint="eastAsia" w:ascii="仿宋_GB2312" w:hAnsi="仿宋_GB2312" w:eastAsia="仿宋_GB2312" w:cs="仿宋_GB2312"/>
          <w:sz w:val="32"/>
          <w:szCs w:val="32"/>
          <w:highlight w:val="none"/>
          <w:lang w:val="en-US" w:eastAsia="zh-CN"/>
        </w:rPr>
        <w:t>二是推进特困人员养老服务设施（敬老院）改革创新。以县（区）为单位，推进特困人员养老服务设施（敬老院）体制机制改革，探索县建县管运行机制。推进特困人员养老服务设施（敬老院）运营模式创新。通过委托管理、公建民营等方式，积极引入具备相应条件的企业或社会服务机构，参与运营管理。三是加强人员队伍建设和待遇保障。积极开展养老服务人才培训工作，同时举办全市护理员技能大赛，并督促各县区不断加强养老服务人员队伍建设，强化护理型服务人员配备；完善落实救助供养标准中照料护理标准的制定，落实工作人员薪酬待遇。</w:t>
      </w:r>
    </w:p>
    <w:tbl>
      <w:tblPr>
        <w:tblStyle w:val="6"/>
        <w:tblpPr w:leftFromText="180" w:rightFromText="180" w:vertAnchor="text" w:horzAnchor="page" w:tblpX="1690" w:tblpY="290"/>
        <w:tblOverlap w:val="never"/>
        <w:tblW w:w="9214" w:type="dxa"/>
        <w:tblInd w:w="0" w:type="dxa"/>
        <w:tblLayout w:type="fixed"/>
        <w:tblCellMar>
          <w:top w:w="0" w:type="dxa"/>
          <w:left w:w="108" w:type="dxa"/>
          <w:bottom w:w="0" w:type="dxa"/>
          <w:right w:w="108" w:type="dxa"/>
        </w:tblCellMar>
      </w:tblPr>
      <w:tblGrid>
        <w:gridCol w:w="960"/>
        <w:gridCol w:w="825"/>
        <w:gridCol w:w="1515"/>
        <w:gridCol w:w="405"/>
        <w:gridCol w:w="859"/>
        <w:gridCol w:w="1099"/>
        <w:gridCol w:w="1098"/>
        <w:gridCol w:w="606"/>
        <w:gridCol w:w="604"/>
        <w:gridCol w:w="312"/>
        <w:gridCol w:w="931"/>
      </w:tblGrid>
      <w:tr>
        <w:tblPrEx>
          <w:tblCellMar>
            <w:top w:w="0" w:type="dxa"/>
            <w:left w:w="108" w:type="dxa"/>
            <w:bottom w:w="0" w:type="dxa"/>
            <w:right w:w="108" w:type="dxa"/>
          </w:tblCellMar>
        </w:tblPrEx>
        <w:trPr>
          <w:trHeight w:val="574" w:hRule="atLeast"/>
        </w:trPr>
        <w:tc>
          <w:tcPr>
            <w:tcW w:w="9214" w:type="dxa"/>
            <w:gridSpan w:val="11"/>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6"/>
                <w:szCs w:val="36"/>
                <w:lang w:bidi="ar"/>
              </w:rPr>
              <w:t>市级项目绩效自评表</w:t>
            </w:r>
          </w:p>
        </w:tc>
      </w:tr>
      <w:tr>
        <w:tblPrEx>
          <w:tblCellMar>
            <w:top w:w="0" w:type="dxa"/>
            <w:left w:w="108" w:type="dxa"/>
            <w:bottom w:w="0" w:type="dxa"/>
            <w:right w:w="108" w:type="dxa"/>
          </w:tblCellMar>
        </w:tblPrEx>
        <w:trPr>
          <w:trHeight w:val="310" w:hRule="atLeast"/>
        </w:trPr>
        <w:tc>
          <w:tcPr>
            <w:tcW w:w="9214" w:type="dxa"/>
            <w:gridSpan w:val="11"/>
            <w:tcBorders>
              <w:top w:val="nil"/>
              <w:left w:val="nil"/>
              <w:bottom w:val="nil"/>
              <w:right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297" w:hRule="atLeast"/>
        </w:trPr>
        <w:tc>
          <w:tcPr>
            <w:tcW w:w="178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项目名称</w:t>
            </w:r>
          </w:p>
        </w:tc>
        <w:tc>
          <w:tcPr>
            <w:tcW w:w="742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农村特困人员供养服务机构聘用人员薪酬待遇和运转维护经费</w:t>
            </w:r>
          </w:p>
        </w:tc>
      </w:tr>
      <w:tr>
        <w:tblPrEx>
          <w:tblCellMar>
            <w:top w:w="0" w:type="dxa"/>
            <w:left w:w="108" w:type="dxa"/>
            <w:bottom w:w="0" w:type="dxa"/>
            <w:right w:w="108" w:type="dxa"/>
          </w:tblCellMar>
        </w:tblPrEx>
        <w:trPr>
          <w:trHeight w:val="301" w:hRule="atLeast"/>
        </w:trPr>
        <w:tc>
          <w:tcPr>
            <w:tcW w:w="178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主管部门</w:t>
            </w:r>
          </w:p>
        </w:tc>
        <w:tc>
          <w:tcPr>
            <w:tcW w:w="3878"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市民政局</w:t>
            </w:r>
          </w:p>
        </w:tc>
        <w:tc>
          <w:tcPr>
            <w:tcW w:w="170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实施单位</w:t>
            </w:r>
          </w:p>
        </w:tc>
        <w:tc>
          <w:tcPr>
            <w:tcW w:w="1847"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584"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项目资金</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（万元）</w:t>
            </w: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年初预算数</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全年预算数（A）</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全年执行数（B）</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执行率（B/A）</w:t>
            </w: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年度资金总额</w:t>
            </w:r>
          </w:p>
        </w:tc>
        <w:tc>
          <w:tcPr>
            <w:tcW w:w="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1085.2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1085.2</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1039.49</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96%</w:t>
            </w: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97</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其中</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bidi="ar"/>
              </w:rPr>
              <w:t>当年财政拨款</w:t>
            </w:r>
          </w:p>
        </w:tc>
        <w:tc>
          <w:tcPr>
            <w:tcW w:w="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32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上年结转资金</w:t>
            </w:r>
          </w:p>
        </w:tc>
        <w:tc>
          <w:tcPr>
            <w:tcW w:w="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其</w:t>
            </w:r>
            <w:r>
              <w:rPr>
                <w:rFonts w:hint="eastAsia" w:ascii="宋体" w:hAnsi="宋体" w:cs="宋体"/>
                <w:color w:val="000000"/>
                <w:kern w:val="0"/>
                <w:sz w:val="20"/>
                <w:szCs w:val="20"/>
                <w:lang w:bidi="ar"/>
              </w:rPr>
              <w:t>他资金</w:t>
            </w:r>
          </w:p>
        </w:tc>
        <w:tc>
          <w:tcPr>
            <w:tcW w:w="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0</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c>
          <w:tcPr>
            <w:tcW w:w="91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w:t>
            </w:r>
          </w:p>
        </w:tc>
      </w:tr>
      <w:tr>
        <w:tblPrEx>
          <w:tblCellMar>
            <w:top w:w="0" w:type="dxa"/>
            <w:left w:w="108" w:type="dxa"/>
            <w:bottom w:w="0" w:type="dxa"/>
            <w:right w:w="108" w:type="dxa"/>
          </w:tblCellMar>
        </w:tblPrEx>
        <w:trPr>
          <w:trHeight w:val="297"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年度总体目标完成情况</w:t>
            </w:r>
          </w:p>
        </w:tc>
        <w:tc>
          <w:tcPr>
            <w:tcW w:w="4703"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预期目标（年初设定）</w:t>
            </w:r>
          </w:p>
        </w:tc>
        <w:tc>
          <w:tcPr>
            <w:tcW w:w="3551"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34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4703"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目标1：确保所有政策规定所有服务对象合法权益得到保障，待遇得到落实。</w:t>
            </w:r>
          </w:p>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 xml:space="preserve"> 目标2：认真贯彻落实商洛市人民政府《关于进一步健全特困人员救助供养制度的实施意见》（商政发〔2017〕37号），切实保障我市特困人员基本生活权益，充分发挥民政工作在“保障民生、维护稳定、促进发展”中的基础作用。</w:t>
            </w:r>
          </w:p>
        </w:tc>
        <w:tc>
          <w:tcPr>
            <w:tcW w:w="3551"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1.确保所有政策规定所有服务对象合法权益得到保障，待遇得到落实。</w:t>
            </w:r>
          </w:p>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r>
              <w:rPr>
                <w:rFonts w:hint="eastAsia" w:ascii="宋体" w:hAnsi="宋体" w:cs="宋体"/>
                <w:color w:val="000000"/>
                <w:sz w:val="20"/>
                <w:szCs w:val="20"/>
              </w:rPr>
              <w:t>2.认真贯彻落实商洛市人民政府《关于进一步健全特困人员救助供养制度的实施意见》（商政发〔2017〕37号），切实保障我市特困人员基本生活权益，一是符合条件的保障人员全部纳入保障范围；二是基本生活保障达到规定标准；三是护理标准达到规定标准。</w:t>
            </w:r>
          </w:p>
        </w:tc>
      </w:tr>
      <w:tr>
        <w:tblPrEx>
          <w:tblCellMar>
            <w:top w:w="0" w:type="dxa"/>
            <w:left w:w="108" w:type="dxa"/>
            <w:bottom w:w="0" w:type="dxa"/>
            <w:right w:w="108" w:type="dxa"/>
          </w:tblCellMar>
        </w:tblPrEx>
        <w:trPr>
          <w:trHeight w:val="870" w:hRule="atLeast"/>
        </w:trPr>
        <w:tc>
          <w:tcPr>
            <w:tcW w:w="960"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绩</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w:t>
            </w:r>
          </w:p>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0"/>
                <w:szCs w:val="20"/>
                <w:lang w:val="en-US" w:eastAsia="zh-CN" w:bidi="ar-SA"/>
              </w:rPr>
            </w:pPr>
            <w:r>
              <w:rPr>
                <w:rFonts w:hint="eastAsia" w:ascii="宋体" w:hAnsi="宋体" w:cs="宋体"/>
                <w:color w:val="000000"/>
                <w:kern w:val="0"/>
                <w:sz w:val="20"/>
                <w:szCs w:val="20"/>
                <w:lang w:bidi="ar"/>
              </w:rPr>
              <w:t>标</w:t>
            </w:r>
          </w:p>
        </w:tc>
        <w:tc>
          <w:tcPr>
            <w:tcW w:w="8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二级</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三级指标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年度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指标值</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实际</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完成值</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（50分）</w:t>
            </w: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数量指标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指标1：特困人员救助供养发放</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4363</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4363</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指标2：聘用人员薪酬待遇发放</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947</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947</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质量指标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指标1：发放覆盖率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指标2：敬老院正常运转</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时效指标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指标1：当年各级财政到位率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成本指标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指标1：敬老院聘用人员薪酬待遇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31060元/人/年</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31060元/人/年</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指标2：敬老院运转维护经费补贴</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1200元/人/年</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1200元/人/年</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0"/>
                <w:szCs w:val="20"/>
                <w:lang w:val="en-US" w:eastAsia="zh-CN" w:bidi="ar-SA"/>
              </w:rPr>
            </w:pPr>
          </w:p>
        </w:tc>
        <w:tc>
          <w:tcPr>
            <w:tcW w:w="82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效益指标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（30分）</w:t>
            </w: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经济效益指标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指标1：</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0"/>
                <w:szCs w:val="20"/>
                <w:lang w:val="en-US" w:eastAsia="zh-CN" w:bidi="ar-SA"/>
              </w:rPr>
            </w:pPr>
          </w:p>
        </w:tc>
        <w:tc>
          <w:tcPr>
            <w:tcW w:w="825" w:type="dxa"/>
            <w:vMerge w:val="continue"/>
            <w:tcBorders>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社会效益指标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指标1：特困人员救助供养满意率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办结率大于90%</w:t>
            </w: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指标2：群众对政策知晓率</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8</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政策知晓有待提升</w:t>
            </w: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生态效益指标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指标1：</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808"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可持续影响</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指标1：农村集中供养特困人员生活能力保障</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672" w:hRule="atLeast"/>
        </w:trPr>
        <w:tc>
          <w:tcPr>
            <w:tcW w:w="960" w:type="dxa"/>
            <w:vMerge w:val="continue"/>
            <w:tcBorders>
              <w:left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（10分）</w:t>
            </w:r>
          </w:p>
        </w:tc>
        <w:tc>
          <w:tcPr>
            <w:tcW w:w="1515"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指标1：农村集中供养特困人员</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≥90%</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513" w:hRule="atLeast"/>
        </w:trPr>
        <w:tc>
          <w:tcPr>
            <w:tcW w:w="960" w:type="dxa"/>
            <w:vMerge w:val="continue"/>
            <w:tcBorders>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p>
        </w:tc>
        <w:tc>
          <w:tcPr>
            <w:tcW w:w="1515"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p>
        </w:tc>
        <w:tc>
          <w:tcPr>
            <w:tcW w:w="126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指标2：</w:t>
            </w:r>
          </w:p>
        </w:tc>
        <w:tc>
          <w:tcPr>
            <w:tcW w:w="109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306" w:hRule="atLeast"/>
        </w:trPr>
        <w:tc>
          <w:tcPr>
            <w:tcW w:w="6761"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总分</w:t>
            </w:r>
          </w:p>
        </w:tc>
        <w:tc>
          <w:tcPr>
            <w:tcW w:w="60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100</w:t>
            </w:r>
          </w:p>
        </w:tc>
        <w:tc>
          <w:tcPr>
            <w:tcW w:w="60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97</w:t>
            </w:r>
          </w:p>
        </w:tc>
        <w:tc>
          <w:tcPr>
            <w:tcW w:w="1243"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bl>
    <w:p>
      <w:pPr>
        <w:rPr>
          <w:rFonts w:hint="eastAsia" w:ascii="楷体" w:hAnsi="楷体" w:eastAsia="楷体" w:cs="楷体"/>
          <w:sz w:val="32"/>
          <w:szCs w:val="32"/>
        </w:rPr>
      </w:pPr>
    </w:p>
    <w:p>
      <w:pPr>
        <w:rPr>
          <w:rFonts w:hint="eastAsia" w:ascii="楷体" w:hAnsi="楷体" w:eastAsia="楷体" w:cs="楷体"/>
          <w:sz w:val="32"/>
          <w:szCs w:val="32"/>
        </w:rPr>
      </w:pPr>
    </w:p>
    <w:p>
      <w:pPr>
        <w:rPr>
          <w:rFonts w:hint="eastAsia" w:ascii="楷体" w:hAnsi="楷体" w:eastAsia="楷体" w:cs="楷体"/>
          <w:sz w:val="32"/>
          <w:szCs w:val="32"/>
        </w:rPr>
      </w:pPr>
    </w:p>
    <w:p>
      <w:pPr>
        <w:rPr>
          <w:rFonts w:hint="eastAsia" w:ascii="楷体" w:hAnsi="楷体" w:eastAsia="楷体" w:cs="楷体"/>
          <w:sz w:val="32"/>
          <w:szCs w:val="32"/>
        </w:rPr>
      </w:pPr>
    </w:p>
    <w:tbl>
      <w:tblPr>
        <w:tblStyle w:val="6"/>
        <w:tblW w:w="88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3"/>
        <w:gridCol w:w="873"/>
        <w:gridCol w:w="645"/>
        <w:gridCol w:w="1270"/>
        <w:gridCol w:w="1041"/>
        <w:gridCol w:w="1042"/>
        <w:gridCol w:w="1041"/>
        <w:gridCol w:w="576"/>
        <w:gridCol w:w="621"/>
        <w:gridCol w:w="322"/>
        <w:gridCol w:w="8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8820" w:type="dxa"/>
            <w:gridSpan w:val="11"/>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i w:val="0"/>
                <w:iCs w:val="0"/>
                <w:color w:val="000000"/>
                <w:sz w:val="36"/>
                <w:szCs w:val="36"/>
                <w:u w:val="none"/>
              </w:rPr>
            </w:pPr>
            <w:r>
              <w:rPr>
                <w:rFonts w:hint="default" w:ascii="方正小标宋_GBK" w:hAnsi="方正小标宋_GBK" w:eastAsia="方正小标宋_GBK" w:cs="方正小标宋_GBK"/>
                <w:i w:val="0"/>
                <w:iCs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gridSpan w:val="11"/>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4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事实无人抚养儿童基本生活费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99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商洛市民政局</w:t>
            </w:r>
          </w:p>
        </w:tc>
        <w:tc>
          <w:tcPr>
            <w:tcW w:w="16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8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项目资金</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18.48</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年度总体目标完成情况</w:t>
            </w:r>
          </w:p>
        </w:tc>
        <w:tc>
          <w:tcPr>
            <w:tcW w:w="48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预期目标（年初设定）</w:t>
            </w:r>
          </w:p>
        </w:tc>
        <w:tc>
          <w:tcPr>
            <w:tcW w:w="34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1" w:hRule="atLeast"/>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48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确保2022年商洛市事实无人抚养儿童基本生活费按时足额发放。</w:t>
            </w:r>
          </w:p>
        </w:tc>
        <w:tc>
          <w:tcPr>
            <w:tcW w:w="34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7" w:hRule="atLeast"/>
        </w:trPr>
        <w:tc>
          <w:tcPr>
            <w:tcW w:w="50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绩</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实际</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事实无人抚养儿童对象</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≥380人</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≥380人</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质量</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资金发放准确率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时效</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12月底前</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12月底前</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8"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发放标准</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700/人/月</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700/人/月</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7"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项目受益人数</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≥380人</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≥380人</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5" w:hRule="atLeast"/>
        </w:trPr>
        <w:tc>
          <w:tcPr>
            <w:tcW w:w="503"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8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对象满意度</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4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bl>
    <w:p>
      <w:pPr>
        <w:rPr>
          <w:rFonts w:hint="eastAsia" w:ascii="楷体" w:hAnsi="楷体" w:eastAsia="楷体" w:cs="楷体"/>
          <w:sz w:val="32"/>
          <w:szCs w:val="32"/>
        </w:rPr>
      </w:pPr>
    </w:p>
    <w:p>
      <w:pPr>
        <w:keepNext w:val="0"/>
        <w:keepLines w:val="0"/>
        <w:widowControl/>
        <w:numPr>
          <w:ilvl w:val="0"/>
          <w:numId w:val="0"/>
        </w:numPr>
        <w:suppressLineNumbers w:val="0"/>
        <w:spacing w:before="0" w:beforeAutospacing="0" w:after="0" w:afterAutospacing="0"/>
        <w:ind w:left="0" w:leftChars="0" w:right="0" w:rightChars="0" w:firstLine="640" w:firstLineChars="200"/>
        <w:jc w:val="left"/>
        <w:rPr>
          <w:rFonts w:hint="eastAsia"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lang w:val="en-US" w:eastAsia="zh-CN" w:bidi="ar-SA"/>
        </w:rPr>
        <w:t>（四）</w:t>
      </w:r>
      <w:r>
        <w:rPr>
          <w:rFonts w:hint="eastAsia" w:ascii="楷体_GB2312" w:hAnsi="宋体" w:eastAsia="楷体_GB2312" w:cs="楷体_GB2312"/>
          <w:bCs/>
          <w:color w:val="000000"/>
          <w:kern w:val="0"/>
          <w:sz w:val="32"/>
          <w:szCs w:val="32"/>
        </w:rPr>
        <w:t>专项资金绩效自评结果</w:t>
      </w:r>
    </w:p>
    <w:p>
      <w:pPr>
        <w:keepNext w:val="0"/>
        <w:keepLines w:val="0"/>
        <w:widowControl/>
        <w:numPr>
          <w:ilvl w:val="0"/>
          <w:numId w:val="0"/>
        </w:numPr>
        <w:suppressLineNumbers w:val="0"/>
        <w:spacing w:before="0" w:beforeAutospacing="0" w:after="0" w:afterAutospacing="0"/>
        <w:ind w:left="0" w:leftChars="0" w:right="0" w:rightChars="0" w:firstLine="640" w:firstLineChars="200"/>
        <w:jc w:val="left"/>
        <w:rPr>
          <w:rFonts w:hint="eastAsia" w:ascii="楷体_GB2312" w:hAnsi="宋体" w:eastAsia="楷体_GB2312" w:cs="楷体_GB2312"/>
          <w:bCs/>
          <w:color w:val="000000"/>
          <w:kern w:val="0"/>
          <w:sz w:val="32"/>
          <w:szCs w:val="32"/>
        </w:rPr>
      </w:pPr>
      <w:r>
        <w:rPr>
          <w:rFonts w:hint="eastAsia" w:ascii="仿宋" w:hAnsi="仿宋" w:eastAsia="仿宋" w:cs="仿宋"/>
          <w:sz w:val="32"/>
          <w:szCs w:val="32"/>
        </w:rPr>
        <w:t>本单位无主管专项资金。</w:t>
      </w:r>
    </w:p>
    <w:tbl>
      <w:tblPr>
        <w:tblStyle w:val="6"/>
        <w:tblpPr w:leftFromText="180" w:rightFromText="180" w:vertAnchor="text" w:horzAnchor="page" w:tblpX="1690" w:tblpY="290"/>
        <w:tblOverlap w:val="never"/>
        <w:tblW w:w="0" w:type="auto"/>
        <w:tblInd w:w="0" w:type="dxa"/>
        <w:tblLayout w:type="fixed"/>
        <w:tblCellMar>
          <w:top w:w="0" w:type="dxa"/>
          <w:left w:w="108" w:type="dxa"/>
          <w:bottom w:w="0" w:type="dxa"/>
          <w:right w:w="108" w:type="dxa"/>
        </w:tblCellMar>
      </w:tblPr>
      <w:tblGrid>
        <w:gridCol w:w="960"/>
        <w:gridCol w:w="825"/>
        <w:gridCol w:w="1515"/>
        <w:gridCol w:w="405"/>
        <w:gridCol w:w="859"/>
        <w:gridCol w:w="1099"/>
        <w:gridCol w:w="1098"/>
        <w:gridCol w:w="606"/>
        <w:gridCol w:w="604"/>
        <w:gridCol w:w="312"/>
        <w:gridCol w:w="931"/>
      </w:tblGrid>
      <w:tr>
        <w:tblPrEx>
          <w:tblCellMar>
            <w:top w:w="0" w:type="dxa"/>
            <w:left w:w="108" w:type="dxa"/>
            <w:bottom w:w="0" w:type="dxa"/>
            <w:right w:w="108" w:type="dxa"/>
          </w:tblCellMar>
        </w:tblPrEx>
        <w:trPr>
          <w:trHeight w:val="574" w:hRule="atLeast"/>
        </w:trPr>
        <w:tc>
          <w:tcPr>
            <w:tcW w:w="9214" w:type="dxa"/>
            <w:gridSpan w:val="11"/>
            <w:tcBorders>
              <w:top w:val="nil"/>
              <w:left w:val="nil"/>
              <w:bottom w:val="nil"/>
              <w:right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kern w:val="0"/>
                <w:sz w:val="36"/>
                <w:szCs w:val="36"/>
                <w:lang w:bidi="ar"/>
              </w:rPr>
              <w:t>市级专项资金绩效自评表</w:t>
            </w:r>
          </w:p>
        </w:tc>
      </w:tr>
      <w:tr>
        <w:tblPrEx>
          <w:tblCellMar>
            <w:top w:w="0" w:type="dxa"/>
            <w:left w:w="108" w:type="dxa"/>
            <w:bottom w:w="0" w:type="dxa"/>
            <w:right w:w="108" w:type="dxa"/>
          </w:tblCellMar>
        </w:tblPrEx>
        <w:trPr>
          <w:trHeight w:val="310" w:hRule="atLeast"/>
        </w:trPr>
        <w:tc>
          <w:tcPr>
            <w:tcW w:w="9214" w:type="dxa"/>
            <w:gridSpan w:val="11"/>
            <w:tcBorders>
              <w:top w:val="nil"/>
              <w:left w:val="nil"/>
              <w:bottom w:val="nil"/>
              <w:right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（2022年度）</w:t>
            </w:r>
          </w:p>
        </w:tc>
      </w:tr>
      <w:tr>
        <w:tblPrEx>
          <w:tblCellMar>
            <w:top w:w="0" w:type="dxa"/>
            <w:left w:w="108" w:type="dxa"/>
            <w:bottom w:w="0" w:type="dxa"/>
            <w:right w:w="108" w:type="dxa"/>
          </w:tblCellMar>
        </w:tblPrEx>
        <w:trPr>
          <w:trHeight w:val="297" w:hRule="atLeast"/>
        </w:trPr>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项目名称</w:t>
            </w:r>
          </w:p>
        </w:tc>
        <w:tc>
          <w:tcPr>
            <w:tcW w:w="7429"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301" w:hRule="atLeast"/>
        </w:trPr>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主管部门</w:t>
            </w:r>
          </w:p>
        </w:tc>
        <w:tc>
          <w:tcPr>
            <w:tcW w:w="387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7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实施单位</w:t>
            </w:r>
          </w:p>
        </w:tc>
        <w:tc>
          <w:tcPr>
            <w:tcW w:w="184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584"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项目资金</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（万元）</w:t>
            </w: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年初预算数</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全年预算数（A）</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全年执行数（B）</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执行率（B/A）</w:t>
            </w: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年度资金总额</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上年结转资金</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297"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92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  其他资金</w:t>
            </w:r>
          </w:p>
        </w:tc>
        <w:tc>
          <w:tcPr>
            <w:tcW w:w="8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297" w:hRule="atLeast"/>
        </w:trPr>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年度总体目标完成情况</w:t>
            </w:r>
          </w:p>
        </w:tc>
        <w:tc>
          <w:tcPr>
            <w:tcW w:w="470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预期目标（年初设定）</w:t>
            </w:r>
          </w:p>
        </w:tc>
        <w:tc>
          <w:tcPr>
            <w:tcW w:w="3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300"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470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355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870" w:hRule="atLeast"/>
        </w:trPr>
        <w:tc>
          <w:tcPr>
            <w:tcW w:w="9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绩</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二级</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三级指标</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年度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指标值</w:t>
            </w: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实际</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完成值</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得分</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产出指标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数量指标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质量指标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时效指标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成本指标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效益指标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经济效益指标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社会效益指标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生态效益指标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可持续影响</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297" w:hRule="atLeast"/>
        </w:trPr>
        <w:tc>
          <w:tcPr>
            <w:tcW w:w="96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满意度</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指标</w:t>
            </w:r>
          </w:p>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（10分）</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126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w:t>
            </w:r>
          </w:p>
        </w:tc>
        <w:tc>
          <w:tcPr>
            <w:tcW w:w="10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0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306" w:hRule="atLeast"/>
        </w:trPr>
        <w:tc>
          <w:tcPr>
            <w:tcW w:w="676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总分</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100</w:t>
            </w:r>
          </w:p>
        </w:tc>
        <w:tc>
          <w:tcPr>
            <w:tcW w:w="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 w:val="20"/>
                <w:szCs w:val="20"/>
              </w:rPr>
            </w:pPr>
          </w:p>
        </w:tc>
      </w:tr>
    </w:tbl>
    <w:p>
      <w:pPr>
        <w:adjustRightInd w:val="0"/>
        <w:snapToGrid w:val="0"/>
        <w:spacing w:line="560" w:lineRule="exact"/>
        <w:ind w:firstLine="640" w:firstLineChars="200"/>
        <w:rPr>
          <w:rFonts w:hint="eastAsia" w:ascii="仿宋" w:hAnsi="仿宋" w:eastAsia="仿宋" w:cs="仿宋"/>
          <w:sz w:val="32"/>
          <w:szCs w:val="40"/>
        </w:rPr>
      </w:pPr>
    </w:p>
    <w:p>
      <w:pPr>
        <w:widowControl/>
        <w:ind w:firstLine="640"/>
        <w:jc w:val="left"/>
        <w:rPr>
          <w:rFonts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（五）单位重点评价项目绩效评价结果</w:t>
      </w:r>
    </w:p>
    <w:p>
      <w:pPr>
        <w:widowControl/>
        <w:ind w:firstLine="640"/>
        <w:jc w:val="left"/>
        <w:rPr>
          <w:rFonts w:hint="eastAsia" w:ascii="仿宋" w:hAnsi="仿宋" w:eastAsia="仿宋" w:cs="仿宋"/>
          <w:sz w:val="32"/>
          <w:szCs w:val="32"/>
        </w:rPr>
      </w:pPr>
      <w:r>
        <w:rPr>
          <w:rFonts w:hint="eastAsia" w:ascii="仿宋" w:hAnsi="仿宋" w:eastAsia="仿宋" w:cs="仿宋"/>
          <w:sz w:val="32"/>
          <w:szCs w:val="32"/>
        </w:rPr>
        <w:t>本单位未开展单位重点绩效评价。</w:t>
      </w:r>
    </w:p>
    <w:p>
      <w:pPr>
        <w:widowControl/>
        <w:ind w:firstLine="640"/>
        <w:jc w:val="left"/>
        <w:rPr>
          <w:rFonts w:ascii="楷体_GB2312" w:hAnsi="宋体" w:eastAsia="楷体_GB2312" w:cs="楷体_GB2312"/>
          <w:bCs/>
          <w:color w:val="000000"/>
          <w:kern w:val="0"/>
          <w:sz w:val="32"/>
          <w:szCs w:val="32"/>
        </w:rPr>
      </w:pPr>
      <w:r>
        <w:rPr>
          <w:rFonts w:hint="eastAsia" w:ascii="楷体_GB2312" w:hAnsi="宋体" w:eastAsia="楷体_GB2312" w:cs="楷体_GB2312"/>
          <w:bCs/>
          <w:color w:val="000000"/>
          <w:kern w:val="0"/>
          <w:sz w:val="32"/>
          <w:szCs w:val="32"/>
        </w:rPr>
        <w:t>（六）财政重点评价项目绩效评价结果</w:t>
      </w:r>
    </w:p>
    <w:p>
      <w:pPr>
        <w:widowControl/>
        <w:ind w:firstLine="640"/>
        <w:jc w:val="left"/>
        <w:rPr>
          <w:rFonts w:hint="eastAsia" w:ascii="仿宋" w:hAnsi="仿宋" w:eastAsia="仿宋" w:cs="仿宋"/>
          <w:sz w:val="32"/>
          <w:szCs w:val="32"/>
        </w:rPr>
      </w:pPr>
      <w:r>
        <w:rPr>
          <w:rFonts w:hint="eastAsia" w:ascii="仿宋" w:hAnsi="仿宋" w:eastAsia="仿宋" w:cs="仿宋"/>
          <w:sz w:val="32"/>
          <w:szCs w:val="32"/>
        </w:rPr>
        <w:t>本单位无财政重点评价项目。</w:t>
      </w:r>
    </w:p>
    <w:p>
      <w:pPr>
        <w:widowControl/>
        <w:spacing w:line="560" w:lineRule="exact"/>
        <w:ind w:firstLine="640" w:firstLineChars="200"/>
        <w:jc w:val="left"/>
        <w:rPr>
          <w:rFonts w:ascii="黑体" w:hAnsi="黑体" w:eastAsia="黑体"/>
          <w:color w:val="000000"/>
          <w:kern w:val="0"/>
          <w:sz w:val="32"/>
          <w:szCs w:val="32"/>
        </w:rPr>
      </w:pPr>
      <w:r>
        <w:rPr>
          <w:rFonts w:hint="eastAsia" w:ascii="黑体" w:hAnsi="黑体" w:eastAsia="黑体"/>
          <w:color w:val="000000"/>
          <w:kern w:val="0"/>
          <w:sz w:val="32"/>
          <w:szCs w:val="32"/>
        </w:rPr>
        <w:t>十四、其他需要说明的情况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1.决算公开表格中金额数值保留两位小数，公开数据为四舍五入计算结果；个别数据项之间，个别数据合计项与分项数字之和存在小数点后尾差。</w:t>
      </w:r>
    </w:p>
    <w:p>
      <w:pPr>
        <w:ind w:firstLine="640" w:firstLineChars="200"/>
        <w:rPr>
          <w:rFonts w:ascii="仿宋" w:hAnsi="仿宋" w:eastAsia="仿宋" w:cs="仿宋"/>
          <w:sz w:val="32"/>
          <w:szCs w:val="32"/>
        </w:rPr>
      </w:pPr>
      <w:r>
        <w:rPr>
          <w:rFonts w:hint="eastAsia" w:ascii="仿宋" w:hAnsi="仿宋" w:eastAsia="仿宋" w:cs="仿宋"/>
          <w:sz w:val="32"/>
          <w:szCs w:val="32"/>
        </w:rPr>
        <w:t>2.决算公开表格中部分数据约值万元时显示为零，实际不为零。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本单位</w:t>
      </w:r>
      <w:r>
        <w:rPr>
          <w:rFonts w:hint="eastAsia" w:ascii="仿宋" w:hAnsi="仿宋" w:eastAsia="仿宋" w:cs="仿宋"/>
          <w:sz w:val="32"/>
          <w:szCs w:val="32"/>
        </w:rPr>
        <w:t>决算数据反映</w:t>
      </w:r>
      <w:r>
        <w:rPr>
          <w:rFonts w:hint="eastAsia" w:ascii="仿宋" w:hAnsi="仿宋" w:eastAsia="仿宋" w:cs="仿宋"/>
          <w:sz w:val="32"/>
          <w:szCs w:val="32"/>
          <w:lang w:val="en-US" w:eastAsia="zh-CN"/>
        </w:rPr>
        <w:t>1</w:t>
      </w:r>
      <w:r>
        <w:rPr>
          <w:rFonts w:hint="eastAsia" w:ascii="仿宋" w:hAnsi="仿宋" w:eastAsia="仿宋" w:cs="仿宋"/>
          <w:sz w:val="32"/>
          <w:szCs w:val="32"/>
        </w:rPr>
        <w:t>个单位收支情况。</w:t>
      </w:r>
    </w:p>
    <w:p>
      <w:pPr>
        <w:ind w:firstLine="640" w:firstLineChars="200"/>
        <w:rPr>
          <w:rFonts w:hint="eastAsia" w:ascii="仿宋" w:hAnsi="仿宋" w:eastAsia="仿宋" w:cs="仿宋"/>
          <w:sz w:val="32"/>
          <w:szCs w:val="40"/>
        </w:rPr>
      </w:pPr>
      <w:r>
        <w:rPr>
          <w:rFonts w:hint="eastAsia" w:ascii="仿宋" w:hAnsi="仿宋" w:eastAsia="仿宋" w:cs="仿宋"/>
          <w:sz w:val="32"/>
          <w:szCs w:val="40"/>
        </w:rPr>
        <w:t>4.与年初相</w:t>
      </w:r>
      <w:r>
        <w:rPr>
          <w:rFonts w:hint="eastAsia" w:ascii="仿宋" w:hAnsi="仿宋" w:eastAsia="仿宋" w:cs="仿宋"/>
          <w:sz w:val="32"/>
          <w:szCs w:val="32"/>
        </w:rPr>
        <w:t>比无预算单位变化调整。</w:t>
      </w:r>
    </w:p>
    <w:p>
      <w:pPr>
        <w:ind w:firstLine="640" w:firstLineChars="200"/>
        <w:rPr>
          <w:rFonts w:hint="eastAsia" w:ascii="楷体" w:hAnsi="楷体" w:eastAsia="楷体" w:cs="楷体"/>
          <w:iCs/>
          <w:color w:val="0000FF"/>
          <w:kern w:val="0"/>
          <w:sz w:val="32"/>
          <w:szCs w:val="32"/>
          <w:highlight w:val="cyan"/>
        </w:rPr>
      </w:pPr>
      <w:r>
        <w:rPr>
          <w:rFonts w:hint="eastAsia" w:ascii="仿宋" w:hAnsi="仿宋" w:eastAsia="仿宋" w:cs="仿宋"/>
          <w:sz w:val="32"/>
          <w:szCs w:val="40"/>
        </w:rPr>
        <w:t>5.决算公开联系方式及信息反馈渠道。联系电话：（</w:t>
      </w:r>
      <w:r>
        <w:rPr>
          <w:rFonts w:hint="eastAsia" w:ascii="仿宋" w:hAnsi="仿宋" w:eastAsia="仿宋" w:cs="仿宋"/>
          <w:sz w:val="32"/>
          <w:szCs w:val="40"/>
          <w:lang w:val="en-US" w:eastAsia="zh-CN"/>
        </w:rPr>
        <w:t>0914</w:t>
      </w:r>
      <w:r>
        <w:rPr>
          <w:rFonts w:hint="eastAsia" w:ascii="仿宋" w:hAnsi="仿宋" w:eastAsia="仿宋" w:cs="仿宋"/>
          <w:sz w:val="32"/>
          <w:szCs w:val="40"/>
        </w:rPr>
        <w:t>）</w:t>
      </w:r>
      <w:r>
        <w:rPr>
          <w:rFonts w:hint="eastAsia" w:ascii="仿宋" w:hAnsi="仿宋" w:eastAsia="仿宋" w:cs="仿宋"/>
          <w:sz w:val="32"/>
          <w:szCs w:val="40"/>
          <w:highlight w:val="none"/>
          <w:lang w:val="en-US" w:eastAsia="zh-CN"/>
        </w:rPr>
        <w:t>2312577</w:t>
      </w:r>
      <w:r>
        <w:rPr>
          <w:rFonts w:hint="eastAsia" w:ascii="仿宋" w:hAnsi="仿宋" w:eastAsia="仿宋" w:cs="仿宋"/>
          <w:sz w:val="32"/>
          <w:szCs w:val="40"/>
          <w:highlight w:val="none"/>
        </w:rPr>
        <w:t>。如</w:t>
      </w:r>
      <w:r>
        <w:rPr>
          <w:rFonts w:hint="eastAsia" w:ascii="仿宋" w:hAnsi="仿宋" w:eastAsia="仿宋" w:cs="仿宋"/>
          <w:sz w:val="32"/>
          <w:szCs w:val="40"/>
        </w:rPr>
        <w:t>电话号码发生变更，请通过其他公开渠道另行获取，本文本不再更新。</w:t>
      </w:r>
    </w:p>
    <w:p>
      <w:pPr>
        <w:ind w:firstLine="640" w:firstLineChars="200"/>
        <w:rPr>
          <w:rFonts w:hint="eastAsia" w:ascii="楷体" w:hAnsi="楷体" w:eastAsia="楷体" w:cs="楷体"/>
          <w:iCs/>
          <w:color w:val="0000FF"/>
          <w:kern w:val="0"/>
          <w:sz w:val="32"/>
          <w:szCs w:val="32"/>
          <w:highlight w:val="cyan"/>
        </w:rPr>
      </w:pP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 w:hAnsi="仿宋" w:eastAsia="仿宋" w:cs="仿宋"/>
          <w:kern w:val="2"/>
          <w:sz w:val="32"/>
          <w:szCs w:val="40"/>
          <w:lang w:val="en-US" w:eastAsia="zh-CN" w:bidi="ar"/>
        </w:rPr>
      </w:pP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 w:hAnsi="仿宋" w:eastAsia="仿宋" w:cs="仿宋"/>
          <w:kern w:val="2"/>
          <w:sz w:val="32"/>
          <w:szCs w:val="40"/>
          <w:lang w:val="en-US" w:eastAsia="zh-CN" w:bidi="ar"/>
        </w:rPr>
      </w:pPr>
    </w:p>
    <w:p>
      <w:pPr>
        <w:widowControl/>
        <w:rPr>
          <w:rFonts w:ascii="仿宋_GB2312" w:hAnsi="仿宋_GB2312" w:eastAsia="仿宋_GB2312" w:cs="仿宋_GB2312"/>
          <w:kern w:val="0"/>
          <w:sz w:val="32"/>
          <w:szCs w:val="32"/>
        </w:rPr>
      </w:pPr>
    </w:p>
    <w:p>
      <w:pPr>
        <w:widowControl/>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Pr>
        <w:pStyle w:val="2"/>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Pr>
        <w:rPr>
          <w:rFonts w:ascii="仿宋_GB2312" w:hAnsi="仿宋_GB2312" w:eastAsia="仿宋_GB2312" w:cs="仿宋_GB2312"/>
          <w:kern w:val="0"/>
          <w:sz w:val="32"/>
          <w:szCs w:val="32"/>
        </w:rPr>
      </w:pPr>
    </w:p>
    <w:p>
      <w:pPr>
        <w:pStyle w:val="2"/>
      </w:pPr>
    </w:p>
    <w:p>
      <w:pPr>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 xml:space="preserve"> 第三部分 2022年度部门决算表</w:t>
      </w:r>
    </w:p>
    <w:p>
      <w:pPr>
        <w:widowControl/>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25" o:spt="75" type="#_x0000_t75" style="height:545.25pt;width:414.85pt;" o:ole="t" filled="f" o:preferrelative="t" stroked="f" coordsize="21600,21600">
            <v:path/>
            <v:fill on="f" focussize="0,0"/>
            <v:stroke on="f"/>
            <v:imagedata r:id="rId13" o:title=""/>
            <o:lock v:ext="edit" aspectratio="t"/>
            <w10:wrap type="none"/>
            <w10:anchorlock/>
          </v:shape>
          <o:OLEObject Type="Embed" ProgID="Excel.Sheet.12" ShapeID="_x0000_i1025" DrawAspect="Content" ObjectID="_1468075725" r:id="rId12">
            <o:LockedField>false</o:LockedField>
          </o:OLEObject>
        </w:object>
      </w:r>
    </w:p>
    <w:p>
      <w:pPr>
        <w:widowControl/>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26" o:spt="75" type="#_x0000_t75" style="height:554.7pt;width:415.9pt;" o:ole="t" filled="f" o:preferrelative="t" stroked="f" coordsize="21600,21600">
            <v:path/>
            <v:fill on="f" focussize="0,0"/>
            <v:stroke on="f"/>
            <v:imagedata r:id="rId15" o:title=""/>
            <o:lock v:ext="edit" aspectratio="f"/>
            <w10:wrap type="none"/>
            <w10:anchorlock/>
          </v:shape>
          <o:OLEObject Type="Embed" ProgID="Excel.Sheet.8" ShapeID="_x0000_i1026" DrawAspect="Content" ObjectID="_1468075726" r:id="rId14">
            <o:LockedField>false</o:LockedField>
          </o:OLEObject>
        </w:object>
      </w: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27" o:spt="75" type="#_x0000_t75" style="height:516.5pt;width:414.85pt;" o:ole="t" filled="f" o:preferrelative="t" stroked="f" coordsize="21600,21600">
            <v:path/>
            <v:fill on="f" focussize="0,0"/>
            <v:stroke on="f"/>
            <v:imagedata r:id="rId17" o:title=""/>
            <o:lock v:ext="edit" aspectratio="f"/>
            <w10:wrap type="none"/>
            <w10:anchorlock/>
          </v:shape>
          <o:OLEObject Type="Embed" ProgID="Excel.Sheet.8" ShapeID="_x0000_i1027" DrawAspect="Content" ObjectID="_1468075727" r:id="rId16">
            <o:LockedField>false</o:LockedField>
          </o:OLEObject>
        </w:object>
      </w: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28" o:spt="75" type="#_x0000_t75" style="height:456.25pt;width:415.1pt;" o:ole="t" filled="f" o:preferrelative="t" stroked="f" coordsize="21600,21600">
            <v:path/>
            <v:fill on="f" focussize="0,0"/>
            <v:stroke on="f"/>
            <v:imagedata r:id="rId19" o:title=""/>
            <o:lock v:ext="edit" aspectratio="f"/>
            <w10:wrap type="none"/>
            <w10:anchorlock/>
          </v:shape>
          <o:OLEObject Type="Embed" ProgID="Excel.Sheet.8" ShapeID="_x0000_i1028" DrawAspect="Content" ObjectID="_1468075728" r:id="rId18">
            <o:LockedField>false</o:LockedField>
          </o:OLEObject>
        </w:object>
      </w: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29" o:spt="75" type="#_x0000_t75" style="height:533.65pt;width:414.75pt;" o:ole="t" filled="f" o:preferrelative="t" stroked="f" coordsize="21600,21600">
            <v:path/>
            <v:fill on="f" focussize="0,0"/>
            <v:stroke on="f"/>
            <v:imagedata r:id="rId21" o:title=""/>
            <o:lock v:ext="edit" aspectratio="f"/>
            <w10:wrap type="none"/>
            <w10:anchorlock/>
          </v:shape>
          <o:OLEObject Type="Embed" ProgID="Excel.Sheet.8" ShapeID="_x0000_i1029" DrawAspect="Content" ObjectID="_1468075729" r:id="rId20">
            <o:LockedField>false</o:LockedField>
          </o:OLEObject>
        </w:object>
      </w: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30" o:spt="75" type="#_x0000_t75" style="height:656.05pt;width:415.15pt;" o:ole="t" filled="f" o:preferrelative="t" stroked="f" coordsize="21600,21600">
            <v:path/>
            <v:fill on="f" focussize="0,0"/>
            <v:stroke on="f"/>
            <v:imagedata r:id="rId23" o:title=""/>
            <o:lock v:ext="edit" aspectratio="f"/>
            <w10:wrap type="none"/>
            <w10:anchorlock/>
          </v:shape>
          <o:OLEObject Type="Embed" ProgID="Excel.Sheet.8" ShapeID="_x0000_i1030" DrawAspect="Content" ObjectID="_1468075730" r:id="rId22">
            <o:LockedField>false</o:LockedField>
          </o:OLEObject>
        </w:object>
      </w: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31" o:spt="75" type="#_x0000_t75" style="height:484.75pt;width:415.25pt;" o:ole="t" filled="f" o:preferrelative="t" stroked="f" coordsize="21600,21600">
            <v:path/>
            <v:fill on="f" focussize="0,0"/>
            <v:stroke on="f"/>
            <v:imagedata r:id="rId25" o:title=""/>
            <o:lock v:ext="edit" aspectratio="f"/>
            <w10:wrap type="none"/>
            <w10:anchorlock/>
          </v:shape>
          <o:OLEObject Type="Embed" ProgID="Excel.Sheet.8" ShapeID="_x0000_i1031" DrawAspect="Content" ObjectID="_1468075731" r:id="rId24">
            <o:LockedField>false</o:LockedField>
          </o:OLEObject>
        </w:object>
      </w: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32" o:spt="75" type="#_x0000_t75" style="height:368.15pt;width:414.85pt;" o:ole="t" filled="f" o:preferrelative="t" stroked="f" coordsize="21600,21600">
            <v:path/>
            <v:fill on="f" focussize="0,0"/>
            <v:stroke on="f"/>
            <v:imagedata r:id="rId27" o:title=""/>
            <o:lock v:ext="edit" aspectratio="f"/>
            <w10:wrap type="none"/>
            <w10:anchorlock/>
          </v:shape>
          <o:OLEObject Type="Embed" ProgID="Excel.Sheet.8" ShapeID="_x0000_i1032" DrawAspect="Content" ObjectID="_1468075732" r:id="rId26">
            <o:LockedField>false</o:LockedField>
          </o:OLEObject>
        </w:object>
      </w: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33" o:spt="75" type="#_x0000_t75" style="height:394.4pt;width:415.2pt;" o:ole="t" filled="f" o:preferrelative="t" stroked="f" coordsize="21600,21600">
            <v:path/>
            <v:fill on="f" focussize="0,0"/>
            <v:stroke on="f"/>
            <v:imagedata r:id="rId29" o:title=""/>
            <o:lock v:ext="edit" aspectratio="f"/>
            <w10:wrap type="none"/>
            <w10:anchorlock/>
          </v:shape>
          <o:OLEObject Type="Embed" ProgID="Excel.Sheet.12" ShapeID="_x0000_i1033" DrawAspect="Content" ObjectID="_1468075733" r:id="rId28">
            <o:LockedField>false</o:LockedField>
          </o:OLEObject>
        </w:object>
      </w: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object>
          <v:shape id="_x0000_i1034" o:spt="75" type="#_x0000_t75" style="height:243.95pt;width:414.9pt;" o:ole="t" filled="f" o:preferrelative="t" stroked="f" coordsize="21600,21600">
            <v:path/>
            <v:fill on="f" focussize="0,0"/>
            <v:stroke on="f"/>
            <v:imagedata r:id="rId31" o:title=""/>
            <o:lock v:ext="edit" aspectratio="f"/>
            <w10:wrap type="none"/>
            <w10:anchorlock/>
          </v:shape>
          <o:OLEObject Type="Embed" ProgID="Excel.Sheet.8" ShapeID="_x0000_i1034" DrawAspect="Content" ObjectID="_1468075734" r:id="rId30">
            <o:LockedField>false</o:LockedField>
          </o:OLEObject>
        </w:object>
      </w: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rPr>
      </w:pPr>
    </w:p>
    <w:p>
      <w:pPr>
        <w:widowControl/>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ascii="仿宋" w:hAnsi="仿宋" w:eastAsia="仿宋" w:cs="仿宋"/>
          <w:bCs/>
          <w:color w:val="000000"/>
          <w:kern w:val="0"/>
          <w:sz w:val="32"/>
          <w:szCs w:val="32"/>
        </w:rPr>
      </w:pPr>
    </w:p>
    <w:p>
      <w:pPr>
        <w:rPr>
          <w:rFonts w:hint="eastAsia" w:ascii="仿宋" w:hAnsi="仿宋" w:eastAsia="仿宋" w:cs="仿宋"/>
          <w:bCs/>
          <w:color w:val="000000"/>
          <w:kern w:val="0"/>
          <w:sz w:val="32"/>
          <w:szCs w:val="32"/>
        </w:rPr>
      </w:pPr>
    </w:p>
    <w:p>
      <w:pPr>
        <w:pStyle w:val="2"/>
        <w:rPr>
          <w:rFonts w:hint="eastAsia"/>
        </w:rPr>
      </w:pPr>
    </w:p>
    <w:p>
      <w:pPr>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第四部分 专业名词解释</w:t>
      </w:r>
    </w:p>
    <w:p>
      <w:pPr>
        <w:ind w:firstLine="640" w:firstLineChars="200"/>
        <w:rPr>
          <w:rFonts w:ascii="仿宋_GB2312" w:hAnsi="仿宋_GB2312" w:eastAsia="仿宋_GB2312" w:cs="仿宋_GB2312"/>
          <w:sz w:val="32"/>
          <w:szCs w:val="32"/>
        </w:rPr>
      </w:pPr>
      <w:r>
        <w:rPr>
          <w:rFonts w:hint="eastAsia" w:ascii="楷体" w:hAnsi="楷体" w:eastAsia="楷体" w:cs="楷体"/>
          <w:sz w:val="32"/>
          <w:szCs w:val="32"/>
        </w:rPr>
        <w:t>1.基本支出：</w:t>
      </w:r>
      <w:r>
        <w:rPr>
          <w:rFonts w:hint="eastAsia" w:ascii="仿宋_GB2312" w:hAnsi="仿宋_GB2312" w:eastAsia="仿宋_GB2312" w:cs="仿宋_GB2312"/>
          <w:sz w:val="32"/>
          <w:szCs w:val="32"/>
        </w:rPr>
        <w:t>指为保障机构正常运转、完成日常工作任务而发生的各项支出。</w:t>
      </w:r>
    </w:p>
    <w:p>
      <w:pPr>
        <w:ind w:firstLine="640" w:firstLineChars="200"/>
        <w:rPr>
          <w:rFonts w:ascii="仿宋_GB2312" w:hAnsi="仿宋_GB2312" w:eastAsia="仿宋_GB2312" w:cs="仿宋_GB2312"/>
          <w:sz w:val="32"/>
          <w:szCs w:val="32"/>
        </w:rPr>
      </w:pPr>
      <w:r>
        <w:rPr>
          <w:rFonts w:hint="eastAsia" w:ascii="楷体" w:hAnsi="楷体" w:eastAsia="楷体" w:cs="楷体"/>
          <w:sz w:val="32"/>
          <w:szCs w:val="32"/>
        </w:rPr>
        <w:t>2.项目支出：</w:t>
      </w:r>
      <w:r>
        <w:rPr>
          <w:rFonts w:hint="eastAsia" w:ascii="仿宋_GB2312" w:hAnsi="仿宋_GB2312" w:eastAsia="仿宋_GB2312" w:cs="仿宋_GB2312"/>
          <w:sz w:val="32"/>
          <w:szCs w:val="32"/>
        </w:rPr>
        <w:t>指单位为完成特定的行政工作任务或事业发展目标所发生的各项支出。</w:t>
      </w:r>
    </w:p>
    <w:p>
      <w:pPr>
        <w:ind w:firstLine="640"/>
        <w:rPr>
          <w:rFonts w:ascii="仿宋_GB2312" w:hAnsi="仿宋_GB2312" w:eastAsia="仿宋_GB2312" w:cs="仿宋_GB2312"/>
          <w:sz w:val="32"/>
          <w:szCs w:val="32"/>
        </w:rPr>
      </w:pPr>
      <w:r>
        <w:rPr>
          <w:rFonts w:hint="eastAsia" w:ascii="楷体" w:hAnsi="楷体" w:eastAsia="楷体" w:cs="楷体"/>
          <w:sz w:val="32"/>
          <w:szCs w:val="32"/>
        </w:rPr>
        <w:t>3.“三公”经费：</w:t>
      </w:r>
      <w:r>
        <w:rPr>
          <w:rFonts w:hint="eastAsia" w:ascii="仿宋_GB2312" w:hAnsi="仿宋_GB2312" w:eastAsia="仿宋_GB2312" w:cs="仿宋_GB2312"/>
          <w:sz w:val="32"/>
          <w:szCs w:val="32"/>
        </w:rPr>
        <w:t>指部门使用财政拨款安排的因公出国（境）费、公务用车购置及运行费和公务接待费支出。</w:t>
      </w:r>
    </w:p>
    <w:p>
      <w:pPr>
        <w:ind w:firstLine="640"/>
        <w:rPr>
          <w:rFonts w:hint="eastAsia" w:ascii="仿宋_GB2312" w:hAnsi="仿宋_GB2312" w:eastAsia="仿宋_GB2312" w:cs="仿宋_GB2312"/>
          <w:sz w:val="32"/>
          <w:szCs w:val="32"/>
        </w:rPr>
      </w:pPr>
      <w:r>
        <w:rPr>
          <w:rFonts w:hint="eastAsia" w:ascii="楷体" w:hAnsi="楷体" w:eastAsia="楷体" w:cs="楷体"/>
          <w:sz w:val="32"/>
          <w:szCs w:val="32"/>
        </w:rPr>
        <w:t>4</w:t>
      </w:r>
      <w:r>
        <w:rPr>
          <w:rFonts w:ascii="楷体" w:hAnsi="楷体" w:eastAsia="楷体" w:cs="楷体"/>
          <w:sz w:val="32"/>
          <w:szCs w:val="32"/>
          <w:lang w:val="en"/>
        </w:rPr>
        <w:t>.</w:t>
      </w:r>
      <w:r>
        <w:rPr>
          <w:rFonts w:hint="eastAsia" w:ascii="楷体" w:hAnsi="楷体" w:eastAsia="楷体" w:cs="楷体"/>
          <w:sz w:val="32"/>
          <w:szCs w:val="32"/>
        </w:rPr>
        <w:t>财政拨款收入：</w:t>
      </w:r>
      <w:r>
        <w:rPr>
          <w:rFonts w:hint="eastAsia" w:ascii="仿宋_GB2312" w:hAnsi="仿宋_GB2312" w:eastAsia="仿宋_GB2312" w:cs="仿宋_GB2312"/>
          <w:sz w:val="32"/>
          <w:szCs w:val="32"/>
        </w:rPr>
        <w:t>指本级财政当年拨付的资金。</w:t>
      </w:r>
    </w:p>
    <w:p>
      <w:pPr>
        <w:ind w:firstLine="640"/>
        <w:rPr>
          <w:rFonts w:hint="eastAsia" w:ascii="仿宋_GB2312" w:hAnsi="仿宋_GB2312" w:eastAsia="仿宋_GB2312" w:cs="仿宋_GB2312"/>
          <w:sz w:val="32"/>
          <w:szCs w:val="32"/>
        </w:rPr>
      </w:pPr>
      <w:r>
        <w:rPr>
          <w:rFonts w:hint="eastAsia" w:ascii="楷体" w:hAnsi="楷体" w:eastAsia="楷体" w:cs="楷体"/>
          <w:sz w:val="32"/>
          <w:szCs w:val="32"/>
        </w:rPr>
        <w:t>5.公用经费：</w:t>
      </w:r>
      <w:r>
        <w:rPr>
          <w:rFonts w:hint="eastAsia" w:ascii="仿宋_GB2312" w:hAnsi="仿宋_GB2312" w:eastAsia="仿宋_GB2312" w:cs="仿宋_GB2312"/>
          <w:sz w:val="32"/>
          <w:szCs w:val="32"/>
        </w:rPr>
        <w:t>指为完成特定的行政工作任务或事业发展目标用于设备设施的维持性费用支出，以及直接用于公务活动的支出，具体包括公务费、业务费、修缮费、设备购置费、其他费用等。</w:t>
      </w:r>
    </w:p>
    <w:p>
      <w:pPr>
        <w:ind w:firstLine="640"/>
        <w:rPr>
          <w:rFonts w:hint="eastAsia" w:ascii="仿宋_GB2312" w:hAnsi="仿宋_GB2312" w:eastAsia="仿宋_GB2312" w:cs="仿宋_GB2312"/>
          <w:sz w:val="32"/>
          <w:szCs w:val="32"/>
        </w:rPr>
      </w:pPr>
      <w:r>
        <w:rPr>
          <w:rFonts w:hint="eastAsia" w:ascii="楷体" w:hAnsi="楷体" w:eastAsia="楷体" w:cs="楷体"/>
          <w:sz w:val="32"/>
          <w:szCs w:val="32"/>
        </w:rPr>
        <w:t>6</w:t>
      </w:r>
      <w:r>
        <w:rPr>
          <w:rFonts w:ascii="楷体" w:hAnsi="楷体" w:eastAsia="楷体" w:cs="楷体"/>
          <w:sz w:val="32"/>
          <w:szCs w:val="32"/>
          <w:lang w:val="en"/>
        </w:rPr>
        <w:t>.</w:t>
      </w:r>
      <w:r>
        <w:rPr>
          <w:rFonts w:hint="eastAsia" w:ascii="楷体" w:hAnsi="楷体" w:eastAsia="楷体" w:cs="楷体"/>
          <w:sz w:val="32"/>
          <w:szCs w:val="32"/>
        </w:rPr>
        <w:t>工资福利支出：</w:t>
      </w:r>
      <w:r>
        <w:rPr>
          <w:rFonts w:hint="eastAsia" w:ascii="仿宋_GB2312" w:hAnsi="仿宋_GB2312" w:eastAsia="仿宋_GB2312" w:cs="仿宋_GB2312"/>
          <w:sz w:val="32"/>
          <w:szCs w:val="32"/>
        </w:rPr>
        <w:t>反映开支的在职职工和编制外长期聘用人员的各类劳动报酬，以及上述人员缴纳的各项社会保险费等。</w:t>
      </w:r>
    </w:p>
    <w:p>
      <w:pPr>
        <w:ind w:firstLine="640"/>
        <w:rPr>
          <w:rFonts w:hint="eastAsia" w:ascii="仿宋_GB2312" w:hAnsi="仿宋_GB2312" w:eastAsia="仿宋_GB2312" w:cs="仿宋_GB2312"/>
          <w:sz w:val="32"/>
          <w:szCs w:val="32"/>
        </w:rPr>
      </w:pPr>
      <w:r>
        <w:rPr>
          <w:rFonts w:hint="eastAsia" w:ascii="楷体" w:hAnsi="楷体" w:eastAsia="楷体" w:cs="楷体"/>
          <w:sz w:val="32"/>
          <w:szCs w:val="32"/>
        </w:rPr>
        <w:t>7</w:t>
      </w:r>
      <w:r>
        <w:rPr>
          <w:rFonts w:ascii="楷体" w:hAnsi="楷体" w:eastAsia="楷体" w:cs="楷体"/>
          <w:sz w:val="32"/>
          <w:szCs w:val="32"/>
          <w:lang w:val="en"/>
        </w:rPr>
        <w:t>.</w:t>
      </w:r>
      <w:r>
        <w:rPr>
          <w:rFonts w:hint="eastAsia" w:ascii="楷体" w:hAnsi="楷体" w:eastAsia="楷体" w:cs="楷体"/>
          <w:sz w:val="32"/>
          <w:szCs w:val="32"/>
        </w:rPr>
        <w:t>结转资金</w:t>
      </w:r>
      <w:r>
        <w:rPr>
          <w:rFonts w:hint="eastAsia" w:ascii="仿宋_GB2312" w:hAnsi="仿宋_GB2312" w:eastAsia="仿宋_GB2312" w:cs="仿宋_GB2312"/>
          <w:sz w:val="32"/>
          <w:szCs w:val="32"/>
        </w:rPr>
        <w:t>：即当年预算已执行但未完成，或者因故未执行，下一年度需要按原用途继续使用的资金。</w:t>
      </w:r>
    </w:p>
    <w:p>
      <w:pPr>
        <w:ind w:firstLine="640"/>
        <w:rPr>
          <w:rFonts w:hint="eastAsia" w:ascii="仿宋_GB2312" w:hAnsi="仿宋_GB2312" w:eastAsia="仿宋_GB2312" w:cs="仿宋_GB2312"/>
          <w:sz w:val="32"/>
          <w:szCs w:val="32"/>
        </w:rPr>
      </w:pPr>
      <w:r>
        <w:rPr>
          <w:rFonts w:hint="eastAsia" w:ascii="楷体" w:hAnsi="楷体" w:eastAsia="楷体" w:cs="楷体"/>
          <w:sz w:val="32"/>
          <w:szCs w:val="32"/>
        </w:rPr>
        <w:t>8</w:t>
      </w:r>
      <w:r>
        <w:rPr>
          <w:rFonts w:ascii="楷体" w:hAnsi="楷体" w:eastAsia="楷体" w:cs="楷体"/>
          <w:sz w:val="32"/>
          <w:szCs w:val="32"/>
          <w:lang w:val="en"/>
        </w:rPr>
        <w:t>.</w:t>
      </w:r>
      <w:r>
        <w:rPr>
          <w:rFonts w:hint="eastAsia" w:ascii="楷体" w:hAnsi="楷体" w:eastAsia="楷体" w:cs="楷体"/>
          <w:sz w:val="32"/>
          <w:szCs w:val="32"/>
        </w:rPr>
        <w:t>结余资金</w:t>
      </w:r>
      <w:r>
        <w:rPr>
          <w:rFonts w:hint="eastAsia" w:ascii="仿宋_GB2312" w:hAnsi="仿宋_GB2312" w:eastAsia="仿宋_GB2312" w:cs="仿宋_GB2312"/>
          <w:sz w:val="32"/>
          <w:szCs w:val="32"/>
        </w:rPr>
        <w:t>：即当年预算工作目标已完成，或者因故终止，当年剩余的资金。</w:t>
      </w:r>
    </w:p>
    <w:p>
      <w:pPr>
        <w:jc w:val="center"/>
        <w:rPr>
          <w:rFonts w:hint="eastAsia" w:ascii="方正小标宋简体" w:hAnsi="方正小标宋简体" w:eastAsia="方正小标宋简体" w:cs="方正小标宋简体"/>
          <w:color w:val="000000"/>
          <w:kern w:val="0"/>
          <w:sz w:val="44"/>
          <w:szCs w:val="44"/>
        </w:rPr>
      </w:pPr>
    </w:p>
    <w:p>
      <w:pPr>
        <w:jc w:val="center"/>
        <w:rPr>
          <w:rFonts w:hint="eastAsia" w:ascii="方正小标宋简体" w:hAnsi="方正小标宋简体" w:eastAsia="方正小标宋简体" w:cs="方正小标宋简体"/>
          <w:color w:val="000000"/>
          <w:kern w:val="0"/>
          <w:sz w:val="44"/>
          <w:szCs w:val="44"/>
        </w:rPr>
      </w:pPr>
    </w:p>
    <w:p>
      <w:pPr>
        <w:jc w:val="center"/>
        <w:rPr>
          <w:rFonts w:hint="eastAsia" w:ascii="仿宋" w:hAnsi="仿宋" w:eastAsia="仿宋" w:cs="仿宋"/>
          <w:bCs/>
          <w:color w:val="000000"/>
          <w:kern w:val="0"/>
          <w:sz w:val="32"/>
          <w:szCs w:val="32"/>
        </w:rPr>
      </w:pPr>
    </w:p>
    <w:sectPr>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仿宋" w:hAnsi="仿宋" w:eastAsia="仿宋" w:cs="仿宋"/>
        <w:sz w:val="16"/>
        <w:szCs w:val="22"/>
      </w:rPr>
    </w:pPr>
    <w:r>
      <w:rPr>
        <w:rFonts w:hint="eastAsia" w:ascii="仿宋" w:hAnsi="仿宋" w:eastAsia="仿宋" w:cs="仿宋"/>
        <w:sz w:val="16"/>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3"/>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XW5UtAAAAAFAQAADwAAAAAAAAABACAAAAAiAAAAZHJzL2Rvd25yZXYueG1sUEsB&#10;AhQAFAAAAAgAh07iQE1kTcHEAQAAmgMAAA4AAAAAAAAAAQAgAAAAHwEAAGRycy9lMm9Eb2MueG1s&#10;UEsFBgAAAAAGAAYAWQEAAFUFAAAAAA==&#10;">
              <v:fill on="f" focussize="0,0"/>
              <v:stroke on="f"/>
              <v:imagedata o:title=""/>
              <o:lock v:ext="edit" aspectratio="f"/>
              <v:textbox inset="0mm,0mm,0mm,0mm" style="mso-fit-shape-to-text:t;">
                <w:txbxContent>
                  <w:p>
                    <w:pPr>
                      <w:pStyle w:val="3"/>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lang w:val="en-US" w:eastAsia="zh-CN"/>
                            </w:rPr>
                            <w:t>- 17 -</w:t>
                          </w:r>
                          <w:r>
                            <w:rPr>
                              <w:rFonts w:hint="eastAsia"/>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3"/>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lang w:val="en-US" w:eastAsia="zh-CN"/>
                      </w:rPr>
                      <w:t>- 17 -</w:t>
                    </w:r>
                    <w:r>
                      <w:rPr>
                        <w:rFonts w:hint="eastAsia"/>
                        <w:sz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FA143"/>
    <w:multiLevelType w:val="singleLevel"/>
    <w:tmpl w:val="CAFFA143"/>
    <w:lvl w:ilvl="0" w:tentative="0">
      <w:start w:val="2"/>
      <w:numFmt w:val="chineseCounting"/>
      <w:suff w:val="space"/>
      <w:lvlText w:val="第%1部分"/>
      <w:lvlJc w:val="left"/>
      <w:rPr>
        <w:rFonts w:hint="eastAsia"/>
      </w:rPr>
    </w:lvl>
  </w:abstractNum>
  <w:abstractNum w:abstractNumId="1">
    <w:nsid w:val="7BC3C7D3"/>
    <w:multiLevelType w:val="singleLevel"/>
    <w:tmpl w:val="7BC3C7D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OWI2ZmYwMDUzMzZjZGE5YjM4OTk3MmE0NDg1ZjIifQ=="/>
  </w:docVars>
  <w:rsids>
    <w:rsidRoot w:val="00172A27"/>
    <w:rsid w:val="00041EA6"/>
    <w:rsid w:val="000978E7"/>
    <w:rsid w:val="000C598C"/>
    <w:rsid w:val="000D0687"/>
    <w:rsid w:val="00115618"/>
    <w:rsid w:val="001507EA"/>
    <w:rsid w:val="00195642"/>
    <w:rsid w:val="002258E4"/>
    <w:rsid w:val="00246B69"/>
    <w:rsid w:val="00292D02"/>
    <w:rsid w:val="0038162C"/>
    <w:rsid w:val="003E315E"/>
    <w:rsid w:val="00410337"/>
    <w:rsid w:val="005174AC"/>
    <w:rsid w:val="005F7598"/>
    <w:rsid w:val="007460F8"/>
    <w:rsid w:val="00783155"/>
    <w:rsid w:val="00863CAD"/>
    <w:rsid w:val="00942109"/>
    <w:rsid w:val="009A344F"/>
    <w:rsid w:val="009B452A"/>
    <w:rsid w:val="009E6E4C"/>
    <w:rsid w:val="00AE6567"/>
    <w:rsid w:val="00B960C8"/>
    <w:rsid w:val="00BA5169"/>
    <w:rsid w:val="00BB4583"/>
    <w:rsid w:val="00BC7AFB"/>
    <w:rsid w:val="00C35E7B"/>
    <w:rsid w:val="00C95A7E"/>
    <w:rsid w:val="00E422F9"/>
    <w:rsid w:val="00E442BE"/>
    <w:rsid w:val="00E71342"/>
    <w:rsid w:val="00F34D56"/>
    <w:rsid w:val="00F40983"/>
    <w:rsid w:val="00F63A62"/>
    <w:rsid w:val="00F72879"/>
    <w:rsid w:val="00F82DE8"/>
    <w:rsid w:val="00FE5146"/>
    <w:rsid w:val="00FE7CEA"/>
    <w:rsid w:val="00FF7DDD"/>
    <w:rsid w:val="01257DDA"/>
    <w:rsid w:val="017F49BE"/>
    <w:rsid w:val="01C200AE"/>
    <w:rsid w:val="02420DBF"/>
    <w:rsid w:val="02CD757C"/>
    <w:rsid w:val="03016458"/>
    <w:rsid w:val="036B7A2F"/>
    <w:rsid w:val="03890463"/>
    <w:rsid w:val="03F23405"/>
    <w:rsid w:val="046063D3"/>
    <w:rsid w:val="04DC2960"/>
    <w:rsid w:val="05194C10"/>
    <w:rsid w:val="052A53FB"/>
    <w:rsid w:val="05674A17"/>
    <w:rsid w:val="05CD1092"/>
    <w:rsid w:val="05EF122C"/>
    <w:rsid w:val="068F1F19"/>
    <w:rsid w:val="069F7B8C"/>
    <w:rsid w:val="075C5614"/>
    <w:rsid w:val="07A174CB"/>
    <w:rsid w:val="08253634"/>
    <w:rsid w:val="086D1B6C"/>
    <w:rsid w:val="086F56BE"/>
    <w:rsid w:val="08815682"/>
    <w:rsid w:val="090B2132"/>
    <w:rsid w:val="09145998"/>
    <w:rsid w:val="095D5956"/>
    <w:rsid w:val="09BE11B4"/>
    <w:rsid w:val="0A025689"/>
    <w:rsid w:val="0A247ED7"/>
    <w:rsid w:val="0A3A003E"/>
    <w:rsid w:val="0A431D19"/>
    <w:rsid w:val="0A791381"/>
    <w:rsid w:val="0A9072B7"/>
    <w:rsid w:val="0B823BCE"/>
    <w:rsid w:val="0BF3277C"/>
    <w:rsid w:val="0CA044D6"/>
    <w:rsid w:val="0CC94826"/>
    <w:rsid w:val="0D0E67D9"/>
    <w:rsid w:val="0D321C3F"/>
    <w:rsid w:val="0E682C65"/>
    <w:rsid w:val="0E8A54E0"/>
    <w:rsid w:val="0F1A694A"/>
    <w:rsid w:val="0F2A3388"/>
    <w:rsid w:val="0FAD2CAA"/>
    <w:rsid w:val="100D69F9"/>
    <w:rsid w:val="10342128"/>
    <w:rsid w:val="104D01F0"/>
    <w:rsid w:val="104E6D46"/>
    <w:rsid w:val="10814651"/>
    <w:rsid w:val="112957E7"/>
    <w:rsid w:val="1146606A"/>
    <w:rsid w:val="11832326"/>
    <w:rsid w:val="11B4155D"/>
    <w:rsid w:val="12824D51"/>
    <w:rsid w:val="128819B3"/>
    <w:rsid w:val="12C765D0"/>
    <w:rsid w:val="12E94936"/>
    <w:rsid w:val="130C4392"/>
    <w:rsid w:val="136B5C3A"/>
    <w:rsid w:val="136D4B39"/>
    <w:rsid w:val="13BD4750"/>
    <w:rsid w:val="13F76DF0"/>
    <w:rsid w:val="13FA068E"/>
    <w:rsid w:val="142C7704"/>
    <w:rsid w:val="14AB7CFC"/>
    <w:rsid w:val="1515147F"/>
    <w:rsid w:val="152A4FA3"/>
    <w:rsid w:val="15520056"/>
    <w:rsid w:val="15B65B5B"/>
    <w:rsid w:val="15DA0777"/>
    <w:rsid w:val="16353C00"/>
    <w:rsid w:val="16531C6E"/>
    <w:rsid w:val="165740FB"/>
    <w:rsid w:val="168F118A"/>
    <w:rsid w:val="169D4B82"/>
    <w:rsid w:val="169F1133"/>
    <w:rsid w:val="16CA5E96"/>
    <w:rsid w:val="16F21AF1"/>
    <w:rsid w:val="17804C49"/>
    <w:rsid w:val="17922577"/>
    <w:rsid w:val="17D072A1"/>
    <w:rsid w:val="180E0310"/>
    <w:rsid w:val="180F5D63"/>
    <w:rsid w:val="18CD0120"/>
    <w:rsid w:val="1A2E2474"/>
    <w:rsid w:val="1A587EBD"/>
    <w:rsid w:val="1A7B096E"/>
    <w:rsid w:val="1AC800C5"/>
    <w:rsid w:val="1AF1658B"/>
    <w:rsid w:val="1B4E62D1"/>
    <w:rsid w:val="1B5A030E"/>
    <w:rsid w:val="1B5C77AB"/>
    <w:rsid w:val="1B701D7A"/>
    <w:rsid w:val="1B7404EB"/>
    <w:rsid w:val="1BFA7B28"/>
    <w:rsid w:val="1C205BB0"/>
    <w:rsid w:val="1C674213"/>
    <w:rsid w:val="1D1E569E"/>
    <w:rsid w:val="1D580577"/>
    <w:rsid w:val="1D7726D3"/>
    <w:rsid w:val="1DD97567"/>
    <w:rsid w:val="1DFA2D11"/>
    <w:rsid w:val="1E3B51E6"/>
    <w:rsid w:val="1E7A4F87"/>
    <w:rsid w:val="1EBC7BD5"/>
    <w:rsid w:val="1F8F4C45"/>
    <w:rsid w:val="1FCF29CF"/>
    <w:rsid w:val="1FD816FC"/>
    <w:rsid w:val="20032679"/>
    <w:rsid w:val="206969D3"/>
    <w:rsid w:val="210D3667"/>
    <w:rsid w:val="219F2875"/>
    <w:rsid w:val="21C63505"/>
    <w:rsid w:val="21D35583"/>
    <w:rsid w:val="220A3C81"/>
    <w:rsid w:val="225C661C"/>
    <w:rsid w:val="22A36211"/>
    <w:rsid w:val="22BE676D"/>
    <w:rsid w:val="2322484B"/>
    <w:rsid w:val="23492A98"/>
    <w:rsid w:val="234F15B7"/>
    <w:rsid w:val="235169A2"/>
    <w:rsid w:val="237064BA"/>
    <w:rsid w:val="23F44E0F"/>
    <w:rsid w:val="241C374F"/>
    <w:rsid w:val="24695C48"/>
    <w:rsid w:val="24930FCA"/>
    <w:rsid w:val="25235262"/>
    <w:rsid w:val="25BC7462"/>
    <w:rsid w:val="26372509"/>
    <w:rsid w:val="26406DE6"/>
    <w:rsid w:val="2669541C"/>
    <w:rsid w:val="2752567D"/>
    <w:rsid w:val="279D5FD1"/>
    <w:rsid w:val="27AD77C0"/>
    <w:rsid w:val="28067C7E"/>
    <w:rsid w:val="287966F2"/>
    <w:rsid w:val="287C1D82"/>
    <w:rsid w:val="28B644AC"/>
    <w:rsid w:val="28C5118C"/>
    <w:rsid w:val="293F2663"/>
    <w:rsid w:val="29400A9D"/>
    <w:rsid w:val="296C55EC"/>
    <w:rsid w:val="298D1A32"/>
    <w:rsid w:val="298E05F6"/>
    <w:rsid w:val="2A281CCA"/>
    <w:rsid w:val="2B8C0131"/>
    <w:rsid w:val="2BA11B42"/>
    <w:rsid w:val="2BAD31A0"/>
    <w:rsid w:val="2BF10171"/>
    <w:rsid w:val="2C6A3C86"/>
    <w:rsid w:val="2CB72498"/>
    <w:rsid w:val="2CC13E88"/>
    <w:rsid w:val="2D19039A"/>
    <w:rsid w:val="2D4505BF"/>
    <w:rsid w:val="2D5E3253"/>
    <w:rsid w:val="2D817A49"/>
    <w:rsid w:val="2D844526"/>
    <w:rsid w:val="2DEE0948"/>
    <w:rsid w:val="2E5270F9"/>
    <w:rsid w:val="2EE74707"/>
    <w:rsid w:val="30714421"/>
    <w:rsid w:val="3075429F"/>
    <w:rsid w:val="31304251"/>
    <w:rsid w:val="31A3571E"/>
    <w:rsid w:val="31B17087"/>
    <w:rsid w:val="31EF0CAF"/>
    <w:rsid w:val="3216116C"/>
    <w:rsid w:val="321839F7"/>
    <w:rsid w:val="327C2D0E"/>
    <w:rsid w:val="331502A5"/>
    <w:rsid w:val="33225487"/>
    <w:rsid w:val="332D2F86"/>
    <w:rsid w:val="340053F5"/>
    <w:rsid w:val="342A1FED"/>
    <w:rsid w:val="342C61EA"/>
    <w:rsid w:val="347F164B"/>
    <w:rsid w:val="34DB19BE"/>
    <w:rsid w:val="34FC47C0"/>
    <w:rsid w:val="34FE7347"/>
    <w:rsid w:val="35216FE2"/>
    <w:rsid w:val="354607EC"/>
    <w:rsid w:val="35585D62"/>
    <w:rsid w:val="35CB0616"/>
    <w:rsid w:val="35CF507F"/>
    <w:rsid w:val="36243ED4"/>
    <w:rsid w:val="362A5F7B"/>
    <w:rsid w:val="364F0CCA"/>
    <w:rsid w:val="365423FD"/>
    <w:rsid w:val="36E961AB"/>
    <w:rsid w:val="37141057"/>
    <w:rsid w:val="372877DA"/>
    <w:rsid w:val="37D52967"/>
    <w:rsid w:val="385801D3"/>
    <w:rsid w:val="385C193C"/>
    <w:rsid w:val="38A2670A"/>
    <w:rsid w:val="38BE488D"/>
    <w:rsid w:val="38CC1D69"/>
    <w:rsid w:val="38CC3AF8"/>
    <w:rsid w:val="39155E8A"/>
    <w:rsid w:val="39340D74"/>
    <w:rsid w:val="39A77CB4"/>
    <w:rsid w:val="39E43D28"/>
    <w:rsid w:val="3A2F7DC8"/>
    <w:rsid w:val="3A34761E"/>
    <w:rsid w:val="3A35161F"/>
    <w:rsid w:val="3A534ADA"/>
    <w:rsid w:val="3A682C70"/>
    <w:rsid w:val="3A70356C"/>
    <w:rsid w:val="3B85226F"/>
    <w:rsid w:val="3BB07E84"/>
    <w:rsid w:val="3C1D1F84"/>
    <w:rsid w:val="3CD70179"/>
    <w:rsid w:val="3D9077EA"/>
    <w:rsid w:val="3DD235BF"/>
    <w:rsid w:val="3DD24991"/>
    <w:rsid w:val="3DE2418D"/>
    <w:rsid w:val="3EC443CD"/>
    <w:rsid w:val="3ED20604"/>
    <w:rsid w:val="3F00274D"/>
    <w:rsid w:val="3F111687"/>
    <w:rsid w:val="3F1F3312"/>
    <w:rsid w:val="3F320B3A"/>
    <w:rsid w:val="3F5256A8"/>
    <w:rsid w:val="3F5605BF"/>
    <w:rsid w:val="3F760BD6"/>
    <w:rsid w:val="3FB407E0"/>
    <w:rsid w:val="3FD558B7"/>
    <w:rsid w:val="3FF24A11"/>
    <w:rsid w:val="40173DBC"/>
    <w:rsid w:val="405170A3"/>
    <w:rsid w:val="415249EA"/>
    <w:rsid w:val="41564E27"/>
    <w:rsid w:val="416C5E41"/>
    <w:rsid w:val="41A129A6"/>
    <w:rsid w:val="41DE6D8F"/>
    <w:rsid w:val="425902B9"/>
    <w:rsid w:val="43026447"/>
    <w:rsid w:val="43436BF1"/>
    <w:rsid w:val="43A54067"/>
    <w:rsid w:val="43AE720D"/>
    <w:rsid w:val="43C91D40"/>
    <w:rsid w:val="44185071"/>
    <w:rsid w:val="446A77C7"/>
    <w:rsid w:val="458F374A"/>
    <w:rsid w:val="465951C3"/>
    <w:rsid w:val="46A4431F"/>
    <w:rsid w:val="46B207D1"/>
    <w:rsid w:val="46C95B1B"/>
    <w:rsid w:val="46D36C9E"/>
    <w:rsid w:val="46F522FD"/>
    <w:rsid w:val="470B1C8F"/>
    <w:rsid w:val="47133199"/>
    <w:rsid w:val="472D2B52"/>
    <w:rsid w:val="47532640"/>
    <w:rsid w:val="484D62D8"/>
    <w:rsid w:val="48612B46"/>
    <w:rsid w:val="49255A89"/>
    <w:rsid w:val="49297D2D"/>
    <w:rsid w:val="493F2FF6"/>
    <w:rsid w:val="49DC6E3E"/>
    <w:rsid w:val="4A45604E"/>
    <w:rsid w:val="4A6A13C3"/>
    <w:rsid w:val="4AE445A0"/>
    <w:rsid w:val="4AE750EB"/>
    <w:rsid w:val="4B9B7E24"/>
    <w:rsid w:val="4BA51E49"/>
    <w:rsid w:val="4C2110A0"/>
    <w:rsid w:val="4CC163EF"/>
    <w:rsid w:val="4CCC3CC4"/>
    <w:rsid w:val="4D034DAF"/>
    <w:rsid w:val="4DB1337B"/>
    <w:rsid w:val="4DC651D0"/>
    <w:rsid w:val="4DCB03CA"/>
    <w:rsid w:val="4DD0778F"/>
    <w:rsid w:val="4E2247F7"/>
    <w:rsid w:val="4E741F6B"/>
    <w:rsid w:val="4F0F7597"/>
    <w:rsid w:val="501A4192"/>
    <w:rsid w:val="50330478"/>
    <w:rsid w:val="507B6464"/>
    <w:rsid w:val="508669F0"/>
    <w:rsid w:val="50E471E1"/>
    <w:rsid w:val="514C73FA"/>
    <w:rsid w:val="51AD74AC"/>
    <w:rsid w:val="51B03FFD"/>
    <w:rsid w:val="522228E9"/>
    <w:rsid w:val="525543A4"/>
    <w:rsid w:val="52BB78A7"/>
    <w:rsid w:val="52E57838"/>
    <w:rsid w:val="53DF7F32"/>
    <w:rsid w:val="54287C6C"/>
    <w:rsid w:val="54791C7A"/>
    <w:rsid w:val="54A43D7B"/>
    <w:rsid w:val="54AB74B6"/>
    <w:rsid w:val="558A2D5A"/>
    <w:rsid w:val="55AF5A9E"/>
    <w:rsid w:val="55CE7592"/>
    <w:rsid w:val="565537A4"/>
    <w:rsid w:val="566825CC"/>
    <w:rsid w:val="56731F29"/>
    <w:rsid w:val="56D97CC2"/>
    <w:rsid w:val="56DA342C"/>
    <w:rsid w:val="57382FF1"/>
    <w:rsid w:val="57CB2353"/>
    <w:rsid w:val="57CF7BD0"/>
    <w:rsid w:val="57FD26AC"/>
    <w:rsid w:val="58114390"/>
    <w:rsid w:val="581D1822"/>
    <w:rsid w:val="585C34F2"/>
    <w:rsid w:val="585F1E3B"/>
    <w:rsid w:val="586E207E"/>
    <w:rsid w:val="58B24F99"/>
    <w:rsid w:val="590A22F2"/>
    <w:rsid w:val="59DA50C6"/>
    <w:rsid w:val="5A1C08F6"/>
    <w:rsid w:val="5A930952"/>
    <w:rsid w:val="5AAB63E9"/>
    <w:rsid w:val="5AFF2F4D"/>
    <w:rsid w:val="5C5057B9"/>
    <w:rsid w:val="5D437D2E"/>
    <w:rsid w:val="5D6F136C"/>
    <w:rsid w:val="5D9537B3"/>
    <w:rsid w:val="5D9B58E5"/>
    <w:rsid w:val="5DD40546"/>
    <w:rsid w:val="5DF66D9E"/>
    <w:rsid w:val="5E605BBD"/>
    <w:rsid w:val="5ECA1FD8"/>
    <w:rsid w:val="5ECC743B"/>
    <w:rsid w:val="5F243FFB"/>
    <w:rsid w:val="5FF339BA"/>
    <w:rsid w:val="603B0596"/>
    <w:rsid w:val="60A20EF4"/>
    <w:rsid w:val="61417375"/>
    <w:rsid w:val="61745FC1"/>
    <w:rsid w:val="61906697"/>
    <w:rsid w:val="61A84491"/>
    <w:rsid w:val="61D81265"/>
    <w:rsid w:val="61EB4DB4"/>
    <w:rsid w:val="61F70201"/>
    <w:rsid w:val="621903F0"/>
    <w:rsid w:val="625E13B5"/>
    <w:rsid w:val="62AD1066"/>
    <w:rsid w:val="62E23D94"/>
    <w:rsid w:val="62F51D1A"/>
    <w:rsid w:val="632834EF"/>
    <w:rsid w:val="635731F6"/>
    <w:rsid w:val="647C1E48"/>
    <w:rsid w:val="64857C83"/>
    <w:rsid w:val="64D86177"/>
    <w:rsid w:val="658E1FB1"/>
    <w:rsid w:val="65AB59DB"/>
    <w:rsid w:val="65D2019D"/>
    <w:rsid w:val="65DC556A"/>
    <w:rsid w:val="66261EE3"/>
    <w:rsid w:val="666032F8"/>
    <w:rsid w:val="66633175"/>
    <w:rsid w:val="666D0124"/>
    <w:rsid w:val="669D0A5F"/>
    <w:rsid w:val="66E87590"/>
    <w:rsid w:val="66EE3C50"/>
    <w:rsid w:val="671B1725"/>
    <w:rsid w:val="672B02F1"/>
    <w:rsid w:val="676B143B"/>
    <w:rsid w:val="67721974"/>
    <w:rsid w:val="67DC0A03"/>
    <w:rsid w:val="6901211F"/>
    <w:rsid w:val="69950145"/>
    <w:rsid w:val="69CD6FF4"/>
    <w:rsid w:val="6A4E1D0F"/>
    <w:rsid w:val="6AF3469B"/>
    <w:rsid w:val="6B323762"/>
    <w:rsid w:val="6BAC53E8"/>
    <w:rsid w:val="6C0E1756"/>
    <w:rsid w:val="6CAA3414"/>
    <w:rsid w:val="6E3631E5"/>
    <w:rsid w:val="6F411E43"/>
    <w:rsid w:val="6F4D43F2"/>
    <w:rsid w:val="6F662168"/>
    <w:rsid w:val="707031E9"/>
    <w:rsid w:val="70BD01A6"/>
    <w:rsid w:val="70CE15AA"/>
    <w:rsid w:val="7127008D"/>
    <w:rsid w:val="716501F1"/>
    <w:rsid w:val="716A7665"/>
    <w:rsid w:val="717B46BE"/>
    <w:rsid w:val="71BC7FA5"/>
    <w:rsid w:val="71E55383"/>
    <w:rsid w:val="725054F3"/>
    <w:rsid w:val="726026CC"/>
    <w:rsid w:val="72944700"/>
    <w:rsid w:val="736B3932"/>
    <w:rsid w:val="738C598F"/>
    <w:rsid w:val="73EC1283"/>
    <w:rsid w:val="740526D8"/>
    <w:rsid w:val="7539539D"/>
    <w:rsid w:val="758130CB"/>
    <w:rsid w:val="75B30A0C"/>
    <w:rsid w:val="75C356FC"/>
    <w:rsid w:val="75D2624F"/>
    <w:rsid w:val="763E532E"/>
    <w:rsid w:val="764F4F89"/>
    <w:rsid w:val="76686157"/>
    <w:rsid w:val="76D64F73"/>
    <w:rsid w:val="7714445C"/>
    <w:rsid w:val="771A39E8"/>
    <w:rsid w:val="776C1F07"/>
    <w:rsid w:val="778A1405"/>
    <w:rsid w:val="778E1C60"/>
    <w:rsid w:val="77F05DF0"/>
    <w:rsid w:val="78434113"/>
    <w:rsid w:val="78530F51"/>
    <w:rsid w:val="78654DF4"/>
    <w:rsid w:val="787B124F"/>
    <w:rsid w:val="788A6608"/>
    <w:rsid w:val="79223926"/>
    <w:rsid w:val="797E3F97"/>
    <w:rsid w:val="79D3262E"/>
    <w:rsid w:val="7A6E771C"/>
    <w:rsid w:val="7A797BB3"/>
    <w:rsid w:val="7B2F0E48"/>
    <w:rsid w:val="7BEF058D"/>
    <w:rsid w:val="7C142D60"/>
    <w:rsid w:val="7C315985"/>
    <w:rsid w:val="7C46787A"/>
    <w:rsid w:val="7C5D1D72"/>
    <w:rsid w:val="7C920E09"/>
    <w:rsid w:val="7D3F23E9"/>
    <w:rsid w:val="7E1959C6"/>
    <w:rsid w:val="7E284BA8"/>
    <w:rsid w:val="7EA95284"/>
    <w:rsid w:val="7EF56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Calibri" w:hAnsi="Calibri" w:eastAsia="宋体" w:cs="Times New Roman"/>
      <w:szCs w:val="24"/>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脚 Char"/>
    <w:basedOn w:val="8"/>
    <w:link w:val="3"/>
    <w:qFormat/>
    <w:uiPriority w:val="0"/>
    <w:rPr>
      <w:rFonts w:hint="default" w:ascii="Calibri" w:hAnsi="Calibri" w:cs="黑体"/>
      <w:kern w:val="2"/>
      <w:sz w:val="18"/>
      <w:szCs w:val="24"/>
    </w:rPr>
  </w:style>
  <w:style w:type="paragraph" w:customStyle="1" w:styleId="10">
    <w:name w:val="BodyText"/>
    <w:basedOn w:val="1"/>
    <w:next w:val="11"/>
    <w:qFormat/>
    <w:uiPriority w:val="0"/>
    <w:pPr>
      <w:jc w:val="both"/>
      <w:textAlignment w:val="baseline"/>
    </w:pPr>
    <w:rPr>
      <w:rFonts w:eastAsia="黑体"/>
      <w:kern w:val="0"/>
      <w:sz w:val="36"/>
      <w:szCs w:val="21"/>
      <w:lang w:val="en-US" w:eastAsia="zh-CN" w:bidi="ar-SA"/>
    </w:rPr>
  </w:style>
  <w:style w:type="paragraph" w:customStyle="1" w:styleId="11">
    <w:name w:val="UserStyle_8"/>
    <w:basedOn w:val="1"/>
    <w:next w:val="1"/>
    <w:qFormat/>
    <w:uiPriority w:val="0"/>
    <w:pPr>
      <w:spacing w:line="240" w:lineRule="auto"/>
      <w:ind w:left="2940"/>
      <w:jc w:val="both"/>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0.e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9.emf"/><Relationship Id="rId28" Type="http://schemas.openxmlformats.org/officeDocument/2006/relationships/oleObject" Target="embeddings/oleObject9.bin"/><Relationship Id="rId27" Type="http://schemas.openxmlformats.org/officeDocument/2006/relationships/image" Target="media/image8.emf"/><Relationship Id="rId26" Type="http://schemas.openxmlformats.org/officeDocument/2006/relationships/oleObject" Target="embeddings/oleObject8.bin"/><Relationship Id="rId25" Type="http://schemas.openxmlformats.org/officeDocument/2006/relationships/image" Target="media/image7.emf"/><Relationship Id="rId24" Type="http://schemas.openxmlformats.org/officeDocument/2006/relationships/oleObject" Target="embeddings/oleObject7.bin"/><Relationship Id="rId23" Type="http://schemas.openxmlformats.org/officeDocument/2006/relationships/image" Target="media/image6.emf"/><Relationship Id="rId22" Type="http://schemas.openxmlformats.org/officeDocument/2006/relationships/oleObject" Target="embeddings/oleObject6.bin"/><Relationship Id="rId21" Type="http://schemas.openxmlformats.org/officeDocument/2006/relationships/image" Target="media/image5.e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4.emf"/><Relationship Id="rId18" Type="http://schemas.openxmlformats.org/officeDocument/2006/relationships/oleObject" Target="embeddings/oleObject4.bin"/><Relationship Id="rId17" Type="http://schemas.openxmlformats.org/officeDocument/2006/relationships/image" Target="media/image3.emf"/><Relationship Id="rId16" Type="http://schemas.openxmlformats.org/officeDocument/2006/relationships/oleObject" Target="embeddings/oleObject3.bin"/><Relationship Id="rId15" Type="http://schemas.openxmlformats.org/officeDocument/2006/relationships/image" Target="media/image2.emf"/><Relationship Id="rId14" Type="http://schemas.openxmlformats.org/officeDocument/2006/relationships/oleObject" Target="embeddings/oleObject2.bin"/><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7491;&#24335;&#20915;&#31639;&#20844;&#24335;-&#27665;&#25919;&#23616;&#26412;&#32423;.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27491;&#24335;&#20915;&#31639;&#20844;&#24335;-&#27665;&#25919;&#23616;&#26412;&#3242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27491;&#24335;&#20915;&#31639;&#20844;&#24335;-&#27665;&#25919;&#23616;&#26412;&#3242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istrator\Desktop\&#27491;&#24335;&#20915;&#31639;&#20844;&#24335;-&#27665;&#25919;&#23616;&#26412;&#32423;.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istrator\Desktop\&#27491;&#24335;&#20915;&#31639;&#20844;&#24335;-&#27665;&#25919;&#23616;&#26412;&#324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defRPr>
            </a:pPr>
            <a:r>
              <a:t>人员对比图（单位：人）</a:t>
            </a:r>
            <a:endParaRPr sz="1800" b="1" i="0" u="none" strike="noStrike"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endParaRPr>
          </a:p>
        </c:rich>
      </c:tx>
      <c:layout/>
      <c:overlay val="0"/>
    </c:title>
    <c:autoTitleDeleted val="0"/>
    <c:plotArea>
      <c:layout/>
      <c:barChart>
        <c:barDir val="col"/>
        <c:grouping val="clustered"/>
        <c:varyColors val="0"/>
        <c:ser>
          <c:idx val="0"/>
          <c:order val="0"/>
          <c:tx>
            <c:strRef>
              <c:f>'[正式决算公式-民政局本级.xls]Sheet1'!$B$1</c:f>
              <c:strCache>
                <c:ptCount val="1"/>
                <c:pt idx="0">
                  <c:v>编制</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'[正式决算公式-民政局本级.xls]Sheet1'!$A$2:$A$4</c:f>
              <c:strCache>
                <c:ptCount val="3"/>
                <c:pt idx="0">
                  <c:v>行政人员</c:v>
                </c:pt>
                <c:pt idx="1">
                  <c:v>事业人员</c:v>
                </c:pt>
                <c:pt idx="2">
                  <c:v>离退休人员</c:v>
                </c:pt>
              </c:strCache>
            </c:strRef>
          </c:cat>
          <c:val>
            <c:numRef>
              <c:f>'[正式决算公式-民政局本级.xls]Sheet1'!$B$2:$B$4</c:f>
              <c:numCache>
                <c:formatCode>General</c:formatCode>
                <c:ptCount val="3"/>
                <c:pt idx="0">
                  <c:v>14</c:v>
                </c:pt>
                <c:pt idx="1">
                  <c:v>0</c:v>
                </c:pt>
              </c:numCache>
            </c:numRef>
          </c:val>
        </c:ser>
        <c:ser>
          <c:idx val="1"/>
          <c:order val="1"/>
          <c:tx>
            <c:strRef>
              <c:f>'[正式决算公式-民政局本级.xls]Sheet1'!$C$1</c:f>
              <c:strCache>
                <c:ptCount val="1"/>
                <c:pt idx="0">
                  <c:v>实有</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'[正式决算公式-民政局本级.xls]Sheet1'!$A$2:$A$4</c:f>
              <c:strCache>
                <c:ptCount val="3"/>
                <c:pt idx="0">
                  <c:v>行政人员</c:v>
                </c:pt>
                <c:pt idx="1">
                  <c:v>事业人员</c:v>
                </c:pt>
                <c:pt idx="2">
                  <c:v>离退休人员</c:v>
                </c:pt>
              </c:strCache>
            </c:strRef>
          </c:cat>
          <c:val>
            <c:numRef>
              <c:f>'[正式决算公式-民政局本级.xls]Sheet1'!$C$2:$C$4</c:f>
              <c:numCache>
                <c:formatCode>General</c:formatCode>
                <c:ptCount val="3"/>
                <c:pt idx="0">
                  <c:v>16</c:v>
                </c:pt>
                <c:pt idx="1">
                  <c:v>0</c:v>
                </c:pt>
                <c:pt idx="2">
                  <c:v>21</c:v>
                </c:pt>
              </c:numCache>
            </c:numRef>
          </c:val>
        </c:ser>
        <c:dLbls>
          <c:showLegendKey val="0"/>
          <c:showVal val="0"/>
          <c:showCatName val="0"/>
          <c:showSerName val="0"/>
          <c:showPercent val="0"/>
          <c:showBubbleSize val="0"/>
        </c:dLbls>
        <c:gapWidth val="150"/>
        <c:overlap val="0"/>
        <c:axId val="335555328"/>
        <c:axId val="284667613"/>
      </c:barChart>
      <c:catAx>
        <c:axId val="335555328"/>
        <c:scaling>
          <c:orientation val="minMax"/>
        </c:scaling>
        <c:delete val="0"/>
        <c:axPos val="b"/>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284667613"/>
        <c:crosses val="autoZero"/>
        <c:auto val="1"/>
        <c:lblAlgn val="ctr"/>
        <c:lblOffset val="100"/>
        <c:noMultiLvlLbl val="0"/>
      </c:catAx>
      <c:valAx>
        <c:axId val="284667613"/>
        <c:scaling>
          <c:orientation val="minMax"/>
        </c:scaling>
        <c:delete val="0"/>
        <c:axPos val="l"/>
        <c:majorGridlines/>
        <c:numFmt formatCode="General" sourceLinked="1"/>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335555328"/>
        <c:crosses val="autoZero"/>
        <c:crossBetween val="between"/>
      </c:valAx>
    </c:plotArea>
    <c:legend>
      <c:legendPos val="r"/>
      <c:layout/>
      <c:overlay val="0"/>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defRPr>
            </a:pPr>
            <a:r>
              <a:t>收入、支出决算总计对比图（单位：万元）</a:t>
            </a:r>
            <a:endParaRPr sz="1400" b="0" i="0" u="none" strike="noStrike"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endParaRPr>
          </a:p>
        </c:rich>
      </c:tx>
      <c:layout/>
      <c:overlay val="0"/>
    </c:title>
    <c:autoTitleDeleted val="0"/>
    <c:plotArea>
      <c:layout>
        <c:manualLayout>
          <c:layoutTarget val="inner"/>
          <c:xMode val="edge"/>
          <c:yMode val="edge"/>
          <c:x val="0.117142857142857"/>
          <c:y val="0.167288693743139"/>
          <c:w val="0.765595238095238"/>
          <c:h val="0.700548847420417"/>
        </c:manualLayout>
      </c:layout>
      <c:barChart>
        <c:barDir val="col"/>
        <c:grouping val="clustered"/>
        <c:varyColors val="0"/>
        <c:ser>
          <c:idx val="0"/>
          <c:order val="0"/>
          <c:tx>
            <c:strRef>
              <c:f>'[正式决算公式-民政局本级.xls]Sheet1'!$A$19</c:f>
              <c:strCache>
                <c:ptCount val="1"/>
                <c:pt idx="0">
                  <c:v>2022年</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'[正式决算公式-民政局本级.xls]Sheet1'!$B$18:$C$18</c:f>
              <c:strCache>
                <c:ptCount val="2"/>
                <c:pt idx="0">
                  <c:v>总收入</c:v>
                </c:pt>
                <c:pt idx="1">
                  <c:v>总支出</c:v>
                </c:pt>
              </c:strCache>
            </c:strRef>
          </c:cat>
          <c:val>
            <c:numRef>
              <c:f>'[正式决算公式-民政局本级.xls]Sheet1'!$B$19:$C$19</c:f>
              <c:numCache>
                <c:formatCode>0.00_ </c:formatCode>
                <c:ptCount val="2"/>
                <c:pt idx="0">
                  <c:v>4411.4</c:v>
                </c:pt>
                <c:pt idx="1">
                  <c:v>4411.4</c:v>
                </c:pt>
              </c:numCache>
            </c:numRef>
          </c:val>
        </c:ser>
        <c:ser>
          <c:idx val="1"/>
          <c:order val="1"/>
          <c:tx>
            <c:strRef>
              <c:f>'[正式决算公式-民政局本级.xls]Sheet1'!$A$20</c:f>
              <c:strCache>
                <c:ptCount val="1"/>
                <c:pt idx="0">
                  <c:v>2021年</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'[正式决算公式-民政局本级.xls]Sheet1'!$B$18:$C$18</c:f>
              <c:strCache>
                <c:ptCount val="2"/>
                <c:pt idx="0">
                  <c:v>总收入</c:v>
                </c:pt>
                <c:pt idx="1">
                  <c:v>总支出</c:v>
                </c:pt>
              </c:strCache>
            </c:strRef>
          </c:cat>
          <c:val>
            <c:numRef>
              <c:f>'[正式决算公式-民政局本级.xls]Sheet1'!$B$20:$C$20</c:f>
              <c:numCache>
                <c:formatCode>0.00_ </c:formatCode>
                <c:ptCount val="2"/>
                <c:pt idx="0">
                  <c:v>926.81</c:v>
                </c:pt>
                <c:pt idx="1">
                  <c:v>926.81</c:v>
                </c:pt>
              </c:numCache>
            </c:numRef>
          </c:val>
        </c:ser>
        <c:dLbls>
          <c:showLegendKey val="0"/>
          <c:showVal val="0"/>
          <c:showCatName val="0"/>
          <c:showSerName val="0"/>
          <c:showPercent val="0"/>
          <c:showBubbleSize val="0"/>
        </c:dLbls>
        <c:gapWidth val="150"/>
        <c:overlap val="0"/>
        <c:axId val="879176322"/>
        <c:axId val="816466752"/>
      </c:barChart>
      <c:catAx>
        <c:axId val="879176322"/>
        <c:scaling>
          <c:orientation val="minMax"/>
        </c:scaling>
        <c:delete val="0"/>
        <c:axPos val="b"/>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816466752"/>
        <c:crosses val="autoZero"/>
        <c:auto val="1"/>
        <c:lblAlgn val="ctr"/>
        <c:lblOffset val="100"/>
        <c:noMultiLvlLbl val="0"/>
      </c:catAx>
      <c:valAx>
        <c:axId val="816466752"/>
        <c:scaling>
          <c:orientation val="minMax"/>
        </c:scaling>
        <c:delete val="0"/>
        <c:axPos val="l"/>
        <c:majorGridlines/>
        <c:numFmt formatCode="0.00_ " sourceLinked="1"/>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879176322"/>
        <c:crosses val="autoZero"/>
        <c:crossBetween val="between"/>
      </c:valAx>
    </c:plotArea>
    <c:legend>
      <c:legendPos val="r"/>
      <c:layout/>
      <c:overlay val="0"/>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r>
              <a:t>收入构成（单位：万元） </a:t>
            </a:r>
            <a:endParaRPr sz="1800" b="1" i="0" u="none" strike="noStrike" baseline="0">
              <a:solidFill>
                <a:srgbClr val="000000">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271206694920015"/>
          <c:y val="0.0218183022116276"/>
        </c:manualLayout>
      </c:layout>
      <c:overlay val="0"/>
    </c:title>
    <c:autoTitleDeleted val="0"/>
    <c:plotArea>
      <c:layout/>
      <c:pieChart>
        <c:varyColors val="1"/>
        <c:ser>
          <c:idx val="0"/>
          <c:order val="0"/>
          <c:tx>
            <c:strRef>
              <c:f>'[正式决算公式-民政局本级.xls]Sheet1'!$B$40</c:f>
              <c:strCache>
                <c:ptCount val="1"/>
                <c:pt idx="0">
                  <c:v>2021年度收入构成（单位：万元） </c:v>
                </c:pt>
              </c:strCache>
            </c:strRef>
          </c:tx>
          <c:explosion val="0"/>
          <c:dPt>
            <c:idx val="0"/>
            <c:bubble3D val="0"/>
            <c:explosion val="0"/>
          </c:dPt>
          <c:dPt>
            <c:idx val="1"/>
            <c:bubble3D val="0"/>
            <c:explosion val="0"/>
          </c:dPt>
          <c:dPt>
            <c:idx val="2"/>
            <c:bubble3D val="0"/>
            <c:explosion val="0"/>
          </c:dPt>
          <c:dPt>
            <c:idx val="3"/>
            <c:bubble3D val="0"/>
            <c:explosion val="0"/>
          </c:dPt>
          <c:dLbls>
            <c:dLbl>
              <c:idx val="0"/>
              <c:layout>
                <c:manualLayout>
                  <c:x val="0.0131487534815029"/>
                  <c:y val="-0.297973778307509"/>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1"/>
              <c:layout>
                <c:manualLayout>
                  <c:x val="-0.277889699567371"/>
                  <c:y val="0.388575188716727"/>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267938675383467"/>
                  <c:y val="0.577530528625817"/>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3"/>
              <c:layout>
                <c:manualLayout>
                  <c:x val="-0.256378205591274"/>
                  <c:y val="0.186586634768091"/>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'[正式决算公式-民政局本级.xls]Sheet1'!$A$41:$A$44</c:f>
              <c:strCache>
                <c:ptCount val="4"/>
                <c:pt idx="0">
                  <c:v>财政拨款收入</c:v>
                </c:pt>
                <c:pt idx="1">
                  <c:v>事业收入</c:v>
                </c:pt>
                <c:pt idx="2">
                  <c:v>经营收入</c:v>
                </c:pt>
                <c:pt idx="3">
                  <c:v>其他收入</c:v>
                </c:pt>
              </c:strCache>
            </c:strRef>
          </c:cat>
          <c:val>
            <c:numRef>
              <c:f>'[正式决算公式-民政局本级.xls]Sheet1'!$B$41:$B$44</c:f>
              <c:numCache>
                <c:formatCode>#,##0.00</c:formatCode>
                <c:ptCount val="4"/>
                <c:pt idx="0">
                  <c:v>4225.33</c:v>
                </c:pt>
                <c:pt idx="1" c:formatCode="General">
                  <c:v>0</c:v>
                </c:pt>
                <c:pt idx="2">
                  <c:v>0</c:v>
                </c:pt>
                <c:pt idx="3">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1"/>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r>
              <a:t>支出构成（单位：万元） </a:t>
            </a:r>
            <a:endParaRPr sz="1800" b="1" i="0" u="none" strike="noStrike" baseline="0">
              <a:solidFill>
                <a:srgbClr val="000000">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114708278098098"/>
          <c:y val="0.0324074074074074"/>
        </c:manualLayout>
      </c:layout>
      <c:overlay val="0"/>
    </c:title>
    <c:autoTitleDeleted val="0"/>
    <c:plotArea>
      <c:layout/>
      <c:pieChart>
        <c:varyColors val="1"/>
        <c:ser>
          <c:idx val="0"/>
          <c:order val="0"/>
          <c:tx>
            <c:strRef>
              <c:f>'[正式决算公式-民政局本级.xls]Sheet1'!$B$63</c:f>
              <c:strCache>
                <c:ptCount val="1"/>
                <c:pt idx="0">
                  <c:v>2021年度支出构成（单位：万元） </c:v>
                </c:pt>
              </c:strCache>
            </c:strRef>
          </c:tx>
          <c:explosion val="0"/>
          <c:dPt>
            <c:idx val="0"/>
            <c:bubble3D val="0"/>
            <c:explosion val="0"/>
          </c:dPt>
          <c:dPt>
            <c:idx val="1"/>
            <c:bubble3D val="0"/>
            <c:explosion val="0"/>
          </c:dPt>
          <c:dPt>
            <c:idx val="2"/>
            <c:bubble3D val="0"/>
            <c:explosion val="0"/>
          </c:dPt>
          <c:dLbls>
            <c:dLbl>
              <c:idx val="1"/>
              <c:layout>
                <c:manualLayout>
                  <c:x val="0.273594131221383"/>
                  <c:y val="-0.0125156445556946"/>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260853881934864"/>
                  <c:y val="0.704638953857822"/>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bestFit"/>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'[正式决算公式-民政局本级.xls]Sheet1'!$A$64:$A$66</c:f>
              <c:strCache>
                <c:ptCount val="3"/>
                <c:pt idx="0">
                  <c:v>基本支出</c:v>
                </c:pt>
                <c:pt idx="1">
                  <c:v>项目支出</c:v>
                </c:pt>
                <c:pt idx="2">
                  <c:v>经营支出</c:v>
                </c:pt>
              </c:strCache>
            </c:strRef>
          </c:cat>
          <c:val>
            <c:numRef>
              <c:f>'[正式决算公式-民政局本级.xls]Sheet1'!$B$64:$B$66</c:f>
              <c:numCache>
                <c:formatCode>#,##0.00</c:formatCode>
                <c:ptCount val="3"/>
                <c:pt idx="0">
                  <c:v>378.23</c:v>
                </c:pt>
                <c:pt idx="1">
                  <c:v>3847.1</c:v>
                </c:pt>
                <c:pt idx="2" c: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77820936683117"/>
          <c:y val="0.407757363662876"/>
          <c:w val="0.16325"/>
          <c:h val="0.258"/>
        </c:manualLayout>
      </c:layout>
      <c:overlay val="1"/>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defRPr>
            </a:pPr>
            <a:r>
              <a:t>财政拨款收入、支出对比图（单位：万元）</a:t>
            </a:r>
            <a:endParaRPr sz="1400" b="1" i="0" u="none" strike="noStrike" baseline="0">
              <a:solidFill>
                <a:srgbClr val="000000">
                  <a:alpha val="100000"/>
                </a:srgbClr>
              </a:solidFill>
              <a:latin typeface="Calibri" panose="020F0502020204030204" pitchFamily="2" charset="0"/>
              <a:ea typeface="Calibri" panose="020F0502020204030204" pitchFamily="2" charset="0"/>
              <a:cs typeface="Calibri" panose="020F0502020204030204" pitchFamily="2" charset="0"/>
            </a:endParaRPr>
          </a:p>
        </c:rich>
      </c:tx>
      <c:layout>
        <c:manualLayout>
          <c:xMode val="edge"/>
          <c:yMode val="edge"/>
          <c:x val="0.204333423839261"/>
          <c:y val="0.0555556165235443"/>
        </c:manualLayout>
      </c:layout>
      <c:overlay val="1"/>
    </c:title>
    <c:autoTitleDeleted val="0"/>
    <c:plotArea>
      <c:layout>
        <c:manualLayout>
          <c:layoutTarget val="inner"/>
          <c:xMode val="edge"/>
          <c:yMode val="edge"/>
          <c:x val="0.154158215010142"/>
          <c:y val="0.18815331010453"/>
          <c:w val="0.718458417849899"/>
          <c:h val="0.706387921022067"/>
        </c:manualLayout>
      </c:layout>
      <c:barChart>
        <c:barDir val="col"/>
        <c:grouping val="clustered"/>
        <c:varyColors val="0"/>
        <c:ser>
          <c:idx val="0"/>
          <c:order val="0"/>
          <c:tx>
            <c:strRef>
              <c:f>'[正式决算公式-民政局本级.xls]Sheet1'!$A$86</c:f>
              <c:strCache>
                <c:ptCount val="1"/>
                <c:pt idx="0">
                  <c:v>2022年</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'[正式决算公式-民政局本级.xls]Sheet1'!$B$85:$C$85</c:f>
              <c:strCache>
                <c:ptCount val="2"/>
                <c:pt idx="0">
                  <c:v>财政拨款收入</c:v>
                </c:pt>
                <c:pt idx="1">
                  <c:v>财政拨款支出</c:v>
                </c:pt>
              </c:strCache>
            </c:strRef>
          </c:cat>
          <c:val>
            <c:numRef>
              <c:f>'[正式决算公式-民政局本级.xls]Sheet1'!$B$86:$C$86</c:f>
              <c:numCache>
                <c:formatCode>#,##0.00</c:formatCode>
                <c:ptCount val="2"/>
                <c:pt idx="0">
                  <c:v>4337.66</c:v>
                </c:pt>
                <c:pt idx="1">
                  <c:v>4337.66</c:v>
                </c:pt>
              </c:numCache>
            </c:numRef>
          </c:val>
        </c:ser>
        <c:ser>
          <c:idx val="1"/>
          <c:order val="1"/>
          <c:tx>
            <c:strRef>
              <c:f>'[正式决算公式-民政局本级.xls]Sheet1'!$A$87</c:f>
              <c:strCache>
                <c:ptCount val="1"/>
                <c:pt idx="0">
                  <c:v>2021年</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'[正式决算公式-民政局本级.xls]Sheet1'!$B$85:$C$85</c:f>
              <c:strCache>
                <c:ptCount val="2"/>
                <c:pt idx="0">
                  <c:v>财政拨款收入</c:v>
                </c:pt>
                <c:pt idx="1">
                  <c:v>财政拨款支出</c:v>
                </c:pt>
              </c:strCache>
            </c:strRef>
          </c:cat>
          <c:val>
            <c:numRef>
              <c:f>'[正式决算公式-民政局本级.xls]Sheet1'!$B$87:$C$87</c:f>
              <c:numCache>
                <c:formatCode>#,##0.00</c:formatCode>
                <c:ptCount val="2"/>
                <c:pt idx="0">
                  <c:v>767.42</c:v>
                </c:pt>
                <c:pt idx="1">
                  <c:v>767.42</c:v>
                </c:pt>
              </c:numCache>
            </c:numRef>
          </c:val>
        </c:ser>
        <c:dLbls>
          <c:showLegendKey val="0"/>
          <c:showVal val="0"/>
          <c:showCatName val="0"/>
          <c:showSerName val="0"/>
          <c:showPercent val="0"/>
          <c:showBubbleSize val="0"/>
        </c:dLbls>
        <c:gapWidth val="150"/>
        <c:overlap val="0"/>
        <c:axId val="600992877"/>
        <c:axId val="836389190"/>
      </c:barChart>
      <c:catAx>
        <c:axId val="600992877"/>
        <c:scaling>
          <c:orientation val="minMax"/>
        </c:scaling>
        <c:delete val="0"/>
        <c:axPos val="b"/>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836389190"/>
        <c:crosses val="autoZero"/>
        <c:auto val="1"/>
        <c:lblAlgn val="ctr"/>
        <c:lblOffset val="100"/>
        <c:noMultiLvlLbl val="0"/>
      </c:catAx>
      <c:valAx>
        <c:axId val="836389190"/>
        <c:scaling>
          <c:orientation val="minMax"/>
        </c:scaling>
        <c:delete val="0"/>
        <c:axPos val="l"/>
        <c:majorGridlines/>
        <c:numFmt formatCode="#,##0.00" sourceLinked="1"/>
        <c:majorTickMark val="out"/>
        <c:minorTickMark val="none"/>
        <c:tickLblPos val="nextTo"/>
        <c:txPr>
          <a:bodyPr rot="0" spcFirstLastPara="0" vertOverflow="ellipsis" vert="horz" wrap="square" anchor="ctr" anchorCtr="1"/>
          <a:lstStyle/>
          <a:p>
            <a:pPr>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crossAx val="600992877"/>
        <c:crosses val="autoZero"/>
        <c:crossBetween val="between"/>
      </c:valAx>
    </c:plotArea>
    <c:legend>
      <c:legendPos val="r"/>
      <c:layout/>
      <c:overlay val="0"/>
      <c:txPr>
        <a:bodyPr rot="0" spcFirstLastPara="0" vertOverflow="ellipsis" vert="horz" wrap="square" anchor="ctr" anchorCtr="1"/>
        <a:lstStyle/>
        <a:p>
          <a:pPr>
            <a:defRPr lang="zh-CN" sz="92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9649</Words>
  <Characters>11510</Characters>
  <Lines>55</Lines>
  <Paragraphs>15</Paragraphs>
  <TotalTime>0</TotalTime>
  <ScaleCrop>false</ScaleCrop>
  <LinksUpToDate>false</LinksUpToDate>
  <CharactersWithSpaces>11684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2022-10-25T08:00:00Z</dcterms:created>
  <dc:creator>Lenovo</dc:creator>
  <cp:lastModifiedBy>wow</cp:lastModifiedBy>
  <cp:lastPrinted>2021-09-24T01:23:00Z</cp:lastPrinted>
  <dcterms:modified xsi:type="dcterms:W3CDTF">2023-10-24T06:33:09Z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8354905A60FB4C01B1B40991B12C5590_13</vt:lpwstr>
  </property>
</Properties>
</file>