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商洛市民政局</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rPr>
        <w:t>20</w:t>
      </w:r>
      <w:r>
        <w:rPr>
          <w:rFonts w:hint="eastAsia" w:ascii="黑体" w:hAnsi="黑体" w:eastAsia="黑体" w:cs="黑体"/>
          <w:sz w:val="36"/>
          <w:szCs w:val="36"/>
          <w:highlight w:val="none"/>
          <w:lang w:val="en-US" w:eastAsia="zh-CN"/>
        </w:rPr>
        <w:t>23</w:t>
      </w:r>
      <w:r>
        <w:rPr>
          <w:rFonts w:hint="eastAsia" w:ascii="黑体" w:hAnsi="黑体" w:eastAsia="黑体" w:cs="黑体"/>
          <w:sz w:val="36"/>
          <w:szCs w:val="36"/>
          <w:highlight w:val="none"/>
        </w:rPr>
        <w:t>年</w:t>
      </w:r>
      <w:r>
        <w:rPr>
          <w:rFonts w:hint="eastAsia" w:ascii="黑体" w:hAnsi="黑体" w:eastAsia="黑体" w:cs="黑体"/>
          <w:sz w:val="36"/>
          <w:szCs w:val="36"/>
          <w:highlight w:val="none"/>
          <w:lang w:eastAsia="zh-CN"/>
        </w:rPr>
        <w:t>单位预算公开说明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6"/>
          <w:szCs w:val="36"/>
        </w:rPr>
      </w:pPr>
      <w:r>
        <w:rPr>
          <w:rFonts w:hint="eastAsia"/>
          <w:b/>
          <w:bCs/>
          <w:sz w:val="36"/>
          <w:szCs w:val="36"/>
        </w:rPr>
        <w:t>目录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第一部分</w:t>
      </w:r>
      <w:r>
        <w:rPr>
          <w:rFonts w:hint="eastAsia" w:ascii="宋体" w:hAnsi="宋体" w:eastAsia="宋体" w:cs="宋体"/>
          <w:b/>
          <w:bCs/>
          <w:sz w:val="32"/>
          <w:szCs w:val="32"/>
          <w:highlight w:val="none"/>
          <w:lang w:val="en-US" w:eastAsia="zh-CN"/>
        </w:rPr>
        <w:t xml:space="preserve"> 单位概况</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一、</w:t>
      </w:r>
      <w:r>
        <w:rPr>
          <w:rFonts w:hint="eastAsia" w:ascii="宋体" w:hAnsi="宋体" w:eastAsia="宋体" w:cs="宋体"/>
          <w:sz w:val="32"/>
          <w:szCs w:val="32"/>
          <w:highlight w:val="none"/>
        </w:rPr>
        <w:t>主要职责</w:t>
      </w:r>
      <w:r>
        <w:rPr>
          <w:rFonts w:hint="eastAsia" w:ascii="宋体" w:hAnsi="宋体" w:eastAsia="宋体" w:cs="宋体"/>
          <w:sz w:val="32"/>
          <w:szCs w:val="32"/>
          <w:highlight w:val="none"/>
          <w:lang w:eastAsia="zh-CN"/>
        </w:rPr>
        <w:t>及机构设置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二、工作任务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三</w:t>
      </w:r>
      <w:r>
        <w:rPr>
          <w:rFonts w:hint="eastAsia" w:ascii="宋体" w:hAnsi="宋体" w:eastAsia="宋体" w:cs="宋体"/>
          <w:sz w:val="32"/>
          <w:szCs w:val="32"/>
          <w:highlight w:val="none"/>
        </w:rPr>
        <w:t>、人员情况说明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第二部分</w:t>
      </w:r>
      <w:r>
        <w:rPr>
          <w:rFonts w:hint="eastAsia" w:ascii="宋体" w:hAnsi="宋体" w:eastAsia="宋体" w:cs="宋体"/>
          <w:b/>
          <w:bCs/>
          <w:sz w:val="32"/>
          <w:szCs w:val="32"/>
          <w:highlight w:val="none"/>
          <w:lang w:val="en-US" w:eastAsia="zh-CN"/>
        </w:rPr>
        <w:t xml:space="preserve"> 收支情况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四、</w:t>
      </w:r>
      <w:r>
        <w:rPr>
          <w:rFonts w:hint="eastAsia" w:ascii="宋体" w:hAnsi="宋体" w:eastAsia="宋体" w:cs="宋体"/>
          <w:sz w:val="32"/>
          <w:szCs w:val="32"/>
          <w:highlight w:val="none"/>
        </w:rPr>
        <w:t>收支说明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第三部分</w:t>
      </w:r>
      <w:r>
        <w:rPr>
          <w:rFonts w:hint="eastAsia" w:ascii="宋体" w:hAnsi="宋体" w:eastAsia="宋体" w:cs="宋体"/>
          <w:b/>
          <w:bCs/>
          <w:sz w:val="32"/>
          <w:szCs w:val="32"/>
          <w:highlight w:val="none"/>
          <w:lang w:val="en-US" w:eastAsia="zh-CN"/>
        </w:rPr>
        <w:t xml:space="preserve">  其他情况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u w:val="single"/>
          <w:lang w:eastAsia="zh-CN"/>
        </w:rPr>
      </w:pPr>
      <w:r>
        <w:rPr>
          <w:rFonts w:hint="eastAsia" w:ascii="宋体" w:hAnsi="宋体" w:eastAsia="宋体" w:cs="宋体"/>
          <w:sz w:val="32"/>
          <w:szCs w:val="32"/>
          <w:highlight w:val="none"/>
          <w:lang w:eastAsia="zh-CN"/>
        </w:rPr>
        <w:t>五</w:t>
      </w:r>
      <w:r>
        <w:rPr>
          <w:rFonts w:hint="eastAsia" w:ascii="宋体" w:hAnsi="宋体" w:eastAsia="宋体" w:cs="宋体"/>
          <w:sz w:val="32"/>
          <w:szCs w:val="32"/>
          <w:highlight w:val="none"/>
        </w:rPr>
        <w:t>、</w:t>
      </w:r>
      <w:r>
        <w:rPr>
          <w:rFonts w:hint="eastAsia" w:ascii="宋体" w:hAnsi="宋体" w:eastAsia="宋体" w:cs="宋体"/>
          <w:sz w:val="32"/>
          <w:szCs w:val="32"/>
          <w:highlight w:val="none"/>
          <w:u w:val="none"/>
          <w:lang w:eastAsia="zh-CN"/>
        </w:rPr>
        <w:t>“三公”经费及会议费、培训费情况说明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六</w:t>
      </w:r>
      <w:r>
        <w:rPr>
          <w:rFonts w:hint="eastAsia" w:ascii="宋体" w:hAnsi="宋体" w:eastAsia="宋体" w:cs="宋体"/>
          <w:sz w:val="32"/>
          <w:szCs w:val="32"/>
          <w:highlight w:val="none"/>
        </w:rPr>
        <w:t>、国有资产占有使用</w:t>
      </w:r>
      <w:r>
        <w:rPr>
          <w:rFonts w:hint="eastAsia" w:ascii="宋体" w:hAnsi="宋体" w:eastAsia="宋体" w:cs="宋体"/>
          <w:sz w:val="32"/>
          <w:szCs w:val="32"/>
          <w:highlight w:val="none"/>
          <w:lang w:eastAsia="zh-CN"/>
        </w:rPr>
        <w:t>及资产购置</w:t>
      </w:r>
      <w:r>
        <w:rPr>
          <w:rFonts w:hint="eastAsia" w:ascii="宋体" w:hAnsi="宋体" w:eastAsia="宋体" w:cs="宋体"/>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七、政府采购</w:t>
      </w:r>
      <w:r>
        <w:rPr>
          <w:rFonts w:hint="eastAsia" w:ascii="宋体" w:hAnsi="宋体" w:eastAsia="宋体" w:cs="宋体"/>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八、</w:t>
      </w:r>
      <w:r>
        <w:rPr>
          <w:rFonts w:hint="eastAsia" w:ascii="宋体" w:hAnsi="宋体" w:eastAsia="宋体" w:cs="宋体"/>
          <w:sz w:val="32"/>
          <w:szCs w:val="32"/>
          <w:highlight w:val="none"/>
        </w:rPr>
        <w:t>绩效目标说明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九</w:t>
      </w: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公用经费情况说明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val="en-US" w:eastAsia="zh-CN"/>
        </w:rPr>
        <w:t>十、</w:t>
      </w:r>
      <w:r>
        <w:rPr>
          <w:rFonts w:hint="eastAsia" w:ascii="宋体" w:hAnsi="宋体" w:eastAsia="宋体" w:cs="宋体"/>
          <w:sz w:val="32"/>
          <w:szCs w:val="32"/>
          <w:highlight w:val="none"/>
          <w:lang w:eastAsia="zh-CN"/>
        </w:rPr>
        <w:t>专业名词解释</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eastAsia="zh-CN"/>
        </w:rPr>
        <w:t>第四部分</w:t>
      </w:r>
      <w:r>
        <w:rPr>
          <w:rFonts w:hint="eastAsia" w:ascii="宋体" w:hAnsi="宋体" w:eastAsia="宋体" w:cs="宋体"/>
          <w:b/>
          <w:bCs/>
          <w:sz w:val="32"/>
          <w:szCs w:val="32"/>
          <w:highlight w:val="none"/>
          <w:lang w:val="en-US" w:eastAsia="zh-CN"/>
        </w:rPr>
        <w:t xml:space="preserve">  公开报表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（具体预算公开报表）</w:t>
      </w:r>
    </w:p>
    <w:p>
      <w:pPr>
        <w:keepNext w:val="0"/>
        <w:keepLines w:val="0"/>
        <w:pageBreakBefore w:val="0"/>
        <w:widowControl w:val="0"/>
        <w:kinsoku/>
        <w:wordWrap/>
        <w:overflowPunct/>
        <w:topLinePunct w:val="0"/>
        <w:autoSpaceDE/>
        <w:autoSpaceDN/>
        <w:bidi w:val="0"/>
        <w:adjustRightInd/>
        <w:snapToGrid/>
        <w:spacing w:line="360" w:lineRule="auto"/>
        <w:ind w:firstLine="480"/>
        <w:jc w:val="center"/>
        <w:textAlignment w:val="auto"/>
        <w:outlineLvl w:val="9"/>
        <w:rPr>
          <w:rFonts w:hint="eastAsia" w:ascii="黑体" w:hAnsi="黑体" w:eastAsia="黑体" w:cs="黑体"/>
          <w:b/>
          <w:bCs/>
          <w:sz w:val="36"/>
          <w:szCs w:val="36"/>
          <w:lang w:val="en-US" w:eastAsia="zh-CN"/>
        </w:rPr>
      </w:pPr>
      <w:r>
        <w:rPr>
          <w:rFonts w:hint="eastAsia" w:ascii="宋体" w:hAnsi="宋体" w:cs="宋体"/>
          <w:sz w:val="32"/>
          <w:szCs w:val="32"/>
        </w:rPr>
        <w:br w:type="page"/>
      </w:r>
    </w:p>
    <w:p>
      <w:pPr>
        <w:keepNext w:val="0"/>
        <w:keepLines w:val="0"/>
        <w:pageBreakBefore w:val="0"/>
        <w:numPr>
          <w:ilvl w:val="0"/>
          <w:numId w:val="1"/>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 xml:space="preserve"> 单位概况</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一、主要职责</w:t>
      </w:r>
      <w:r>
        <w:rPr>
          <w:rFonts w:hint="eastAsia" w:ascii="仿宋_GB2312" w:hAnsi="仿宋_GB2312" w:eastAsia="仿宋_GB2312" w:cs="仿宋_GB2312"/>
          <w:b/>
          <w:bCs/>
          <w:sz w:val="32"/>
          <w:szCs w:val="32"/>
          <w:highlight w:val="none"/>
          <w:lang w:eastAsia="zh-CN"/>
        </w:rPr>
        <w:t>及机构设置</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3" w:firstLineChars="200"/>
        <w:jc w:val="left"/>
        <w:textAlignment w:val="auto"/>
        <w:rPr>
          <w:rFonts w:ascii="楷体_GB2312" w:eastAsia="楷体_GB2312" w:hAnsiTheme="minorEastAsia" w:cstheme="minorEastAsia"/>
          <w:b/>
          <w:sz w:val="32"/>
          <w:szCs w:val="32"/>
        </w:rPr>
      </w:pPr>
      <w:r>
        <w:rPr>
          <w:rFonts w:hint="eastAsia" w:ascii="楷体_GB2312" w:eastAsia="楷体_GB2312" w:hAnsiTheme="minorEastAsia" w:cstheme="minorEastAsia"/>
          <w:b/>
          <w:sz w:val="32"/>
          <w:szCs w:val="32"/>
        </w:rPr>
        <w:t>（一）机构设置</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hint="eastAsia" w:ascii="仿宋_GB2312" w:hAnsi="微软雅黑" w:eastAsia="仿宋_GB2312"/>
          <w:color w:val="2B2B2B"/>
          <w:sz w:val="32"/>
          <w:szCs w:val="32"/>
        </w:rPr>
      </w:pPr>
      <w:r>
        <w:rPr>
          <w:rFonts w:hint="eastAsia" w:ascii="仿宋_GB2312" w:eastAsia="仿宋_GB2312" w:hAnsiTheme="minorEastAsia" w:cstheme="minorEastAsia"/>
          <w:sz w:val="32"/>
          <w:szCs w:val="32"/>
        </w:rPr>
        <w:t>根据《中共商洛市委办公室、商洛市人民政府办公室关于印发＜商洛市民政局职能配置内设机构和人员编制规定＞的通知》，商洛市民政局</w:t>
      </w:r>
      <w:r>
        <w:rPr>
          <w:rFonts w:hint="eastAsia" w:ascii="仿宋_GB2312" w:hAnsi="微软雅黑" w:eastAsia="仿宋_GB2312"/>
          <w:color w:val="2B2B2B"/>
          <w:sz w:val="32"/>
          <w:szCs w:val="32"/>
        </w:rPr>
        <w:t xml:space="preserve">设7个内设机构： </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w:t>
      </w:r>
      <w:r>
        <w:rPr>
          <w:rFonts w:hint="eastAsia" w:ascii="仿宋_GB2312" w:eastAsia="仿宋_GB2312" w:hAnsiTheme="minorEastAsia" w:cstheme="minorEastAsia"/>
          <w:sz w:val="32"/>
          <w:szCs w:val="32"/>
        </w:rPr>
        <w:t>党政办公室。</w:t>
      </w:r>
      <w:r>
        <w:rPr>
          <w:rFonts w:hint="eastAsia" w:ascii="仿宋_GB2312" w:eastAsia="仿宋_GB2312" w:hAnsiTheme="minorEastAsia" w:cstheme="minorEastAsia"/>
          <w:sz w:val="32"/>
          <w:szCs w:val="32"/>
          <w:lang w:val="en-US" w:eastAsia="zh-CN"/>
        </w:rPr>
        <w:t>2、</w:t>
      </w:r>
      <w:r>
        <w:rPr>
          <w:rFonts w:hint="eastAsia" w:ascii="仿宋_GB2312" w:eastAsia="仿宋_GB2312" w:hAnsiTheme="minorEastAsia" w:cstheme="minorEastAsia"/>
          <w:sz w:val="32"/>
          <w:szCs w:val="32"/>
        </w:rPr>
        <w:t>基层政权和社区治理科。</w:t>
      </w:r>
      <w:r>
        <w:rPr>
          <w:rFonts w:hint="eastAsia" w:ascii="仿宋_GB2312" w:eastAsia="仿宋_GB2312" w:hAnsiTheme="minorEastAsia" w:cstheme="minorEastAsia"/>
          <w:sz w:val="32"/>
          <w:szCs w:val="32"/>
          <w:lang w:val="en-US" w:eastAsia="zh-CN"/>
        </w:rPr>
        <w:t>3、</w:t>
      </w:r>
      <w:r>
        <w:rPr>
          <w:rFonts w:hint="eastAsia" w:ascii="仿宋_GB2312" w:eastAsia="仿宋_GB2312" w:hAnsiTheme="minorEastAsia" w:cstheme="minorEastAsia"/>
          <w:sz w:val="32"/>
          <w:szCs w:val="32"/>
        </w:rPr>
        <w:t>社会组织和区划地名科。</w:t>
      </w:r>
      <w:r>
        <w:rPr>
          <w:rFonts w:hint="eastAsia" w:ascii="仿宋_GB2312" w:eastAsia="仿宋_GB2312" w:hAnsiTheme="minorEastAsia" w:cstheme="minorEastAsia"/>
          <w:sz w:val="32"/>
          <w:szCs w:val="32"/>
          <w:lang w:val="en-US" w:eastAsia="zh-CN"/>
        </w:rPr>
        <w:t>4、</w:t>
      </w:r>
      <w:r>
        <w:rPr>
          <w:rFonts w:hint="eastAsia" w:ascii="仿宋_GB2312" w:eastAsia="仿宋_GB2312" w:hAnsiTheme="minorEastAsia" w:cstheme="minorEastAsia"/>
          <w:sz w:val="32"/>
          <w:szCs w:val="32"/>
        </w:rPr>
        <w:t>慈善救助和社会工作科。</w:t>
      </w:r>
      <w:r>
        <w:rPr>
          <w:rFonts w:hint="eastAsia" w:ascii="仿宋_GB2312" w:eastAsia="仿宋_GB2312" w:hAnsiTheme="minorEastAsia" w:cstheme="minorEastAsia"/>
          <w:sz w:val="32"/>
          <w:szCs w:val="32"/>
          <w:lang w:val="en-US" w:eastAsia="zh-CN"/>
        </w:rPr>
        <w:t>5、</w:t>
      </w:r>
      <w:r>
        <w:rPr>
          <w:rFonts w:hint="eastAsia" w:ascii="仿宋_GB2312" w:eastAsia="仿宋_GB2312" w:hAnsiTheme="minorEastAsia" w:cstheme="minorEastAsia"/>
          <w:sz w:val="32"/>
          <w:szCs w:val="32"/>
        </w:rPr>
        <w:t>养老服务科。</w:t>
      </w:r>
      <w:r>
        <w:rPr>
          <w:rFonts w:hint="eastAsia" w:ascii="仿宋_GB2312" w:eastAsia="仿宋_GB2312" w:hAnsiTheme="minorEastAsia" w:cstheme="minorEastAsia"/>
          <w:sz w:val="32"/>
          <w:szCs w:val="32"/>
          <w:lang w:val="en-US" w:eastAsia="zh-CN"/>
        </w:rPr>
        <w:t>6、</w:t>
      </w:r>
      <w:r>
        <w:rPr>
          <w:rFonts w:hint="eastAsia" w:ascii="仿宋_GB2312" w:eastAsia="仿宋_GB2312" w:hAnsiTheme="minorEastAsia" w:cstheme="minorEastAsia"/>
          <w:sz w:val="32"/>
          <w:szCs w:val="32"/>
        </w:rPr>
        <w:t>社会事务和儿童福利科。</w:t>
      </w:r>
      <w:r>
        <w:rPr>
          <w:rFonts w:hint="eastAsia" w:ascii="仿宋_GB2312" w:eastAsia="仿宋_GB2312" w:hAnsiTheme="minorEastAsia" w:cstheme="minorEastAsia"/>
          <w:sz w:val="32"/>
          <w:szCs w:val="32"/>
          <w:lang w:val="en-US" w:eastAsia="zh-CN"/>
        </w:rPr>
        <w:t>7、</w:t>
      </w:r>
      <w:r>
        <w:rPr>
          <w:rFonts w:hint="eastAsia" w:ascii="仿宋_GB2312" w:eastAsia="仿宋_GB2312" w:hAnsiTheme="minorEastAsia" w:cstheme="minorEastAsia"/>
          <w:sz w:val="32"/>
          <w:szCs w:val="32"/>
        </w:rPr>
        <w:t>殡葬管理科。</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3" w:firstLineChars="200"/>
        <w:jc w:val="left"/>
        <w:textAlignment w:val="auto"/>
        <w:rPr>
          <w:rFonts w:ascii="楷体_GB2312" w:eastAsia="楷体_GB2312" w:hAnsiTheme="minorEastAsia" w:cstheme="minorEastAsia"/>
          <w:b/>
          <w:bCs/>
          <w:sz w:val="32"/>
          <w:szCs w:val="32"/>
        </w:rPr>
      </w:pPr>
      <w:r>
        <w:rPr>
          <w:rFonts w:hint="eastAsia" w:ascii="楷体_GB2312" w:eastAsia="楷体_GB2312" w:hAnsiTheme="minorEastAsia" w:cstheme="minorEastAsia"/>
          <w:b/>
          <w:bCs/>
          <w:sz w:val="32"/>
          <w:szCs w:val="32"/>
        </w:rPr>
        <w:t>（二）主要职责</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w:t>
      </w:r>
      <w:r>
        <w:rPr>
          <w:rFonts w:hint="eastAsia" w:ascii="仿宋_GB2312" w:eastAsia="仿宋_GB2312" w:hAnsiTheme="minorEastAsia" w:cstheme="minorEastAsia"/>
          <w:sz w:val="32"/>
          <w:szCs w:val="32"/>
        </w:rPr>
        <w:t>贯彻落实党和国家关于民政工作的方针政策、法律法规和决策部署，全面落实省委、市委工作要求，拟订全市民政事业发展规划、计划并组织实施。</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2、</w:t>
      </w:r>
      <w:r>
        <w:rPr>
          <w:rFonts w:hint="eastAsia" w:ascii="仿宋_GB2312" w:eastAsia="仿宋_GB2312" w:hAnsiTheme="minorEastAsia" w:cstheme="minorEastAsia"/>
          <w:sz w:val="32"/>
          <w:szCs w:val="32"/>
        </w:rPr>
        <w:t>拟订全市社会组织登记管理办法并组织实施；负责市级社会团体、基金会、社会服务机构等社会组织登记管理和执法监督工作；指导县(区)社会团体、基金会、社会服务机构等社会组织登记管理和执法监督工作。</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3、</w:t>
      </w:r>
      <w:r>
        <w:rPr>
          <w:rFonts w:hint="eastAsia" w:ascii="仿宋_GB2312" w:eastAsia="仿宋_GB2312" w:hAnsiTheme="minorEastAsia" w:cstheme="minorEastAsia"/>
          <w:sz w:val="32"/>
          <w:szCs w:val="32"/>
        </w:rPr>
        <w:t>以提升组织力为重点，突出政治功能，推动党的路线方针政策和决策部署在社会组织中的贯彻落实；负责市级直接登记和脱钩后的行业协会商会类社会组织觉建日常工作；指导所属社会组织党的建设工作。</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4、</w:t>
      </w:r>
      <w:r>
        <w:rPr>
          <w:rFonts w:hint="eastAsia" w:ascii="仿宋_GB2312" w:eastAsia="仿宋_GB2312" w:hAnsiTheme="minorEastAsia" w:cstheme="minorEastAsia"/>
          <w:sz w:val="32"/>
          <w:szCs w:val="32"/>
        </w:rPr>
        <w:t>统筹全市城乡社会救助体系建设，拟订社会救助办法、规划和标准；负责城乡居民最低生活保障、特困人员救助供养、临时救助、生活无着流浪乞讨人员救助工作；负责拟订监督管理制度，加强城乡居民最低生活保障、特困人员救助供养、临时救助、生活无着流浪乞讨人员救助工作的监督检查。</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5、</w:t>
      </w:r>
      <w:r>
        <w:rPr>
          <w:rFonts w:hint="eastAsia" w:ascii="仿宋_GB2312" w:eastAsia="仿宋_GB2312" w:hAnsiTheme="minorEastAsia" w:cstheme="minorEastAsia"/>
          <w:sz w:val="32"/>
          <w:szCs w:val="32"/>
        </w:rPr>
        <w:t>认真落实城乡基层群众自治建设和社区治理有关政策，拟订加强和完善城乡社区治理规范性文件并组织实施，推动城乡社区治理体系和治理能力建设；提出加强和改进城乡基层政权建设的意见，推进基层民主政治建设；拟订城乡社区服务体系建设规划、计划并组织实施，扩大城乡社区服务有效供给。</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6、</w:t>
      </w:r>
      <w:r>
        <w:rPr>
          <w:rFonts w:hint="eastAsia" w:ascii="仿宋_GB2312" w:eastAsia="仿宋_GB2312" w:hAnsiTheme="minorEastAsia" w:cstheme="minorEastAsia"/>
          <w:sz w:val="32"/>
          <w:szCs w:val="32"/>
        </w:rPr>
        <w:t>负责全市行政区划、地名管理及行政区域界线的管理和调整工作；承担权限内行政区域边界争议调处工作。</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7、</w:t>
      </w:r>
      <w:r>
        <w:rPr>
          <w:rFonts w:hint="eastAsia" w:ascii="仿宋_GB2312" w:eastAsia="仿宋_GB2312" w:hAnsiTheme="minorEastAsia" w:cstheme="minorEastAsia"/>
          <w:sz w:val="32"/>
          <w:szCs w:val="32"/>
        </w:rPr>
        <w:t>拟订全市婚姻和殡葬管理办法、服务规范并组织实施，积极推进婚俗和殡葬改革。</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8、</w:t>
      </w:r>
      <w:r>
        <w:rPr>
          <w:rFonts w:hint="eastAsia" w:ascii="仿宋_GB2312" w:eastAsia="仿宋_GB2312" w:hAnsiTheme="minorEastAsia" w:cstheme="minorEastAsia"/>
          <w:sz w:val="32"/>
          <w:szCs w:val="32"/>
        </w:rPr>
        <w:t>统筹推进、督促指导、监督管理养老服务工作；拟订全市养老服务体系建设规划、政策和标准并组织实施；负责老年人和特殊困难群体社会福利和权益保障工作。</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拟订全市残疾人权益保护办法，统筹推进残疾人福利制度建设和康复辅助器具产业发展。</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10、</w:t>
      </w:r>
      <w:r>
        <w:rPr>
          <w:rFonts w:hint="eastAsia" w:ascii="仿宋_GB2312" w:eastAsia="仿宋_GB2312" w:hAnsiTheme="minorEastAsia" w:cstheme="minorEastAsia"/>
          <w:sz w:val="32"/>
          <w:szCs w:val="32"/>
        </w:rPr>
        <w:t>落实儿童福利、孤弃儿童保障、儿童收养、儿童救助保护政策；拟订农村儿童关爱服务体系和困境儿童保障制度并组织实施。</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11、</w:t>
      </w:r>
      <w:r>
        <w:rPr>
          <w:rFonts w:hint="eastAsia" w:ascii="仿宋_GB2312" w:eastAsia="仿宋_GB2312" w:hAnsiTheme="minorEastAsia" w:cstheme="minorEastAsia"/>
          <w:sz w:val="32"/>
          <w:szCs w:val="32"/>
        </w:rPr>
        <w:t>拟订促进全市慈善事业发展办法、规划并组织实施；负责全市福利彩票销售额度申报和销售管理工作；指导全市社会捐助工作。</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12、</w:t>
      </w:r>
      <w:r>
        <w:rPr>
          <w:rFonts w:hint="eastAsia" w:ascii="仿宋_GB2312" w:eastAsia="仿宋_GB2312" w:hAnsiTheme="minorEastAsia" w:cstheme="minorEastAsia"/>
          <w:sz w:val="32"/>
          <w:szCs w:val="32"/>
        </w:rPr>
        <w:t>拟订全市社会工作、志愿服务办法，会同有关部门推进社会工作人才队伍建设和志愿者队伍建设。</w:t>
      </w:r>
    </w:p>
    <w:p>
      <w:pPr>
        <w:keepNext w:val="0"/>
        <w:keepLines w:val="0"/>
        <w:pageBreakBefore w:val="0"/>
        <w:widowControl w:val="0"/>
        <w:kinsoku/>
        <w:wordWrap/>
        <w:overflowPunct/>
        <w:topLinePunct w:val="0"/>
        <w:autoSpaceDE/>
        <w:autoSpaceDN/>
        <w:bidi w:val="0"/>
        <w:adjustRightInd/>
        <w:snapToGrid/>
        <w:spacing w:line="560" w:lineRule="exact"/>
        <w:ind w:left="120" w:leftChars="50" w:firstLine="640" w:firstLineChars="200"/>
        <w:jc w:val="left"/>
        <w:textAlignment w:val="auto"/>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13、</w:t>
      </w:r>
      <w:r>
        <w:rPr>
          <w:rFonts w:hint="eastAsia" w:ascii="仿宋_GB2312" w:eastAsia="仿宋_GB2312" w:hAnsiTheme="minorEastAsia" w:cstheme="minorEastAsia"/>
          <w:sz w:val="32"/>
          <w:szCs w:val="32"/>
        </w:rPr>
        <w:t>完成市委、市政府交办的其他工作。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二、工作任务</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坚持以习近平新时代中国特色社会主义思想为指导，全面贯彻党的二十大精神、习近平总书记来陕考察重要讲话重要指示精神及民政工作重要指示精神，落实全省民政工作会议、市委五届三次全会、市政府工作报告精神和“三个年”安排部署，坚持以人民为中心的发展思想，提升民政服务质量，着力解决群众关心关切问题，全面开启奋进中国式现代化新征程，谱写全市民政事业高质量发展新篇章。</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（一）不断强化政治建设</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学习贯彻党的二十大精神为主线，坚持全面系统学、及时跟进学、深入思考学、联系实际学，切实把握精髓和实质、把握贯穿其中的立场观点方法，悉心理解“五个牢牢把握”“九个深刻领会”“七个聚焦”等重要要求，精心开展主题教育，努力把学习成果转化为推动新时代民政事业改革发展的实际成效，引导党员干部深刻把握“两个确立”、不断坚定“四个意识”、切实增强“四个自信”，坚决做到“两个维护”。</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（二）纵深推进全面从严治党</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坚决贯彻落实习近平总书记重要指示精神和党中央关于民政工作决策部署，把党的领导贯穿民政工作全过程。深入开展党风廉政建设和反腐败斗争，强化民政系统廉政纪律要求，严肃查处民政领域违纪违规违法行为。持续巩固“清廉商洛”作风建设成果。楔而不舍贯彻落实中央八项规定精神及其实施细则，持续开展“模范机关”创建活动。坚持把政治标准放在首位，建设高素质专业化民政干部队伍，用好用活鼓励机制、容错机制、能上能下“三项机制”，大力培养选拔政治过硬、能力突出的高素质干部。</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楷体_GB2312" w:hAnsi="楷体_GB2312" w:eastAsia="楷体_GB2312" w:cs="楷体_GB2312"/>
          <w:b/>
          <w:bCs/>
          <w:sz w:val="32"/>
          <w:szCs w:val="32"/>
          <w:lang w:val="en-US" w:eastAsia="zh-CN"/>
        </w:rPr>
        <w:t xml:space="preserve">（三）健全完善救助体系 </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修订完善低保边缘家庭认定实施细则，指导各县区做好城乡低保提标和扩围增效工作。落实分散供养特困委托照料护理评价考核工作、定期探访制度。实施新修订的《商洛市临时救助实施细则》。进一步完善困难群众兜底保障数据共享机制。建立政府救助与慈善帮扶衔接机制，构建“物质+服务”救助模式。健全完善社会救助主动发现机制。继续推行“e救助”等互联网社会救助服务。持续开展社会救助领域群众身边腐败和作风问题综合治理工作。</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（四）巩固提高养老服务质量</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展“养老服务监督效能提升年”活动。制定《商洛市基本养老服务体系建设实施意见》《特殊困难老年人探访关爱服务实施意见》。加快养老设施建设，年底前社区日间照料中心覆盖率达到100%。启动实施《商洛市康养服务数字化应用体系建设方案》。加强居家社区养老服务设施运营管理，县（区）范围内镇（办）层面区域养老服务中心建成率达到60%。推动“十四五”特殊困难老年人家庭适老化改造实施，年底前完成1370户特殊困难老年人家庭改造。加大敬老院星级评定力度，各县区星级敬老院达到80%，消防验收率达到100%。举办商洛市第三届养老护理职业技能大赛。健全完善养老机构突发事件应对措施。</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（五）持续加强儿童福利和未成年人保护</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落实孤儿、事实无人抚养儿童基本生活最低养育标准，实现儿童福利信息系统动态管理</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组织实施“儿童福利机构精准化管理、精细化服务质量提升年行动”</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深入推进儿童福利机构优化提质和创新转型。加强机构内儿童思想道德建设和社会融入工作。开展市县未保办负责人能力提升工作，健全未成年人保护体系，推动构建四级工作网络。加大未成年人保护工作宣传</w:t>
      </w:r>
      <w:r>
        <w:rPr>
          <w:rFonts w:hint="eastAsia" w:ascii="仿宋" w:hAnsi="仿宋" w:eastAsia="仿宋" w:cs="仿宋"/>
          <w:sz w:val="32"/>
          <w:szCs w:val="32"/>
          <w:lang w:val="en-US" w:eastAsia="zh-CN"/>
        </w:rPr>
        <w:t>和培训</w:t>
      </w:r>
      <w:r>
        <w:rPr>
          <w:rFonts w:hint="default" w:ascii="仿宋" w:hAnsi="仿宋" w:eastAsia="仿宋" w:cs="仿宋"/>
          <w:sz w:val="32"/>
          <w:szCs w:val="32"/>
          <w:lang w:val="en-US" w:eastAsia="zh-CN"/>
        </w:rPr>
        <w:t>力度，持续开展“书记县长话未保”活动。全面落实国内家庭收养孤残儿童的政策</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加强收养工作信息化建设</w:t>
      </w:r>
      <w:r>
        <w:rPr>
          <w:rFonts w:hint="eastAsia" w:ascii="仿宋" w:hAnsi="仿宋" w:eastAsia="仿宋" w:cs="仿宋"/>
          <w:sz w:val="32"/>
          <w:szCs w:val="32"/>
          <w:lang w:val="en-US" w:eastAsia="zh-CN"/>
        </w:rPr>
        <w:t>，促进</w:t>
      </w:r>
      <w:r>
        <w:rPr>
          <w:rFonts w:hint="default" w:ascii="仿宋" w:hAnsi="仿宋" w:eastAsia="仿宋" w:cs="仿宋"/>
          <w:sz w:val="32"/>
          <w:szCs w:val="32"/>
          <w:lang w:val="en-US" w:eastAsia="zh-CN"/>
        </w:rPr>
        <w:t>收养业务能力提升。</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（六）不断提升城乡社区治理水平</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申请新一批国家级基层治理创新实验试点单位。做好2023年高校毕业生到城乡社区就业和社区专职工作者补充招聘工作</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每万名城镇常住人口拥有城市社区工作者数量达到14人</w:t>
      </w:r>
      <w:r>
        <w:rPr>
          <w:rFonts w:hint="eastAsia" w:ascii="仿宋" w:hAnsi="仿宋" w:eastAsia="仿宋" w:cs="仿宋"/>
          <w:sz w:val="32"/>
          <w:szCs w:val="32"/>
          <w:lang w:val="en-US" w:eastAsia="zh-CN"/>
        </w:rPr>
        <w:t>以上</w:t>
      </w:r>
      <w:r>
        <w:rPr>
          <w:rFonts w:hint="default" w:ascii="仿宋" w:hAnsi="仿宋" w:eastAsia="仿宋" w:cs="仿宋"/>
          <w:sz w:val="32"/>
          <w:szCs w:val="32"/>
          <w:lang w:val="en-US" w:eastAsia="zh-CN"/>
        </w:rPr>
        <w:t>。推动落实村级重大事项决策“四议两公开”、村级“小微权力”清单和村务公开制度。完成1个国家级、2个省级、7个市级村级议事协商创新实验试点结项验收。加快城乡社区综合服务和“智慧社区”项目建设进度。持续做好易地扶贫搬迁安置社区项目建设。加快“人盯房、房管人”创新基层社会治理推广运用</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（七）积极引导社会组织健康有序发展</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推动建立社会组织管理工作联席会议制度，提升管理服务水平</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开展社会组织党建业务专题培训和综合能力提升培训，推动社会组织党建人才队伍建设。做好2022年度网上年检年报工作。</w:t>
      </w:r>
      <w:r>
        <w:rPr>
          <w:rFonts w:hint="eastAsia" w:ascii="仿宋" w:hAnsi="仿宋" w:eastAsia="仿宋" w:cs="仿宋"/>
          <w:sz w:val="32"/>
          <w:szCs w:val="32"/>
          <w:lang w:val="en-US" w:eastAsia="zh-CN"/>
        </w:rPr>
        <w:t>规范登管分离，每月更新法人库数据。优化提升</w:t>
      </w:r>
      <w:r>
        <w:rPr>
          <w:rFonts w:hint="default" w:ascii="仿宋" w:hAnsi="仿宋" w:eastAsia="仿宋" w:cs="仿宋"/>
          <w:sz w:val="32"/>
          <w:szCs w:val="32"/>
          <w:lang w:val="en-US" w:eastAsia="zh-CN"/>
        </w:rPr>
        <w:t>社会组织孵化基地</w:t>
      </w:r>
      <w:r>
        <w:rPr>
          <w:rFonts w:hint="eastAsia" w:ascii="仿宋" w:hAnsi="仿宋" w:eastAsia="仿宋" w:cs="仿宋"/>
          <w:sz w:val="32"/>
          <w:szCs w:val="32"/>
          <w:lang w:val="en-US" w:eastAsia="zh-CN"/>
        </w:rPr>
        <w:t>建设。培育发展社区社会组织，城市社区社会组织每个社区不少于10个，农村社区社会组织每个社区不少于5个。引导社会组织参与乡村振兴和四个服务，开展社会组织“乡村行”系列活动。推进</w:t>
      </w:r>
      <w:r>
        <w:rPr>
          <w:rFonts w:hint="default" w:ascii="仿宋" w:hAnsi="仿宋" w:eastAsia="仿宋" w:cs="仿宋"/>
          <w:sz w:val="32"/>
          <w:szCs w:val="32"/>
          <w:lang w:val="en-US" w:eastAsia="zh-CN"/>
        </w:rPr>
        <w:t>中央财政和省级福彩公益金支持社会组织项目</w:t>
      </w:r>
      <w:r>
        <w:rPr>
          <w:rFonts w:hint="eastAsia" w:ascii="仿宋" w:hAnsi="仿宋" w:eastAsia="仿宋" w:cs="仿宋"/>
          <w:sz w:val="32"/>
          <w:szCs w:val="32"/>
          <w:lang w:val="en-US" w:eastAsia="zh-CN"/>
        </w:rPr>
        <w:t>落地落实</w:t>
      </w:r>
      <w:r>
        <w:rPr>
          <w:rFonts w:hint="default"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（八）稳步推进区划地名管理</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深入宣传贯彻《地名管理条例》。</w:t>
      </w:r>
      <w:r>
        <w:rPr>
          <w:rFonts w:hint="default" w:ascii="仿宋" w:hAnsi="仿宋" w:eastAsia="仿宋" w:cs="仿宋"/>
          <w:sz w:val="32"/>
          <w:szCs w:val="32"/>
          <w:lang w:val="en-US" w:eastAsia="zh-CN"/>
        </w:rPr>
        <w:t>召开全市地名管理工作联席会议</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落实地名备案公告制度</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开展地名文化遗产认定工作。建立行政区划调整部门联审机制，制定完善</w:t>
      </w:r>
      <w:r>
        <w:rPr>
          <w:rFonts w:hint="eastAsia" w:ascii="仿宋" w:hAnsi="仿宋" w:eastAsia="仿宋" w:cs="仿宋"/>
          <w:sz w:val="32"/>
          <w:szCs w:val="32"/>
          <w:lang w:val="en-US" w:eastAsia="zh-CN"/>
        </w:rPr>
        <w:t>镇</w:t>
      </w:r>
      <w:r>
        <w:rPr>
          <w:rFonts w:hint="default" w:ascii="仿宋" w:hAnsi="仿宋" w:eastAsia="仿宋" w:cs="仿宋"/>
          <w:sz w:val="32"/>
          <w:szCs w:val="32"/>
          <w:lang w:val="en-US" w:eastAsia="zh-CN"/>
        </w:rPr>
        <w:t>级行政区划调整综合指标及评价体系。</w:t>
      </w:r>
      <w:r>
        <w:rPr>
          <w:rFonts w:hint="eastAsia" w:ascii="仿宋" w:hAnsi="仿宋" w:eastAsia="仿宋" w:cs="仿宋"/>
          <w:sz w:val="32"/>
          <w:szCs w:val="32"/>
          <w:lang w:val="en-US" w:eastAsia="zh-CN"/>
        </w:rPr>
        <w:t>优化完善陕西省地名数据库和地名信息服务系统。开展</w:t>
      </w:r>
      <w:r>
        <w:rPr>
          <w:rFonts w:hint="default" w:ascii="仿宋" w:hAnsi="仿宋" w:eastAsia="仿宋" w:cs="仿宋"/>
          <w:sz w:val="32"/>
          <w:szCs w:val="32"/>
          <w:lang w:val="en-US" w:eastAsia="zh-CN"/>
        </w:rPr>
        <w:t>第五轮行政区域界线联检工作</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加强界线标志物管理维护</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深入开展平安边界建设。</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（九）持续规范社会事务管理</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充分发挥流浪乞讨人员救助管理工作联席会议作用，</w:t>
      </w:r>
      <w:r>
        <w:rPr>
          <w:rFonts w:hint="default" w:ascii="仿宋" w:hAnsi="仿宋" w:eastAsia="仿宋" w:cs="仿宋"/>
          <w:sz w:val="32"/>
          <w:szCs w:val="32"/>
          <w:lang w:val="en-US" w:eastAsia="zh-CN"/>
        </w:rPr>
        <w:t>积极探索救助管理工作区域中心试点。开展“寒冬送温暖”“夏季送清凉”专项救助行动。</w:t>
      </w:r>
      <w:r>
        <w:rPr>
          <w:rFonts w:hint="eastAsia" w:ascii="仿宋" w:hAnsi="仿宋" w:eastAsia="仿宋" w:cs="仿宋"/>
          <w:sz w:val="32"/>
          <w:szCs w:val="32"/>
          <w:lang w:val="en-US" w:eastAsia="zh-CN"/>
        </w:rPr>
        <w:t>推动</w:t>
      </w:r>
      <w:r>
        <w:rPr>
          <w:rFonts w:hint="default" w:ascii="仿宋" w:hAnsi="仿宋" w:eastAsia="仿宋" w:cs="仿宋"/>
          <w:sz w:val="32"/>
          <w:szCs w:val="32"/>
          <w:lang w:val="en-US" w:eastAsia="zh-CN"/>
        </w:rPr>
        <w:t>“互联网+婚姻服务”和“公民婚育一件事一次办”。</w:t>
      </w:r>
      <w:r>
        <w:rPr>
          <w:rFonts w:hint="eastAsia" w:ascii="仿宋" w:hAnsi="仿宋" w:eastAsia="仿宋" w:cs="仿宋"/>
          <w:sz w:val="32"/>
          <w:szCs w:val="32"/>
          <w:lang w:val="en-US" w:eastAsia="zh-CN"/>
        </w:rPr>
        <w:t>推进县级以上婚姻登记机关设置婚姻家庭辅导室</w:t>
      </w:r>
      <w:r>
        <w:rPr>
          <w:rFonts w:hint="default" w:ascii="仿宋" w:hAnsi="仿宋" w:eastAsia="仿宋" w:cs="仿宋"/>
          <w:sz w:val="32"/>
          <w:szCs w:val="32"/>
          <w:lang w:val="en-US" w:eastAsia="zh-CN"/>
        </w:rPr>
        <w:t>。推进残疾人两项补贴精准管理</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落实完善“跨省通办”“全程网办”</w:t>
      </w:r>
      <w:r>
        <w:rPr>
          <w:rFonts w:hint="eastAsia" w:ascii="仿宋" w:hAnsi="仿宋" w:eastAsia="仿宋" w:cs="仿宋"/>
          <w:sz w:val="32"/>
          <w:szCs w:val="32"/>
          <w:lang w:val="en-US" w:eastAsia="zh-CN"/>
        </w:rPr>
        <w:t>和</w:t>
      </w:r>
      <w:r>
        <w:rPr>
          <w:rFonts w:hint="default" w:ascii="仿宋" w:hAnsi="仿宋" w:eastAsia="仿宋" w:cs="仿宋"/>
          <w:sz w:val="32"/>
          <w:szCs w:val="32"/>
          <w:lang w:val="en-US" w:eastAsia="zh-CN"/>
        </w:rPr>
        <w:t>主动发现</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主动服务等便民服务措施。加强精神障碍社区康复项目建设</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持续开展“民康计划”项目。</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（十）有效促进慈善社会事业发展</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深化“五社联动”试点，年底前易地扶贫搬迁集中安置社区“五社联动”全覆盖</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镇（</w:t>
      </w:r>
      <w:r>
        <w:rPr>
          <w:rFonts w:hint="eastAsia" w:ascii="仿宋" w:hAnsi="仿宋" w:eastAsia="仿宋" w:cs="仿宋"/>
          <w:sz w:val="32"/>
          <w:szCs w:val="32"/>
          <w:lang w:val="en-US" w:eastAsia="zh-CN"/>
        </w:rPr>
        <w:t>办</w:t>
      </w:r>
      <w:r>
        <w:rPr>
          <w:rFonts w:hint="default" w:ascii="仿宋" w:hAnsi="仿宋" w:eastAsia="仿宋" w:cs="仿宋"/>
          <w:sz w:val="32"/>
          <w:szCs w:val="32"/>
          <w:lang w:val="en-US" w:eastAsia="zh-CN"/>
        </w:rPr>
        <w:t>）社工站（室）硬件建设</w:t>
      </w:r>
      <w:r>
        <w:rPr>
          <w:rFonts w:hint="eastAsia" w:ascii="仿宋" w:hAnsi="仿宋" w:eastAsia="仿宋" w:cs="仿宋"/>
          <w:sz w:val="32"/>
          <w:szCs w:val="32"/>
          <w:lang w:val="en-US" w:eastAsia="zh-CN"/>
        </w:rPr>
        <w:t>完成率达到100%。加大《慈善法》宣传，充分发挥慈善资源三次分配作用，</w:t>
      </w:r>
      <w:r>
        <w:rPr>
          <w:rFonts w:hint="default" w:ascii="仿宋" w:hAnsi="仿宋" w:eastAsia="仿宋" w:cs="仿宋"/>
          <w:sz w:val="32"/>
          <w:szCs w:val="32"/>
          <w:lang w:val="en-US" w:eastAsia="zh-CN"/>
        </w:rPr>
        <w:t>广泛调动慈善力量</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参与乡村振兴、社会治理为重点的慈善活动。</w:t>
      </w:r>
      <w:r>
        <w:rPr>
          <w:rFonts w:hint="eastAsia" w:ascii="仿宋" w:hAnsi="仿宋" w:eastAsia="仿宋" w:cs="仿宋"/>
          <w:sz w:val="32"/>
          <w:szCs w:val="32"/>
          <w:lang w:val="en-US" w:eastAsia="zh-CN"/>
        </w:rPr>
        <w:t>继续开展社会工作专业人才服务“三区”计划和社工机构“牵手”计划。</w:t>
      </w:r>
      <w:r>
        <w:rPr>
          <w:rFonts w:hint="default" w:ascii="仿宋" w:hAnsi="仿宋" w:eastAsia="仿宋" w:cs="仿宋"/>
          <w:sz w:val="32"/>
          <w:szCs w:val="32"/>
          <w:lang w:val="en-US" w:eastAsia="zh-CN"/>
        </w:rPr>
        <w:t>广泛设立志愿服务站点</w:t>
      </w:r>
      <w:r>
        <w:rPr>
          <w:rFonts w:hint="eastAsia" w:ascii="仿宋" w:hAnsi="仿宋" w:eastAsia="仿宋" w:cs="仿宋"/>
          <w:sz w:val="32"/>
          <w:szCs w:val="32"/>
          <w:lang w:val="en-US" w:eastAsia="zh-CN"/>
        </w:rPr>
        <w:t>，积极开展服务活动</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提升</w:t>
      </w:r>
      <w:r>
        <w:rPr>
          <w:rFonts w:hint="default" w:ascii="仿宋" w:hAnsi="仿宋" w:eastAsia="仿宋" w:cs="仿宋"/>
          <w:sz w:val="32"/>
          <w:szCs w:val="32"/>
          <w:lang w:val="en-US" w:eastAsia="zh-CN"/>
        </w:rPr>
        <w:t>福利彩票</w:t>
      </w:r>
      <w:r>
        <w:rPr>
          <w:rFonts w:hint="eastAsia" w:ascii="仿宋" w:hAnsi="仿宋" w:eastAsia="仿宋" w:cs="仿宋"/>
          <w:sz w:val="32"/>
          <w:szCs w:val="32"/>
          <w:lang w:val="en-US" w:eastAsia="zh-CN"/>
        </w:rPr>
        <w:t>销量</w:t>
      </w:r>
      <w:r>
        <w:rPr>
          <w:rFonts w:hint="default"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（十一）扎实开展殡葬领域治理</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加大殡葬服务管理工作政策文件宣传，教育引导群众文明节俭治丧，文明低碳祭扫、节地生态安葬。巩固和深化“活人墓”“硬化大墓”等突出问题整治规范工作，4月底前治理率达到100%。加大县级“一馆一墓”建设力度。加强殡仪馆配套设施和改造提升。加快推进殡葬信息化建设，完成“身后一件事一次办”相关工作。做好清明节等传统节日祭扫工作部署和服务保障。</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（十二）筑牢夯实民政事业基础</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仿宋" w:hAnsi="仿宋" w:eastAsia="仿宋" w:cs="仿宋"/>
          <w:sz w:val="32"/>
          <w:szCs w:val="32"/>
          <w:lang w:val="en-US" w:eastAsia="zh-CN"/>
        </w:rPr>
        <w:t>推动“十四五”规划落实。强化财务管理和数据统计工作。加强民政法治化标准化建设，继续推动民政系统“八五”普法规划贯彻实施。推进民政信息化建设，积极推行无纸化办公，加强民政网络和数据安全体系和能力建设。加强政策理论研究，做大做强正面宣传。抓好疫情防控工作。强化民政系统安全管理，健全民政领域安全管理长效机制。做好定点帮扶工作。</w:t>
      </w:r>
    </w:p>
    <w:p>
      <w:pPr>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、人员情况说明</w:t>
      </w:r>
    </w:p>
    <w:p>
      <w:pPr>
        <w:keepNext w:val="0"/>
        <w:keepLines w:val="0"/>
        <w:pageBreakBefore w:val="0"/>
        <w:widowControl w:val="0"/>
        <w:tabs>
          <w:tab w:val="left" w:pos="6643"/>
        </w:tabs>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截止2022年底，本单位人员编制14人，其中行政编制14人、事业编制0人；实有人员16人，其中行政16人、事业0人。单位管理的离退休人员21人。</w:t>
      </w:r>
      <w:r>
        <w:rPr>
          <w:rFonts w:hint="eastAsia" w:ascii="仿宋" w:hAnsi="仿宋" w:eastAsia="仿宋" w:cs="仿宋"/>
          <w:sz w:val="32"/>
          <w:szCs w:val="32"/>
          <w:lang w:val="en-US" w:eastAsia="zh-CN"/>
        </w:rPr>
        <w:tab/>
      </w:r>
    </w:p>
    <w:p>
      <w:pPr>
        <w:ind w:left="0" w:leftChars="0" w:firstLine="0" w:firstLineChars="0"/>
        <w:rPr>
          <w:rFonts w:hint="default"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_GB2312" w:hAnsi="仿宋_GB2312" w:eastAsia="仿宋_GB2312" w:cs="仿宋_GB2312"/>
          <w:b/>
          <w:bCs/>
          <w:sz w:val="32"/>
          <w:szCs w:val="32"/>
          <w:highlight w:val="none"/>
          <w:lang w:eastAsia="zh-CN"/>
        </w:rPr>
      </w:pPr>
      <w:r>
        <w:drawing>
          <wp:anchor distT="0" distB="0" distL="114300" distR="114300" simplePos="0" relativeHeight="251659264" behindDoc="0" locked="0" layoutInCell="1" allowOverlap="1">
            <wp:simplePos x="0" y="0"/>
            <wp:positionH relativeFrom="column">
              <wp:posOffset>309245</wp:posOffset>
            </wp:positionH>
            <wp:positionV relativeFrom="paragraph">
              <wp:posOffset>-2571750</wp:posOffset>
            </wp:positionV>
            <wp:extent cx="4572000" cy="2743200"/>
            <wp:effectExtent l="4445" t="4445" r="14605" b="14605"/>
            <wp:wrapSquare wrapText="bothSides"/>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firstLine="640"/>
        <w:jc w:val="center"/>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eastAsia="zh-CN"/>
        </w:rPr>
        <w:t>第二部分</w:t>
      </w:r>
      <w:r>
        <w:rPr>
          <w:rFonts w:hint="eastAsia" w:ascii="仿宋_GB2312" w:hAnsi="仿宋_GB2312" w:eastAsia="仿宋_GB2312" w:cs="仿宋_GB2312"/>
          <w:b/>
          <w:bCs/>
          <w:sz w:val="32"/>
          <w:szCs w:val="32"/>
          <w:highlight w:val="none"/>
          <w:lang w:val="en-US" w:eastAsia="zh-CN"/>
        </w:rPr>
        <w:t xml:space="preserve">  收支情况</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、收支说明</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sz w:val="32"/>
          <w:szCs w:val="32"/>
          <w:highlight w:val="none"/>
        </w:rPr>
        <w:t>收支预算总体情况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按照综合预算的原则，</w:t>
      </w:r>
      <w:r>
        <w:rPr>
          <w:rFonts w:hint="eastAsia" w:ascii="仿宋_GB2312" w:hAnsi="仿宋_GB2312" w:eastAsia="仿宋_GB2312" w:cs="仿宋_GB2312"/>
          <w:sz w:val="32"/>
          <w:szCs w:val="32"/>
          <w:highlight w:val="none"/>
          <w:lang w:eastAsia="zh-CN"/>
        </w:rPr>
        <w:t>本单位</w:t>
      </w:r>
      <w:r>
        <w:rPr>
          <w:rFonts w:hint="eastAsia" w:ascii="仿宋" w:hAnsi="仿宋" w:eastAsia="仿宋" w:cs="仿宋"/>
          <w:sz w:val="32"/>
          <w:szCs w:val="32"/>
          <w:lang w:val="en-US" w:eastAsia="zh-CN"/>
        </w:rPr>
        <w:t>所有收入和支出均纳入部门预算管理。本单位当年预算收入413.68万元、其中一般公共预算拨款收入413.68万元、政府性基金拨款收入0.00万元、上级补助收入0.00万元、事业收入0.00万元、事业单位经营收入0.00万元、对附属单位上缴收入0.00万元、用事业基金弥补收支差额0.00万元、上年结转0.00万元、上年实户资金余额0.00万元、其他收入0.00万元，较上年减少135.1万元，主要原因是项目支出减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lang w:val="en-US" w:eastAsia="zh-CN"/>
        </w:rPr>
      </w:pPr>
      <w:r>
        <w:rPr>
          <w:rFonts w:hint="eastAsia" w:ascii="仿宋" w:hAnsi="仿宋" w:eastAsia="仿宋" w:cs="仿宋"/>
          <w:sz w:val="32"/>
          <w:szCs w:val="32"/>
          <w:lang w:val="en-US" w:eastAsia="zh-CN"/>
        </w:rPr>
        <w:t>本单位当年预算支出413.68万元，其中一般公共预算拨款支出413.68万元、政府性基金拨款支出0.00万元、事业收入0.00万元、事业单位经营收入0.00万元、对附属单位上缴收入0.00万元、上年实户资金余额0.00万元、其他收入0.00万元、上年结转0.00万元，较上年减少135.11万元，主要原因是项目支出减少。</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（二）财政拨款收支情况。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highlight w:val="yellow"/>
          <w:lang w:val="en-US"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w:t>
      </w:r>
      <w:r>
        <w:rPr>
          <w:rFonts w:hint="eastAsia" w:ascii="仿宋" w:hAnsi="仿宋" w:eastAsia="仿宋" w:cs="仿宋"/>
          <w:sz w:val="32"/>
          <w:szCs w:val="32"/>
          <w:lang w:val="en-US" w:eastAsia="zh-CN"/>
        </w:rPr>
        <w:t>财政拨款收入413.68万元，其中一般公共预算拨款收入413.68万元、政府性基金拨款收入0.00万元、上年结转0.00万元，较上年减少135.11万元，项目支出减少；</w:t>
      </w: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w:t>
      </w:r>
      <w:r>
        <w:rPr>
          <w:rFonts w:hint="eastAsia" w:ascii="仿宋" w:hAnsi="仿宋" w:eastAsia="仿宋" w:cs="仿宋"/>
          <w:sz w:val="32"/>
          <w:szCs w:val="32"/>
          <w:lang w:val="en-US" w:eastAsia="zh-CN"/>
        </w:rPr>
        <w:t>财政拨款支出413.68万元，其中一般公共预算拨款支出413.68万元、政府性基金拨款支出0.00万元、上年结转0.00万元，较上年减少135.11万元，项目支出减少。</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一般公共预算拨款支出明细情况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1、一般公共预算当年拨款规模变化情况</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 xml:space="preserve">  本单位当年一般公共预算拨款支出413.68万元，较上年减少135.11万元，主要原因项目支出减少。</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drawing>
          <wp:inline distT="0" distB="0" distL="114300" distR="114300">
            <wp:extent cx="4639310" cy="3029585"/>
            <wp:effectExtent l="0" t="0" r="889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639310" cy="3029585"/>
                    </a:xfrm>
                    <a:prstGeom prst="rect">
                      <a:avLst/>
                    </a:prstGeom>
                    <a:noFill/>
                    <a:ln>
                      <a:noFill/>
                    </a:ln>
                  </pic:spPr>
                </pic:pic>
              </a:graphicData>
            </a:graphic>
          </wp:inline>
        </w:drawing>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 xml:space="preserve"> 2、支出按功能科目分类的明细情况。</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 xml:space="preserve"> 本单位当年一般公共预算支出413.68万元，其中：</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（1）行政运行（2080201）281.56万元，含人员经费支出257.88万元，公用经费支出23.68万元，专项业务经费0.00万元，较上年增加77.29 万元，原因是</w:t>
      </w:r>
      <w:r>
        <w:rPr>
          <w:rFonts w:hint="eastAsia" w:ascii="仿宋" w:hAnsi="仿宋" w:eastAsia="仿宋" w:cs="仿宋"/>
          <w:color w:val="auto"/>
          <w:sz w:val="32"/>
          <w:szCs w:val="32"/>
          <w:highlight w:val="none"/>
          <w:lang w:val="en-US" w:eastAsia="zh-CN"/>
        </w:rPr>
        <w:t>工资普调、预算新增基础性绩效奖、目标责任考核奖和专项业务费预算</w:t>
      </w:r>
      <w:r>
        <w:rPr>
          <w:rFonts w:hint="eastAsia" w:ascii="仿宋" w:hAnsi="仿宋" w:eastAsia="仿宋" w:cs="仿宋"/>
          <w:sz w:val="32"/>
          <w:szCs w:val="32"/>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（2）行政单位离退休（2080501）0.57万元，含人员经费支出0.00万元，公用经费支出0.57万元，专项业务经费0.00万元，较上年增加0.57 万元，原因是</w:t>
      </w:r>
      <w:r>
        <w:rPr>
          <w:rFonts w:hint="eastAsia" w:ascii="仿宋" w:hAnsi="仿宋" w:eastAsia="仿宋" w:cs="仿宋"/>
          <w:sz w:val="32"/>
          <w:szCs w:val="32"/>
          <w:highlight w:val="none"/>
          <w:lang w:val="en-US" w:eastAsia="zh-CN"/>
        </w:rPr>
        <w:t>原因是上年无此功能科目预算</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（3）机关事业单位基本养老保险缴费支出（2080505）35.16万元，含人员经费支出35.16万元，公用经费支出0.00万元，专项业务经费0.00万元，较上年增加10.36 万元，原因是</w:t>
      </w:r>
      <w:r>
        <w:rPr>
          <w:rFonts w:hint="eastAsia" w:ascii="仿宋" w:hAnsi="仿宋" w:eastAsia="仿宋" w:cs="仿宋"/>
          <w:sz w:val="32"/>
          <w:szCs w:val="32"/>
          <w:highlight w:val="none"/>
          <w:lang w:val="en-US" w:eastAsia="zh-CN"/>
        </w:rPr>
        <w:t>工资普调、缴费基数变大</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（4）机关事业单位职业年金缴费支出（2080506）17.58万元，含人员经费支出17.58万元，公用经费支出0.00万元，专项业务经费0.00万元，较上年增加5.18 万元，原因是</w:t>
      </w:r>
      <w:r>
        <w:rPr>
          <w:rFonts w:hint="eastAsia" w:ascii="仿宋" w:hAnsi="仿宋" w:eastAsia="仿宋" w:cs="仿宋"/>
          <w:sz w:val="32"/>
          <w:szCs w:val="32"/>
          <w:highlight w:val="none"/>
          <w:lang w:val="en-US" w:eastAsia="zh-CN"/>
        </w:rPr>
        <w:t>工资普调、缴费基数变大</w:t>
      </w:r>
      <w:r>
        <w:rPr>
          <w:rFonts w:hint="eastAsia" w:ascii="仿宋" w:hAnsi="仿宋" w:eastAsia="仿宋" w:cs="仿宋"/>
          <w:sz w:val="32"/>
          <w:szCs w:val="32"/>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（5）其他社会保障和就业支出（2089999）30.00万元，含人员经费支出0.00万元，公用经费支出0.00万元，专项业务经费30.00万元，较上年减少248.00 万元，原因是</w:t>
      </w:r>
      <w:r>
        <w:rPr>
          <w:rFonts w:hint="eastAsia" w:ascii="仿宋" w:hAnsi="仿宋" w:eastAsia="仿宋" w:cs="仿宋"/>
          <w:sz w:val="32"/>
          <w:szCs w:val="32"/>
          <w:highlight w:val="none"/>
          <w:lang w:val="en-US" w:eastAsia="zh-CN"/>
        </w:rPr>
        <w:t>专项资金预算减少</w:t>
      </w:r>
      <w:r>
        <w:rPr>
          <w:rFonts w:hint="eastAsia" w:ascii="仿宋" w:hAnsi="仿宋" w:eastAsia="仿宋" w:cs="仿宋"/>
          <w:sz w:val="32"/>
          <w:szCs w:val="32"/>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（6）行政单位医疗（2101101）20.82万元，含人员经费支出20.82万元，公用经费支出0.00万元，专项业务经费0.00万元，较上年增加10.10 万元，原因是</w:t>
      </w:r>
      <w:r>
        <w:rPr>
          <w:rFonts w:hint="eastAsia" w:ascii="仿宋" w:hAnsi="仿宋" w:eastAsia="仿宋" w:cs="仿宋"/>
          <w:sz w:val="32"/>
          <w:szCs w:val="32"/>
          <w:highlight w:val="none"/>
          <w:lang w:val="en-US" w:eastAsia="zh-CN"/>
        </w:rPr>
        <w:t>工资普调、缴费基数变大</w:t>
      </w:r>
      <w:r>
        <w:rPr>
          <w:rFonts w:hint="eastAsia" w:ascii="仿宋" w:hAnsi="仿宋" w:eastAsia="仿宋" w:cs="仿宋"/>
          <w:sz w:val="32"/>
          <w:szCs w:val="32"/>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（7）住房公积金（2210201）28.00万元，含人员经费支出28.00万元，公用经费支出0.00万元，专项业务经费0.00万元，较上年增加9.40 万元，原因是</w:t>
      </w:r>
      <w:r>
        <w:rPr>
          <w:rFonts w:hint="eastAsia" w:ascii="仿宋" w:hAnsi="仿宋" w:eastAsia="仿宋" w:cs="仿宋"/>
          <w:sz w:val="32"/>
          <w:szCs w:val="32"/>
          <w:highlight w:val="none"/>
          <w:lang w:val="en-US" w:eastAsia="zh-CN"/>
        </w:rPr>
        <w:t>工资普调、缴费基数变大</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320" w:firstLineChars="1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3、支出按经济科目分类的明细情况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800" w:leftChars="200" w:hanging="320" w:hangingChars="1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（1）按照单位预算支出经济分类的类级科目说明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本单位当年一般公共预算支出413.68万元，其中：</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sz w:val="32"/>
          <w:szCs w:val="32"/>
          <w:lang w:val="en-US" w:eastAsia="zh-CN"/>
        </w:rPr>
        <w:t>工资福利支出（</w:t>
      </w:r>
      <w:r>
        <w:rPr>
          <w:rFonts w:hint="eastAsia" w:ascii="仿宋" w:hAnsi="仿宋" w:eastAsia="仿宋" w:cs="仿宋"/>
          <w:color w:val="auto"/>
          <w:sz w:val="32"/>
          <w:szCs w:val="32"/>
          <w:highlight w:val="none"/>
          <w:lang w:val="en-US" w:eastAsia="zh-CN"/>
        </w:rPr>
        <w:t>301）341.56万元，均属人员经费支出，较上年增加113.25 万元，原因是本年工资预算增加基础绩效奖、调资后社保、住房公积金等缴费增加；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商品和服务支出（302）69.91万元，其中：公用经费支出39.91万元、专项业务经费支出30.00万元，较上年减少248.35万元，原因</w:t>
      </w:r>
      <w:r>
        <w:rPr>
          <w:rFonts w:hint="eastAsia" w:ascii="仿宋" w:hAnsi="仿宋" w:eastAsia="仿宋" w:cs="仿宋"/>
          <w:sz w:val="32"/>
          <w:szCs w:val="32"/>
          <w:highlight w:val="none"/>
          <w:lang w:val="en-US" w:eastAsia="zh-CN"/>
        </w:rPr>
        <w:t>专项资金预算减少。</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对个人和家庭的补助支出（303）2.22 万元，含人员经费2.22万元，专项业务经费0.00万元，较上年增加0.00 万元。</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资本性支出（310）0.00 万元，均属专项业务经费，较上年增加0.00 万元。</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（2）按照政府预算支出经济分类的类级科目说明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本单位当年一般公共预算支出413.68万元，其中：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机关工资福利支出（501）341.56万元，较上年增加113.25 万元，原因是</w:t>
      </w:r>
      <w:r>
        <w:rPr>
          <w:rFonts w:hint="eastAsia" w:ascii="仿宋_GB2312" w:hAnsi="仿宋_GB2312" w:eastAsia="仿宋_GB2312" w:cs="仿宋_GB2312"/>
          <w:kern w:val="2"/>
          <w:sz w:val="32"/>
          <w:szCs w:val="32"/>
          <w:highlight w:val="none"/>
          <w:lang w:val="en-US" w:eastAsia="zh-CN" w:bidi="ar"/>
        </w:rPr>
        <w:t>本年工资普调、预算增加基础绩效奖、调资后社保、住房公积金等缴费基数增加</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机关商品和服务支出（502）69.91万元，较上年减少248.35 万元，原因</w:t>
      </w:r>
      <w:r>
        <w:rPr>
          <w:rFonts w:hint="eastAsia" w:ascii="仿宋_GB2312" w:hAnsi="仿宋_GB2312" w:eastAsia="仿宋_GB2312" w:cs="仿宋_GB2312"/>
          <w:kern w:val="2"/>
          <w:sz w:val="32"/>
          <w:szCs w:val="32"/>
          <w:highlight w:val="none"/>
          <w:lang w:val="en-US" w:eastAsia="zh-CN" w:bidi="ar"/>
        </w:rPr>
        <w:t>公用经费减少、专项经费减少</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对事业单位经常性补助（505）0.00万元，较上年增加0.00 万元；</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对个人和家庭的补助（509）2.22万元，较上年增加0.00 万元；</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（四）政府性基金预算支出情况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本单位无当年政府性基金预算收支，并已公开空表。</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（五）国有资本经营预算拨款收支情况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本单位无当年国有资本经营预算拨款收支，并已公开空表。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32"/>
          <w:szCs w:val="32"/>
          <w:highlight w:val="none"/>
          <w:lang w:val="en-US" w:eastAsia="zh-CN"/>
        </w:rPr>
      </w:pPr>
      <w:r>
        <w:rPr>
          <w:rFonts w:hint="eastAsia" w:ascii="宋体" w:hAnsi="宋体" w:eastAsia="宋体" w:cs="宋体"/>
          <w:b/>
          <w:bCs/>
          <w:sz w:val="32"/>
          <w:szCs w:val="32"/>
          <w:highlight w:val="none"/>
          <w:lang w:eastAsia="zh-CN"/>
        </w:rPr>
        <w:t>第三部分</w:t>
      </w:r>
      <w:r>
        <w:rPr>
          <w:rFonts w:hint="eastAsia" w:ascii="宋体" w:hAnsi="宋体" w:eastAsia="宋体" w:cs="宋体"/>
          <w:b/>
          <w:bCs/>
          <w:sz w:val="32"/>
          <w:szCs w:val="32"/>
          <w:highlight w:val="none"/>
          <w:lang w:val="en-US" w:eastAsia="zh-CN"/>
        </w:rPr>
        <w:t xml:space="preserve">  其他情况</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val="0"/>
          <w:bCs w:val="0"/>
          <w:sz w:val="32"/>
          <w:szCs w:val="32"/>
          <w:highlight w:val="none"/>
          <w:u w:val="single"/>
        </w:rPr>
      </w:pPr>
      <w:r>
        <w:rPr>
          <w:rFonts w:hint="eastAsia" w:ascii="仿宋_GB2312" w:hAnsi="仿宋_GB2312" w:eastAsia="仿宋_GB2312" w:cs="仿宋_GB2312"/>
          <w:b/>
          <w:bCs/>
          <w:sz w:val="32"/>
          <w:szCs w:val="32"/>
          <w:highlight w:val="none"/>
          <w:u w:val="none"/>
          <w:lang w:eastAsia="zh-CN"/>
        </w:rPr>
        <w:t>五</w:t>
      </w:r>
      <w:r>
        <w:rPr>
          <w:rFonts w:hint="eastAsia" w:ascii="仿宋_GB2312" w:hAnsi="仿宋_GB2312" w:eastAsia="仿宋_GB2312" w:cs="仿宋_GB2312"/>
          <w:b/>
          <w:bCs/>
          <w:sz w:val="32"/>
          <w:szCs w:val="32"/>
          <w:highlight w:val="none"/>
          <w:u w:val="none"/>
        </w:rPr>
        <w:t>、“三公”经费</w:t>
      </w:r>
      <w:r>
        <w:rPr>
          <w:rFonts w:hint="eastAsia" w:ascii="仿宋_GB2312" w:hAnsi="仿宋_GB2312" w:eastAsia="仿宋_GB2312" w:cs="仿宋_GB2312"/>
          <w:b/>
          <w:bCs/>
          <w:sz w:val="32"/>
          <w:szCs w:val="32"/>
          <w:highlight w:val="none"/>
          <w:u w:val="none"/>
          <w:lang w:eastAsia="zh-CN"/>
        </w:rPr>
        <w:t>及会议费、培训费</w:t>
      </w:r>
      <w:r>
        <w:rPr>
          <w:rFonts w:hint="eastAsia" w:ascii="仿宋_GB2312" w:hAnsi="仿宋_GB2312" w:eastAsia="仿宋_GB2312" w:cs="仿宋_GB2312"/>
          <w:b/>
          <w:bCs/>
          <w:sz w:val="32"/>
          <w:szCs w:val="32"/>
          <w:highlight w:val="none"/>
          <w:u w:val="none"/>
        </w:rPr>
        <w:t>情况</w:t>
      </w:r>
      <w:r>
        <w:rPr>
          <w:rFonts w:hint="eastAsia" w:ascii="仿宋_GB2312" w:hAnsi="仿宋_GB2312" w:eastAsia="仿宋_GB2312" w:cs="仿宋_GB2312"/>
          <w:b/>
          <w:bCs/>
          <w:sz w:val="32"/>
          <w:szCs w:val="32"/>
          <w:highlight w:val="none"/>
          <w:u w:val="none"/>
          <w:lang w:eastAsia="zh-CN"/>
        </w:rPr>
        <w:t>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highlight w:val="yellow"/>
          <w:lang w:val="en-US" w:eastAsia="zh-CN"/>
        </w:rPr>
      </w:pPr>
      <w:r>
        <w:rPr>
          <w:rFonts w:hint="eastAsia" w:ascii="仿宋" w:hAnsi="仿宋" w:eastAsia="仿宋" w:cs="仿宋"/>
          <w:sz w:val="32"/>
          <w:szCs w:val="32"/>
          <w:lang w:val="en-US" w:eastAsia="zh-CN"/>
        </w:rPr>
        <w:t>本单位当年一般公共预算“三公”经费预算支出1.90万元，较上年减少0.30万元(30%)</w:t>
      </w:r>
      <w:r>
        <w:rPr>
          <w:rFonts w:hint="eastAsia" w:ascii="仿宋" w:hAnsi="仿宋" w:eastAsia="仿宋" w:cs="仿宋"/>
          <w:sz w:val="32"/>
          <w:szCs w:val="32"/>
          <w:highlight w:val="none"/>
          <w:lang w:val="en-US" w:eastAsia="zh-CN"/>
        </w:rPr>
        <w:t>,减少的主要原因是</w:t>
      </w:r>
      <w:r>
        <w:rPr>
          <w:rFonts w:hint="eastAsia" w:ascii="仿宋_GB2312" w:hAnsi="仿宋_GB2312" w:eastAsia="仿宋_GB2312" w:cs="仿宋_GB2312"/>
          <w:sz w:val="32"/>
          <w:szCs w:val="32"/>
          <w:highlight w:val="none"/>
          <w:lang w:val="en-US" w:eastAsia="zh-CN"/>
        </w:rPr>
        <w:t>压缩经费支出，公务接待费按照单位实际需求进行预算</w:t>
      </w:r>
      <w:r>
        <w:rPr>
          <w:rFonts w:hint="eastAsia" w:ascii="仿宋" w:hAnsi="仿宋" w:eastAsia="仿宋" w:cs="仿宋"/>
          <w:sz w:val="32"/>
          <w:szCs w:val="32"/>
          <w:highlight w:val="none"/>
          <w:lang w:val="en-US" w:eastAsia="zh-CN"/>
        </w:rPr>
        <w:t>。其中：</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因公出国（境）经费0万元，较上年增加0万元(0%)，无增减的主要原因是上年及本年度本单位无此项经费预算；</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公务接待费费0.40万元，较上年减少0.30万元(30%)，增加的主要原因是</w:t>
      </w:r>
      <w:r>
        <w:rPr>
          <w:rFonts w:hint="eastAsia" w:ascii="仿宋_GB2312" w:hAnsi="仿宋_GB2312" w:eastAsia="仿宋_GB2312" w:cs="仿宋_GB2312"/>
          <w:sz w:val="32"/>
          <w:szCs w:val="32"/>
          <w:highlight w:val="none"/>
          <w:lang w:val="en-US" w:eastAsia="zh-CN"/>
        </w:rPr>
        <w:t>压缩经费支出，公务接待费按照单位实际需求进行预算</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公务用车运行维护费1.50万元，较上年增加0.00万元(0%)；</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公务用车购置费0万元，较上年增加0万元（0%）；</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本单位当年一般公共预算会议费预算支出2.50万元，较上年增加0.00万元(0%)；</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本单位当年一般公共预算培训费预算支出0.00万元，较上年增加0.00万元(0%)。</w:t>
      </w:r>
    </w:p>
    <w:p>
      <w:pPr>
        <w:jc w:val="center"/>
        <w:rPr>
          <w:rFonts w:hint="eastAsia" w:ascii="黑体" w:hAnsi="黑体" w:eastAsia="黑体"/>
          <w:sz w:val="32"/>
          <w:szCs w:val="32"/>
        </w:rPr>
      </w:pPr>
      <w:r>
        <w:rPr>
          <w:rFonts w:hint="eastAsia" w:ascii="黑体" w:hAnsi="黑体" w:eastAsia="黑体"/>
          <w:sz w:val="32"/>
          <w:szCs w:val="32"/>
        </w:rPr>
        <w:t xml:space="preserve">会议费培训费明细 </w:t>
      </w:r>
    </w:p>
    <w:p>
      <w:pPr>
        <w:ind w:firstLine="640"/>
        <w:jc w:val="right"/>
        <w:rPr>
          <w:rFonts w:hint="eastAsia" w:ascii="仿宋" w:hAnsi="仿宋" w:eastAsia="仿宋" w:cs="仿宋"/>
          <w:sz w:val="24"/>
        </w:rPr>
      </w:pPr>
      <w:r>
        <w:rPr>
          <w:rFonts w:hint="eastAsia" w:ascii="仿宋" w:hAnsi="仿宋" w:eastAsia="仿宋" w:cs="仿宋"/>
          <w:sz w:val="24"/>
        </w:rPr>
        <w:t>单位：万元</w:t>
      </w:r>
    </w:p>
    <w:tbl>
      <w:tblPr>
        <w:tblStyle w:val="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73"/>
        <w:gridCol w:w="1670"/>
        <w:gridCol w:w="1441"/>
        <w:gridCol w:w="1237"/>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18" w:type="dxa"/>
            <w:noWrap w:val="0"/>
            <w:vAlign w:val="top"/>
          </w:tcPr>
          <w:p>
            <w:pPr>
              <w:spacing w:line="360" w:lineRule="auto"/>
              <w:ind w:left="0" w:leftChars="0" w:firstLine="0" w:firstLineChars="0"/>
              <w:jc w:val="both"/>
              <w:rPr>
                <w:rFonts w:hint="eastAsia" w:ascii="黑体" w:hAnsi="黑体" w:eastAsia="黑体"/>
                <w:sz w:val="18"/>
                <w:szCs w:val="18"/>
              </w:rPr>
            </w:pPr>
            <w:r>
              <w:rPr>
                <w:rFonts w:hint="eastAsia" w:ascii="黑体" w:hAnsi="黑体" w:eastAsia="黑体"/>
                <w:sz w:val="18"/>
                <w:szCs w:val="18"/>
              </w:rPr>
              <w:t>序号</w:t>
            </w:r>
          </w:p>
        </w:tc>
        <w:tc>
          <w:tcPr>
            <w:tcW w:w="1973" w:type="dxa"/>
            <w:noWrap w:val="0"/>
            <w:vAlign w:val="top"/>
          </w:tcPr>
          <w:p>
            <w:pPr>
              <w:spacing w:line="360" w:lineRule="auto"/>
              <w:jc w:val="center"/>
              <w:rPr>
                <w:rFonts w:hint="eastAsia" w:ascii="黑体" w:hAnsi="黑体" w:eastAsia="黑体"/>
                <w:sz w:val="18"/>
                <w:szCs w:val="18"/>
              </w:rPr>
            </w:pPr>
            <w:r>
              <w:rPr>
                <w:rFonts w:hint="eastAsia" w:ascii="黑体" w:hAnsi="黑体" w:eastAsia="黑体"/>
                <w:sz w:val="18"/>
                <w:szCs w:val="18"/>
              </w:rPr>
              <w:t>会议/培训名称</w:t>
            </w:r>
          </w:p>
        </w:tc>
        <w:tc>
          <w:tcPr>
            <w:tcW w:w="1670" w:type="dxa"/>
            <w:noWrap w:val="0"/>
            <w:vAlign w:val="top"/>
          </w:tcPr>
          <w:p>
            <w:pPr>
              <w:spacing w:line="360" w:lineRule="auto"/>
              <w:jc w:val="center"/>
              <w:rPr>
                <w:rFonts w:hint="eastAsia" w:ascii="黑体" w:hAnsi="黑体" w:eastAsia="黑体"/>
                <w:sz w:val="18"/>
                <w:szCs w:val="18"/>
              </w:rPr>
            </w:pPr>
            <w:r>
              <w:rPr>
                <w:rFonts w:hint="eastAsia" w:ascii="黑体" w:hAnsi="黑体" w:eastAsia="黑体"/>
                <w:sz w:val="18"/>
                <w:szCs w:val="18"/>
              </w:rPr>
              <w:t>时间</w:t>
            </w:r>
          </w:p>
        </w:tc>
        <w:tc>
          <w:tcPr>
            <w:tcW w:w="1441" w:type="dxa"/>
            <w:noWrap w:val="0"/>
            <w:vAlign w:val="top"/>
          </w:tcPr>
          <w:p>
            <w:pPr>
              <w:spacing w:line="360" w:lineRule="auto"/>
              <w:jc w:val="center"/>
              <w:rPr>
                <w:rFonts w:hint="eastAsia" w:ascii="黑体" w:hAnsi="黑体" w:eastAsia="黑体"/>
                <w:sz w:val="18"/>
                <w:szCs w:val="18"/>
              </w:rPr>
            </w:pPr>
            <w:r>
              <w:rPr>
                <w:rFonts w:hint="eastAsia" w:ascii="黑体" w:hAnsi="黑体" w:eastAsia="黑体"/>
                <w:sz w:val="18"/>
                <w:szCs w:val="18"/>
              </w:rPr>
              <w:t>人数</w:t>
            </w:r>
          </w:p>
        </w:tc>
        <w:tc>
          <w:tcPr>
            <w:tcW w:w="1237" w:type="dxa"/>
            <w:noWrap w:val="0"/>
            <w:vAlign w:val="top"/>
          </w:tcPr>
          <w:p>
            <w:pPr>
              <w:spacing w:line="360" w:lineRule="auto"/>
              <w:jc w:val="center"/>
              <w:rPr>
                <w:rFonts w:hint="eastAsia" w:ascii="黑体" w:hAnsi="黑体" w:eastAsia="黑体"/>
                <w:sz w:val="18"/>
                <w:szCs w:val="18"/>
              </w:rPr>
            </w:pPr>
            <w:r>
              <w:rPr>
                <w:rFonts w:hint="eastAsia" w:ascii="黑体" w:hAnsi="黑体" w:eastAsia="黑体"/>
                <w:sz w:val="18"/>
                <w:szCs w:val="18"/>
              </w:rPr>
              <w:t>金额</w:t>
            </w:r>
          </w:p>
        </w:tc>
        <w:tc>
          <w:tcPr>
            <w:tcW w:w="2119" w:type="dxa"/>
            <w:noWrap w:val="0"/>
            <w:vAlign w:val="top"/>
          </w:tcPr>
          <w:p>
            <w:pPr>
              <w:spacing w:line="360" w:lineRule="auto"/>
              <w:jc w:val="center"/>
              <w:rPr>
                <w:rFonts w:hint="eastAsia" w:ascii="黑体" w:hAnsi="黑体" w:eastAsia="黑体"/>
                <w:sz w:val="30"/>
                <w:szCs w:val="30"/>
              </w:rPr>
            </w:pPr>
            <w:r>
              <w:rPr>
                <w:rFonts w:hint="eastAsia" w:ascii="黑体" w:hAnsi="黑体" w:eastAsia="黑体"/>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1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jc w:val="both"/>
              <w:textAlignment w:val="auto"/>
              <w:rPr>
                <w:rFonts w:hint="eastAsia" w:ascii="仿宋_GB2312" w:hAnsi="仿宋_GB2312" w:eastAsia="仿宋_GB2312" w:cs="仿宋_GB2312"/>
                <w:sz w:val="18"/>
                <w:szCs w:val="18"/>
                <w:highlight w:val="cyan"/>
              </w:rPr>
            </w:pPr>
            <w:r>
              <w:rPr>
                <w:rFonts w:hint="eastAsia" w:ascii="仿宋_GB2312" w:hAnsi="仿宋_GB2312" w:eastAsia="仿宋_GB2312" w:cs="仿宋_GB2312"/>
                <w:sz w:val="24"/>
                <w:szCs w:val="24"/>
                <w:highlight w:val="none"/>
                <w:vertAlign w:val="baseline"/>
                <w:lang w:val="en-US" w:eastAsia="zh-CN"/>
              </w:rPr>
              <w:t>1</w:t>
            </w:r>
          </w:p>
        </w:tc>
        <w:tc>
          <w:tcPr>
            <w:tcW w:w="1973"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仿宋_GB2312" w:hAnsi="仿宋_GB2312" w:eastAsia="仿宋_GB2312" w:cs="仿宋_GB2312"/>
                <w:sz w:val="18"/>
                <w:szCs w:val="18"/>
                <w:highlight w:val="cyan"/>
                <w:lang w:val="en-US" w:eastAsia="zh-CN"/>
              </w:rPr>
            </w:pPr>
            <w:r>
              <w:rPr>
                <w:rFonts w:hint="eastAsia" w:ascii="仿宋_GB2312" w:hAnsi="仿宋_GB2312" w:eastAsia="仿宋_GB2312" w:cs="仿宋_GB2312"/>
                <w:sz w:val="24"/>
                <w:szCs w:val="24"/>
                <w:highlight w:val="none"/>
                <w:vertAlign w:val="baseline"/>
                <w:lang w:val="en-US" w:eastAsia="zh-CN"/>
              </w:rPr>
              <w:t>全市民政工作会</w:t>
            </w:r>
          </w:p>
        </w:tc>
        <w:tc>
          <w:tcPr>
            <w:tcW w:w="167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仿宋_GB2312" w:hAnsi="仿宋_GB2312" w:eastAsia="仿宋_GB2312" w:cs="仿宋_GB2312"/>
                <w:sz w:val="18"/>
                <w:szCs w:val="18"/>
                <w:highlight w:val="yellow"/>
                <w:lang w:val="en-US" w:eastAsia="zh-CN"/>
              </w:rPr>
            </w:pPr>
            <w:r>
              <w:rPr>
                <w:rFonts w:hint="eastAsia" w:ascii="仿宋_GB2312" w:hAnsi="仿宋_GB2312" w:eastAsia="仿宋_GB2312" w:cs="仿宋_GB2312"/>
                <w:sz w:val="21"/>
                <w:szCs w:val="21"/>
                <w:highlight w:val="none"/>
                <w:vertAlign w:val="baseline"/>
                <w:lang w:val="en-US" w:eastAsia="zh-CN"/>
              </w:rPr>
              <w:t>2023年3月-4月</w:t>
            </w:r>
          </w:p>
        </w:tc>
        <w:tc>
          <w:tcPr>
            <w:tcW w:w="144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仿宋_GB2312" w:hAnsi="仿宋_GB2312" w:eastAsia="仿宋_GB2312" w:cs="仿宋_GB2312"/>
                <w:sz w:val="18"/>
                <w:szCs w:val="18"/>
                <w:highlight w:val="yellow"/>
              </w:rPr>
            </w:pPr>
            <w:r>
              <w:rPr>
                <w:rFonts w:hint="eastAsia" w:ascii="仿宋_GB2312" w:hAnsi="仿宋_GB2312" w:eastAsia="仿宋_GB2312" w:cs="仿宋_GB2312"/>
                <w:sz w:val="24"/>
                <w:szCs w:val="24"/>
                <w:highlight w:val="none"/>
                <w:vertAlign w:val="baseline"/>
                <w:lang w:val="en-US" w:eastAsia="zh-CN"/>
              </w:rPr>
              <w:t>63人</w:t>
            </w:r>
          </w:p>
        </w:tc>
        <w:tc>
          <w:tcPr>
            <w:tcW w:w="123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ascii="仿宋_GB2312" w:hAnsi="仿宋_GB2312" w:eastAsia="仿宋_GB2312" w:cs="仿宋_GB2312"/>
                <w:sz w:val="18"/>
                <w:szCs w:val="18"/>
                <w:highlight w:val="yellow"/>
              </w:rPr>
            </w:pPr>
            <w:r>
              <w:rPr>
                <w:rFonts w:hint="eastAsia" w:ascii="仿宋_GB2312" w:hAnsi="仿宋_GB2312" w:eastAsia="仿宋_GB2312" w:cs="仿宋_GB2312"/>
                <w:sz w:val="24"/>
                <w:szCs w:val="24"/>
                <w:highlight w:val="none"/>
                <w:vertAlign w:val="baseline"/>
                <w:lang w:val="en-US" w:eastAsia="zh-CN"/>
              </w:rPr>
              <w:t>15000</w:t>
            </w:r>
          </w:p>
        </w:tc>
        <w:tc>
          <w:tcPr>
            <w:tcW w:w="2119"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1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4"/>
                <w:szCs w:val="24"/>
                <w:highlight w:val="none"/>
                <w:vertAlign w:val="baseline"/>
                <w:lang w:val="en-US" w:eastAsia="zh-CN"/>
              </w:rPr>
              <w:t>2</w:t>
            </w:r>
          </w:p>
        </w:tc>
        <w:tc>
          <w:tcPr>
            <w:tcW w:w="1973"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4"/>
                <w:szCs w:val="24"/>
                <w:highlight w:val="none"/>
                <w:vertAlign w:val="baseline"/>
                <w:lang w:val="en-US" w:eastAsia="zh-CN"/>
              </w:rPr>
              <w:t>全市民政项目推进会</w:t>
            </w:r>
          </w:p>
        </w:tc>
        <w:tc>
          <w:tcPr>
            <w:tcW w:w="167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sz w:val="21"/>
                <w:szCs w:val="21"/>
                <w:highlight w:val="yellow"/>
              </w:rPr>
            </w:pPr>
            <w:r>
              <w:rPr>
                <w:rFonts w:hint="eastAsia" w:ascii="仿宋_GB2312" w:hAnsi="仿宋_GB2312" w:eastAsia="仿宋_GB2312" w:cs="仿宋_GB2312"/>
                <w:sz w:val="24"/>
                <w:szCs w:val="24"/>
                <w:highlight w:val="none"/>
                <w:vertAlign w:val="baseline"/>
                <w:lang w:val="en-US" w:eastAsia="zh-CN"/>
              </w:rPr>
              <w:t>2023年9月-10月</w:t>
            </w:r>
          </w:p>
        </w:tc>
        <w:tc>
          <w:tcPr>
            <w:tcW w:w="144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21"/>
                <w:szCs w:val="21"/>
                <w:highlight w:val="yellow"/>
              </w:rPr>
            </w:pPr>
            <w:r>
              <w:rPr>
                <w:rFonts w:hint="eastAsia" w:ascii="仿宋_GB2312" w:hAnsi="仿宋_GB2312" w:eastAsia="仿宋_GB2312" w:cs="仿宋_GB2312"/>
                <w:sz w:val="24"/>
                <w:szCs w:val="24"/>
                <w:highlight w:val="none"/>
                <w:vertAlign w:val="baseline"/>
                <w:lang w:val="en-US" w:eastAsia="zh-CN"/>
              </w:rPr>
              <w:t>40人</w:t>
            </w:r>
          </w:p>
        </w:tc>
        <w:tc>
          <w:tcPr>
            <w:tcW w:w="123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仿宋_GB2312" w:hAnsi="仿宋_GB2312" w:eastAsia="仿宋_GB2312" w:cs="仿宋_GB2312"/>
                <w:sz w:val="21"/>
                <w:szCs w:val="21"/>
                <w:highlight w:val="yellow"/>
              </w:rPr>
            </w:pPr>
            <w:r>
              <w:rPr>
                <w:rFonts w:hint="eastAsia" w:ascii="仿宋_GB2312" w:hAnsi="仿宋_GB2312" w:eastAsia="仿宋_GB2312" w:cs="仿宋_GB2312"/>
                <w:sz w:val="24"/>
                <w:szCs w:val="24"/>
                <w:highlight w:val="none"/>
                <w:vertAlign w:val="baseline"/>
                <w:lang w:val="en-US" w:eastAsia="zh-CN"/>
              </w:rPr>
              <w:t>10000</w:t>
            </w:r>
          </w:p>
        </w:tc>
        <w:tc>
          <w:tcPr>
            <w:tcW w:w="2119"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1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4"/>
                <w:szCs w:val="24"/>
                <w:highlight w:val="none"/>
                <w:vertAlign w:val="baseline"/>
                <w:lang w:val="en-US" w:eastAsia="zh-CN"/>
              </w:rPr>
              <w:t>合计</w:t>
            </w:r>
          </w:p>
        </w:tc>
        <w:tc>
          <w:tcPr>
            <w:tcW w:w="1973"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仿宋_GB2312" w:hAnsi="仿宋_GB2312" w:eastAsia="仿宋_GB2312" w:cs="仿宋_GB2312"/>
                <w:sz w:val="21"/>
                <w:szCs w:val="21"/>
                <w:lang w:val="en-US" w:eastAsia="zh-CN"/>
              </w:rPr>
            </w:pPr>
          </w:p>
        </w:tc>
        <w:tc>
          <w:tcPr>
            <w:tcW w:w="167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sz w:val="21"/>
                <w:szCs w:val="21"/>
                <w:highlight w:val="yellow"/>
                <w:lang w:val="en-US" w:eastAsia="zh-CN"/>
              </w:rPr>
            </w:pPr>
          </w:p>
        </w:tc>
        <w:tc>
          <w:tcPr>
            <w:tcW w:w="144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sz w:val="21"/>
                <w:szCs w:val="21"/>
                <w:highlight w:val="yellow"/>
              </w:rPr>
            </w:pPr>
          </w:p>
        </w:tc>
        <w:tc>
          <w:tcPr>
            <w:tcW w:w="123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21"/>
                <w:szCs w:val="21"/>
                <w:highlight w:val="yellow"/>
              </w:rPr>
            </w:pPr>
            <w:r>
              <w:rPr>
                <w:rFonts w:hint="eastAsia" w:ascii="仿宋_GB2312" w:hAnsi="仿宋_GB2312" w:eastAsia="仿宋_GB2312" w:cs="仿宋_GB2312"/>
                <w:sz w:val="24"/>
                <w:szCs w:val="24"/>
                <w:highlight w:val="none"/>
                <w:vertAlign w:val="baseline"/>
                <w:lang w:val="en-US" w:eastAsia="zh-CN"/>
              </w:rPr>
              <w:t>25000</w:t>
            </w:r>
          </w:p>
        </w:tc>
        <w:tc>
          <w:tcPr>
            <w:tcW w:w="2119"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sz w:val="21"/>
                <w:szCs w:val="21"/>
              </w:rPr>
            </w:pPr>
          </w:p>
        </w:tc>
      </w:tr>
    </w:tbl>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国有资产占有使用</w:t>
      </w:r>
      <w:r>
        <w:rPr>
          <w:rFonts w:hint="eastAsia" w:ascii="仿宋_GB2312" w:hAnsi="仿宋_GB2312" w:eastAsia="仿宋_GB2312" w:cs="仿宋_GB2312"/>
          <w:b/>
          <w:bCs/>
          <w:sz w:val="32"/>
          <w:szCs w:val="32"/>
          <w:highlight w:val="none"/>
          <w:lang w:eastAsia="zh-CN"/>
        </w:rPr>
        <w:t>及资产购置</w:t>
      </w:r>
      <w:r>
        <w:rPr>
          <w:rFonts w:hint="eastAsia" w:ascii="仿宋_GB2312" w:hAnsi="仿宋_GB2312" w:eastAsia="仿宋_GB2312" w:cs="仿宋_GB2312"/>
          <w:b/>
          <w:bCs/>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560" w:lineRule="exact"/>
        <w:ind w:firstLine="480"/>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截止2022年底，本部门所属预算单位共有车辆1辆，单价20万元以上的设备0台（套）。2023年当年部门预算安排购置车辆0辆；安排购置单价20万元以上的设备0台（套）。</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七</w:t>
      </w:r>
      <w:r>
        <w:rPr>
          <w:rFonts w:hint="eastAsia" w:ascii="仿宋_GB2312" w:hAnsi="仿宋_GB2312" w:eastAsia="仿宋_GB2312" w:cs="仿宋_GB2312"/>
          <w:b/>
          <w:bCs/>
          <w:sz w:val="32"/>
          <w:szCs w:val="32"/>
          <w:highlight w:val="none"/>
        </w:rPr>
        <w:t>、政府采购情况</w:t>
      </w:r>
      <w:r>
        <w:rPr>
          <w:rFonts w:hint="eastAsia" w:ascii="仿宋_GB2312" w:hAnsi="仿宋_GB2312" w:eastAsia="仿宋_GB2312" w:cs="仿宋_GB2312"/>
          <w:b/>
          <w:bCs/>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w:t>
      </w:r>
      <w:r>
        <w:rPr>
          <w:rFonts w:hint="eastAsia" w:ascii="仿宋_GB2312" w:hAnsi="仿宋_GB2312" w:eastAsia="仿宋_GB2312" w:cs="仿宋_GB2312"/>
          <w:sz w:val="32"/>
          <w:szCs w:val="32"/>
          <w:highlight w:val="none"/>
        </w:rPr>
        <w:t>无政府</w:t>
      </w:r>
      <w:r>
        <w:rPr>
          <w:rFonts w:hint="eastAsia" w:ascii="仿宋_GB2312" w:hAnsi="仿宋_GB2312" w:eastAsia="仿宋_GB2312" w:cs="仿宋_GB2312"/>
          <w:sz w:val="32"/>
          <w:szCs w:val="32"/>
          <w:highlight w:val="none"/>
          <w:lang w:eastAsia="zh-CN"/>
        </w:rPr>
        <w:t>采购预算，并</w:t>
      </w:r>
      <w:r>
        <w:rPr>
          <w:rFonts w:hint="eastAsia" w:ascii="仿宋_GB2312" w:hAnsi="仿宋_GB2312" w:eastAsia="仿宋_GB2312" w:cs="仿宋_GB2312"/>
          <w:sz w:val="32"/>
          <w:szCs w:val="32"/>
          <w:highlight w:val="none"/>
        </w:rPr>
        <w:t>已公开空表</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八、</w:t>
      </w:r>
      <w:r>
        <w:rPr>
          <w:rFonts w:hint="eastAsia" w:ascii="仿宋_GB2312" w:hAnsi="仿宋_GB2312" w:eastAsia="仿宋_GB2312" w:cs="仿宋_GB2312"/>
          <w:b/>
          <w:bCs/>
          <w:sz w:val="32"/>
          <w:szCs w:val="32"/>
          <w:highlight w:val="none"/>
        </w:rPr>
        <w:t>绩效目标</w:t>
      </w:r>
      <w:r>
        <w:rPr>
          <w:rFonts w:hint="eastAsia" w:ascii="仿宋_GB2312" w:hAnsi="仿宋_GB2312" w:eastAsia="仿宋_GB2312" w:cs="仿宋_GB2312"/>
          <w:b/>
          <w:bCs/>
          <w:sz w:val="32"/>
          <w:szCs w:val="32"/>
          <w:highlight w:val="none"/>
          <w:lang w:eastAsia="zh-CN"/>
        </w:rPr>
        <w:t>情况</w:t>
      </w:r>
      <w:r>
        <w:rPr>
          <w:rFonts w:hint="eastAsia" w:ascii="仿宋_GB2312" w:hAnsi="仿宋_GB2312" w:eastAsia="仿宋_GB2312" w:cs="仿宋_GB2312"/>
          <w:b/>
          <w:bCs/>
          <w:sz w:val="32"/>
          <w:szCs w:val="32"/>
          <w:highlight w:val="none"/>
        </w:rPr>
        <w:t>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highlight w:val="none"/>
          <w:lang w:val="en-US" w:eastAsia="zh-CN"/>
        </w:rPr>
        <w:t>本单位绩效目标管理全覆盖，</w:t>
      </w:r>
      <w:r>
        <w:rPr>
          <w:rFonts w:hint="eastAsia" w:ascii="仿宋" w:hAnsi="仿宋" w:eastAsia="仿宋" w:cs="仿宋"/>
          <w:sz w:val="32"/>
          <w:szCs w:val="32"/>
          <w:lang w:val="en-US" w:eastAsia="zh-CN"/>
        </w:rPr>
        <w:t>涉及当年一般公共预算拨款413.68万元,当年政府性基金预算拨款0万元，当年国有资本经营预算拨款0万元（详见公开报表中的绩效目标表）。</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九、公用</w:t>
      </w:r>
      <w:r>
        <w:rPr>
          <w:rFonts w:hint="eastAsia" w:ascii="仿宋_GB2312" w:hAnsi="仿宋_GB2312" w:eastAsia="仿宋_GB2312" w:cs="仿宋_GB2312"/>
          <w:b/>
          <w:bCs/>
          <w:sz w:val="32"/>
          <w:szCs w:val="32"/>
          <w:highlight w:val="none"/>
        </w:rPr>
        <w:t>经费</w:t>
      </w:r>
      <w:r>
        <w:rPr>
          <w:rFonts w:hint="eastAsia" w:ascii="仿宋_GB2312" w:hAnsi="仿宋_GB2312" w:eastAsia="仿宋_GB2312" w:cs="仿宋_GB2312"/>
          <w:b/>
          <w:bCs/>
          <w:sz w:val="32"/>
          <w:szCs w:val="32"/>
          <w:highlight w:val="none"/>
          <w:lang w:eastAsia="zh-CN"/>
        </w:rPr>
        <w:t>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单位当年公用经费预算安排24.25万元，较上年减少0.71万元，主要原因是</w:t>
      </w:r>
      <w:r>
        <w:rPr>
          <w:rFonts w:hint="eastAsia" w:ascii="仿宋" w:hAnsi="仿宋" w:eastAsia="仿宋" w:cs="仿宋"/>
          <w:sz w:val="32"/>
          <w:szCs w:val="32"/>
          <w:lang w:val="en-US" w:eastAsia="zh-CN"/>
        </w:rPr>
        <w:t>人员变动。</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lang w:eastAsia="zh-CN"/>
        </w:rPr>
        <w:t>十</w:t>
      </w:r>
      <w:r>
        <w:rPr>
          <w:rFonts w:hint="eastAsia" w:ascii="仿宋_GB2312" w:hAnsi="仿宋_GB2312" w:eastAsia="仿宋_GB2312" w:cs="仿宋_GB2312"/>
          <w:b/>
          <w:bCs/>
          <w:sz w:val="32"/>
          <w:szCs w:val="32"/>
          <w:highlight w:val="none"/>
        </w:rPr>
        <w:t>、专业名词解释</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1.公用经费：包括办公及印刷费、邮电费、差旅费、会议费、福利费、日常维修费、专用材料及一般设备购置费、办公用房水电费、办公用房取暖费、办公用房物业管理费、公务用车运行维护费以及其他费用。</w:t>
      </w:r>
    </w:p>
    <w:p>
      <w:pPr>
        <w:spacing w:line="360" w:lineRule="auto"/>
        <w:ind w:firstLine="640"/>
        <w:rPr>
          <w:rFonts w:hint="eastAsia" w:ascii="仿宋" w:hAnsi="仿宋" w:eastAsia="仿宋" w:cs="仿宋"/>
          <w:sz w:val="32"/>
          <w:szCs w:val="32"/>
        </w:rPr>
      </w:pPr>
      <w:r>
        <w:rPr>
          <w:rFonts w:hint="eastAsia" w:ascii="仿宋_GB2312" w:hAnsi="仿宋_GB2312" w:eastAsia="仿宋_GB2312" w:cs="仿宋_GB2312"/>
          <w:sz w:val="32"/>
          <w:szCs w:val="32"/>
          <w:highlight w:val="none"/>
        </w:rPr>
        <w:t>2.</w:t>
      </w:r>
      <w:r>
        <w:rPr>
          <w:rFonts w:hint="eastAsia" w:ascii="仿宋" w:hAnsi="仿宋" w:eastAsia="仿宋" w:cs="仿宋"/>
          <w:sz w:val="32"/>
          <w:szCs w:val="32"/>
        </w:rPr>
        <w:t>“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hint="eastAsia" w:ascii="仿宋" w:hAnsi="仿宋" w:eastAsia="仿宋" w:cs="仿宋"/>
          <w:sz w:val="32"/>
          <w:szCs w:val="32"/>
        </w:rPr>
        <w:br w:type="textWrapping"/>
      </w:r>
      <w:r>
        <w:rPr>
          <w:rFonts w:hint="eastAsia" w:ascii="仿宋" w:hAnsi="仿宋" w:eastAsia="仿宋" w:cs="仿宋"/>
          <w:sz w:val="32"/>
          <w:szCs w:val="32"/>
        </w:rPr>
        <w:t xml:space="preserve">    3.工资福利支出:反映单位开支的在职职工和编制外长期聘用人员的各类劳动报酬，以及为上述人员缴纳的各项社会保险费等。主要有基本工资、津贴补贴、奖金、绩效工资、机关事业单位基本养老保险缴费、职业年金缴费、职工基本医疗保险缴费、住房公积金等。</w:t>
      </w:r>
      <w:r>
        <w:rPr>
          <w:rFonts w:hint="eastAsia" w:ascii="仿宋" w:hAnsi="仿宋" w:eastAsia="仿宋" w:cs="仿宋"/>
          <w:sz w:val="32"/>
          <w:szCs w:val="32"/>
        </w:rPr>
        <w:br w:type="textWrapping"/>
      </w:r>
      <w:r>
        <w:rPr>
          <w:rFonts w:hint="eastAsia" w:ascii="仿宋" w:hAnsi="仿宋" w:eastAsia="仿宋" w:cs="仿宋"/>
          <w:sz w:val="32"/>
          <w:szCs w:val="32"/>
        </w:rPr>
        <w:t xml:space="preserve">    4.商品和服务支出:反映单位购买商品和服务的支出，不包括用于购置固定资产、战略性和应急性物资储备等资本性支出。主要有办公费、差旅费、会议费、培训费、印刷费、邮电费、维修费、公务用车运行维护费等。</w:t>
      </w:r>
      <w:r>
        <w:rPr>
          <w:rFonts w:hint="eastAsia" w:ascii="仿宋" w:hAnsi="仿宋" w:eastAsia="仿宋" w:cs="仿宋"/>
          <w:sz w:val="32"/>
          <w:szCs w:val="32"/>
        </w:rPr>
        <w:br w:type="textWrapping"/>
      </w:r>
      <w:r>
        <w:rPr>
          <w:rFonts w:hint="eastAsia" w:ascii="仿宋" w:hAnsi="仿宋" w:eastAsia="仿宋" w:cs="仿宋"/>
          <w:sz w:val="32"/>
          <w:szCs w:val="32"/>
        </w:rPr>
        <w:t xml:space="preserve">    5.对个人和家庭的补助支出:反映政府用于对个人和家庭的补助支出。主要有离休费、退休费、抚恤金、生活补助、救济费、奖励金等。</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jc w:val="center"/>
        <w:textAlignment w:val="auto"/>
        <w:outlineLvl w:val="9"/>
        <w:rPr>
          <w:rFonts w:hint="eastAsia" w:ascii="宋体" w:hAnsi="宋体" w:eastAsia="宋体" w:cs="宋体"/>
          <w:b/>
          <w:bCs/>
          <w:sz w:val="32"/>
          <w:szCs w:val="32"/>
          <w:lang w:val="en-US" w:eastAsia="zh-CN"/>
        </w:rPr>
      </w:pPr>
      <w:r>
        <w:rPr>
          <w:rFonts w:hint="eastAsia" w:ascii="黑体" w:hAnsi="黑体" w:eastAsia="黑体" w:cs="黑体"/>
          <w:b/>
          <w:bCs/>
          <w:sz w:val="32"/>
          <w:szCs w:val="32"/>
          <w:lang w:val="en-US" w:eastAsia="zh-CN"/>
        </w:rPr>
        <w:t xml:space="preserve">  </w:t>
      </w:r>
      <w:r>
        <w:rPr>
          <w:rFonts w:hint="eastAsia" w:ascii="宋体" w:hAnsi="宋体" w:eastAsia="宋体" w:cs="宋体"/>
          <w:b/>
          <w:bCs/>
          <w:sz w:val="32"/>
          <w:szCs w:val="32"/>
          <w:lang w:val="en-US" w:eastAsia="zh-CN"/>
        </w:rPr>
        <w:t>第四部分  公开报表</w:t>
      </w:r>
    </w:p>
    <w:p>
      <w:pPr>
        <w:keepNext w:val="0"/>
        <w:keepLines w:val="0"/>
        <w:pageBreakBefore w:val="0"/>
        <w:widowControl w:val="0"/>
        <w:kinsoku/>
        <w:wordWrap/>
        <w:overflowPunct/>
        <w:topLinePunct w:val="0"/>
        <w:autoSpaceDE/>
        <w:autoSpaceDN/>
        <w:bidi w:val="0"/>
        <w:adjustRightInd/>
        <w:snapToGrid/>
        <w:spacing w:line="360" w:lineRule="auto"/>
        <w:ind w:firstLine="480"/>
        <w:jc w:val="center"/>
        <w:textAlignment w:val="auto"/>
        <w:outlineLvl w:val="9"/>
        <w:rPr>
          <w:rFonts w:hint="default" w:ascii="宋体" w:hAnsi="宋体" w:eastAsia="宋体" w:cs="宋体"/>
          <w:b/>
          <w:bCs/>
          <w:sz w:val="28"/>
          <w:szCs w:val="28"/>
          <w:lang w:val="en-US" w:eastAsia="zh-CN"/>
        </w:rPr>
      </w:pPr>
      <w:r>
        <w:rPr>
          <w:rFonts w:hint="eastAsia" w:ascii="宋体" w:hAnsi="宋体" w:cs="宋体"/>
          <w:b/>
          <w:bCs/>
          <w:sz w:val="28"/>
          <w:szCs w:val="28"/>
          <w:lang w:val="en-US" w:eastAsia="zh-CN"/>
        </w:rPr>
        <w:t xml:space="preserve">   (</w:t>
      </w:r>
      <w:r>
        <w:rPr>
          <w:rFonts w:hint="eastAsia" w:ascii="宋体" w:hAnsi="宋体" w:eastAsia="宋体" w:cs="宋体"/>
          <w:b/>
          <w:bCs/>
          <w:sz w:val="28"/>
          <w:szCs w:val="28"/>
          <w:lang w:val="en-US" w:eastAsia="zh-CN"/>
        </w:rPr>
        <w:t>具体</w:t>
      </w:r>
      <w:r>
        <w:rPr>
          <w:rFonts w:hint="eastAsia" w:ascii="宋体" w:hAnsi="宋体" w:cs="宋体"/>
          <w:b/>
          <w:bCs/>
          <w:sz w:val="28"/>
          <w:szCs w:val="28"/>
          <w:lang w:val="en-US" w:eastAsia="zh-CN"/>
        </w:rPr>
        <w:t>单位</w:t>
      </w:r>
      <w:r>
        <w:rPr>
          <w:rFonts w:hint="eastAsia" w:ascii="宋体" w:hAnsi="宋体" w:eastAsia="宋体" w:cs="宋体"/>
          <w:b/>
          <w:bCs/>
          <w:sz w:val="28"/>
          <w:szCs w:val="28"/>
          <w:lang w:val="en-US" w:eastAsia="zh-CN"/>
        </w:rPr>
        <w:t>预算公开报表</w:t>
      </w:r>
      <w:r>
        <w:rPr>
          <w:rFonts w:hint="eastAsia" w:ascii="宋体" w:hAnsi="宋体" w:cs="宋体"/>
          <w:b/>
          <w:bCs/>
          <w:sz w:val="28"/>
          <w:szCs w:val="28"/>
          <w:lang w:val="en-US"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D7FB9"/>
    <w:multiLevelType w:val="singleLevel"/>
    <w:tmpl w:val="BC3D7FB9"/>
    <w:lvl w:ilvl="0" w:tentative="0">
      <w:start w:val="3"/>
      <w:numFmt w:val="chineseCounting"/>
      <w:suff w:val="nothing"/>
      <w:lvlText w:val="（%1）"/>
      <w:lvlJc w:val="left"/>
      <w:rPr>
        <w:rFonts w:hint="eastAsia"/>
      </w:rPr>
    </w:lvl>
  </w:abstractNum>
  <w:abstractNum w:abstractNumId="1">
    <w:nsid w:val="6600ABB8"/>
    <w:multiLevelType w:val="singleLevel"/>
    <w:tmpl w:val="6600ABB8"/>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lN2FkNmUzYTBhYzg0NmU2NTg1NmE3YzQyMjhhNzEifQ=="/>
  </w:docVars>
  <w:rsids>
    <w:rsidRoot w:val="00172A27"/>
    <w:rsid w:val="0002500C"/>
    <w:rsid w:val="00817C7C"/>
    <w:rsid w:val="00CE11C6"/>
    <w:rsid w:val="00E57791"/>
    <w:rsid w:val="00F13B71"/>
    <w:rsid w:val="00F86BD8"/>
    <w:rsid w:val="015358A1"/>
    <w:rsid w:val="0169037A"/>
    <w:rsid w:val="019A37DB"/>
    <w:rsid w:val="01DF2BB7"/>
    <w:rsid w:val="01E34AA9"/>
    <w:rsid w:val="01ED29DF"/>
    <w:rsid w:val="0209026D"/>
    <w:rsid w:val="025830ED"/>
    <w:rsid w:val="02E940E4"/>
    <w:rsid w:val="03295794"/>
    <w:rsid w:val="03347010"/>
    <w:rsid w:val="037B747C"/>
    <w:rsid w:val="03AC5C73"/>
    <w:rsid w:val="03C51AA4"/>
    <w:rsid w:val="03F03CCE"/>
    <w:rsid w:val="042123E7"/>
    <w:rsid w:val="04671024"/>
    <w:rsid w:val="050C7A05"/>
    <w:rsid w:val="05A6512B"/>
    <w:rsid w:val="063A2179"/>
    <w:rsid w:val="06535650"/>
    <w:rsid w:val="06555A5A"/>
    <w:rsid w:val="071B31D8"/>
    <w:rsid w:val="0753082F"/>
    <w:rsid w:val="07600B39"/>
    <w:rsid w:val="07632917"/>
    <w:rsid w:val="07956EB7"/>
    <w:rsid w:val="08552743"/>
    <w:rsid w:val="0877497F"/>
    <w:rsid w:val="08AC10A9"/>
    <w:rsid w:val="08DA2EA3"/>
    <w:rsid w:val="092F4832"/>
    <w:rsid w:val="097F3883"/>
    <w:rsid w:val="09821A03"/>
    <w:rsid w:val="0A391333"/>
    <w:rsid w:val="0AA50E2F"/>
    <w:rsid w:val="0AA6727C"/>
    <w:rsid w:val="0AC05463"/>
    <w:rsid w:val="0AD97118"/>
    <w:rsid w:val="0AEE1997"/>
    <w:rsid w:val="0B0259FF"/>
    <w:rsid w:val="0B115838"/>
    <w:rsid w:val="0B420AEA"/>
    <w:rsid w:val="0BBF2E48"/>
    <w:rsid w:val="0BC70C0A"/>
    <w:rsid w:val="0BC817E1"/>
    <w:rsid w:val="0BCE6852"/>
    <w:rsid w:val="0BEA54A6"/>
    <w:rsid w:val="0C284A48"/>
    <w:rsid w:val="0C3D305A"/>
    <w:rsid w:val="0CB963C1"/>
    <w:rsid w:val="0D247F78"/>
    <w:rsid w:val="0D2E4E0F"/>
    <w:rsid w:val="0D3C0CD1"/>
    <w:rsid w:val="0DEB13DD"/>
    <w:rsid w:val="0E0C1122"/>
    <w:rsid w:val="0E797AC2"/>
    <w:rsid w:val="0E7B41E7"/>
    <w:rsid w:val="0EA83E98"/>
    <w:rsid w:val="0F081333"/>
    <w:rsid w:val="0F1008A4"/>
    <w:rsid w:val="0F1B056F"/>
    <w:rsid w:val="0F566B52"/>
    <w:rsid w:val="0FEC0C91"/>
    <w:rsid w:val="0FF5179F"/>
    <w:rsid w:val="10883F67"/>
    <w:rsid w:val="10946959"/>
    <w:rsid w:val="11471180"/>
    <w:rsid w:val="118A09AF"/>
    <w:rsid w:val="11B3097A"/>
    <w:rsid w:val="11C346FF"/>
    <w:rsid w:val="11F0044E"/>
    <w:rsid w:val="12082FE5"/>
    <w:rsid w:val="129E1223"/>
    <w:rsid w:val="12B7265B"/>
    <w:rsid w:val="12F8536A"/>
    <w:rsid w:val="135107D4"/>
    <w:rsid w:val="13C723C5"/>
    <w:rsid w:val="13E75309"/>
    <w:rsid w:val="1416199A"/>
    <w:rsid w:val="14A35726"/>
    <w:rsid w:val="151F6E6D"/>
    <w:rsid w:val="153935D8"/>
    <w:rsid w:val="154F1B9F"/>
    <w:rsid w:val="15B95A59"/>
    <w:rsid w:val="15C8778C"/>
    <w:rsid w:val="16150B7E"/>
    <w:rsid w:val="16264D1F"/>
    <w:rsid w:val="16365249"/>
    <w:rsid w:val="16BB0A11"/>
    <w:rsid w:val="171667D3"/>
    <w:rsid w:val="17424B58"/>
    <w:rsid w:val="17910A90"/>
    <w:rsid w:val="17E34984"/>
    <w:rsid w:val="181F4C6E"/>
    <w:rsid w:val="18410DA8"/>
    <w:rsid w:val="18680801"/>
    <w:rsid w:val="187C632C"/>
    <w:rsid w:val="18C97953"/>
    <w:rsid w:val="18D8782D"/>
    <w:rsid w:val="18EB2595"/>
    <w:rsid w:val="19055D69"/>
    <w:rsid w:val="19141913"/>
    <w:rsid w:val="191750EC"/>
    <w:rsid w:val="1960119B"/>
    <w:rsid w:val="19942E61"/>
    <w:rsid w:val="19B02787"/>
    <w:rsid w:val="1A2F0955"/>
    <w:rsid w:val="1A620741"/>
    <w:rsid w:val="1AE02592"/>
    <w:rsid w:val="1B0165C9"/>
    <w:rsid w:val="1B092C9F"/>
    <w:rsid w:val="1B177A36"/>
    <w:rsid w:val="1B332B6A"/>
    <w:rsid w:val="1B5A5061"/>
    <w:rsid w:val="1B8E63BA"/>
    <w:rsid w:val="1BC933DC"/>
    <w:rsid w:val="1C097D46"/>
    <w:rsid w:val="1C320E66"/>
    <w:rsid w:val="1C5A1287"/>
    <w:rsid w:val="1CB164B9"/>
    <w:rsid w:val="1D02380A"/>
    <w:rsid w:val="1D303576"/>
    <w:rsid w:val="1E48774E"/>
    <w:rsid w:val="1E6B3FC4"/>
    <w:rsid w:val="1E7F557D"/>
    <w:rsid w:val="1EA123DE"/>
    <w:rsid w:val="1EA50D3B"/>
    <w:rsid w:val="1ED0381D"/>
    <w:rsid w:val="1EDE6EF7"/>
    <w:rsid w:val="1F4370CE"/>
    <w:rsid w:val="1F474DE3"/>
    <w:rsid w:val="1F59183B"/>
    <w:rsid w:val="1F72323A"/>
    <w:rsid w:val="1F9E1EE8"/>
    <w:rsid w:val="1FCD5494"/>
    <w:rsid w:val="200710B0"/>
    <w:rsid w:val="201947E5"/>
    <w:rsid w:val="20455988"/>
    <w:rsid w:val="20B42D9D"/>
    <w:rsid w:val="20E17D3D"/>
    <w:rsid w:val="213925E9"/>
    <w:rsid w:val="21482EC5"/>
    <w:rsid w:val="21621941"/>
    <w:rsid w:val="21732A0C"/>
    <w:rsid w:val="21B01310"/>
    <w:rsid w:val="221D3069"/>
    <w:rsid w:val="227F4EDE"/>
    <w:rsid w:val="22AC3736"/>
    <w:rsid w:val="231E0E86"/>
    <w:rsid w:val="23773224"/>
    <w:rsid w:val="237C370A"/>
    <w:rsid w:val="23B3277C"/>
    <w:rsid w:val="23B9674A"/>
    <w:rsid w:val="242B3817"/>
    <w:rsid w:val="246D21D5"/>
    <w:rsid w:val="24733F80"/>
    <w:rsid w:val="24A361D8"/>
    <w:rsid w:val="24BD2F2C"/>
    <w:rsid w:val="251C5F5A"/>
    <w:rsid w:val="25525D80"/>
    <w:rsid w:val="25993D1B"/>
    <w:rsid w:val="25994027"/>
    <w:rsid w:val="259B2951"/>
    <w:rsid w:val="25C13345"/>
    <w:rsid w:val="26193912"/>
    <w:rsid w:val="26977E3C"/>
    <w:rsid w:val="26A3260F"/>
    <w:rsid w:val="26B16FBE"/>
    <w:rsid w:val="26CA57C0"/>
    <w:rsid w:val="26E94B19"/>
    <w:rsid w:val="27192607"/>
    <w:rsid w:val="279F1274"/>
    <w:rsid w:val="28856A2D"/>
    <w:rsid w:val="2886733F"/>
    <w:rsid w:val="28B974D7"/>
    <w:rsid w:val="28CD2EC6"/>
    <w:rsid w:val="28CE1906"/>
    <w:rsid w:val="29995172"/>
    <w:rsid w:val="29AC1283"/>
    <w:rsid w:val="29D53111"/>
    <w:rsid w:val="2AA47CD5"/>
    <w:rsid w:val="2ADC1299"/>
    <w:rsid w:val="2AE757FB"/>
    <w:rsid w:val="2BD81239"/>
    <w:rsid w:val="2BE56461"/>
    <w:rsid w:val="2BE75DCA"/>
    <w:rsid w:val="2BF85692"/>
    <w:rsid w:val="2C0256C6"/>
    <w:rsid w:val="2C522B76"/>
    <w:rsid w:val="2C545309"/>
    <w:rsid w:val="2CF3789E"/>
    <w:rsid w:val="2D0D3281"/>
    <w:rsid w:val="2D0D5C2B"/>
    <w:rsid w:val="2D9A478D"/>
    <w:rsid w:val="2DCD77AA"/>
    <w:rsid w:val="2E0B249C"/>
    <w:rsid w:val="2E193A2F"/>
    <w:rsid w:val="2E3738D4"/>
    <w:rsid w:val="2E803BB2"/>
    <w:rsid w:val="2EF23A77"/>
    <w:rsid w:val="2F560F80"/>
    <w:rsid w:val="2F98708D"/>
    <w:rsid w:val="301F5C98"/>
    <w:rsid w:val="30AF76EF"/>
    <w:rsid w:val="30DC78E7"/>
    <w:rsid w:val="31DB385B"/>
    <w:rsid w:val="31DD756F"/>
    <w:rsid w:val="32162B6A"/>
    <w:rsid w:val="322323CC"/>
    <w:rsid w:val="322466F2"/>
    <w:rsid w:val="322B447F"/>
    <w:rsid w:val="32A8762A"/>
    <w:rsid w:val="33011313"/>
    <w:rsid w:val="337E2856"/>
    <w:rsid w:val="33966C57"/>
    <w:rsid w:val="33A738B4"/>
    <w:rsid w:val="33D0750F"/>
    <w:rsid w:val="33EC2CEC"/>
    <w:rsid w:val="342F5C51"/>
    <w:rsid w:val="343F1D23"/>
    <w:rsid w:val="346F2A37"/>
    <w:rsid w:val="353360CA"/>
    <w:rsid w:val="35C423A1"/>
    <w:rsid w:val="35C94C0B"/>
    <w:rsid w:val="35FC1049"/>
    <w:rsid w:val="36130651"/>
    <w:rsid w:val="36256A03"/>
    <w:rsid w:val="36384582"/>
    <w:rsid w:val="366D5ED8"/>
    <w:rsid w:val="369537E8"/>
    <w:rsid w:val="37463827"/>
    <w:rsid w:val="37624231"/>
    <w:rsid w:val="37B3535F"/>
    <w:rsid w:val="37DD7F65"/>
    <w:rsid w:val="37E345F1"/>
    <w:rsid w:val="37E52450"/>
    <w:rsid w:val="3810606A"/>
    <w:rsid w:val="385B7F48"/>
    <w:rsid w:val="394360F5"/>
    <w:rsid w:val="39591A61"/>
    <w:rsid w:val="39D36D72"/>
    <w:rsid w:val="39F23E7D"/>
    <w:rsid w:val="39F27F2D"/>
    <w:rsid w:val="3A296DB0"/>
    <w:rsid w:val="3A8C3EE7"/>
    <w:rsid w:val="3B230497"/>
    <w:rsid w:val="3B3B1B9E"/>
    <w:rsid w:val="3B3B3FFE"/>
    <w:rsid w:val="3BAB75F8"/>
    <w:rsid w:val="3C4D288E"/>
    <w:rsid w:val="3C5C1F79"/>
    <w:rsid w:val="3C9F3019"/>
    <w:rsid w:val="3CCF4230"/>
    <w:rsid w:val="3CD8486C"/>
    <w:rsid w:val="3D5247A3"/>
    <w:rsid w:val="3DC7716C"/>
    <w:rsid w:val="3E2D6F7B"/>
    <w:rsid w:val="3E8C59E9"/>
    <w:rsid w:val="3EA143D4"/>
    <w:rsid w:val="3EA47316"/>
    <w:rsid w:val="3EA97755"/>
    <w:rsid w:val="3F093323"/>
    <w:rsid w:val="3FAF3CF4"/>
    <w:rsid w:val="3FCA361B"/>
    <w:rsid w:val="40302CD6"/>
    <w:rsid w:val="40453022"/>
    <w:rsid w:val="406D7247"/>
    <w:rsid w:val="415C72B5"/>
    <w:rsid w:val="41772DBC"/>
    <w:rsid w:val="419817D0"/>
    <w:rsid w:val="41A526D8"/>
    <w:rsid w:val="41E9687E"/>
    <w:rsid w:val="41EB27B6"/>
    <w:rsid w:val="424E670D"/>
    <w:rsid w:val="42BD2DEB"/>
    <w:rsid w:val="431C5459"/>
    <w:rsid w:val="43FE04A3"/>
    <w:rsid w:val="44541F37"/>
    <w:rsid w:val="44AF2175"/>
    <w:rsid w:val="44BC09E7"/>
    <w:rsid w:val="44FC03BC"/>
    <w:rsid w:val="45036889"/>
    <w:rsid w:val="45251B69"/>
    <w:rsid w:val="45332FC5"/>
    <w:rsid w:val="456152FB"/>
    <w:rsid w:val="464C4E80"/>
    <w:rsid w:val="466C4C60"/>
    <w:rsid w:val="467E4E58"/>
    <w:rsid w:val="46EF2A42"/>
    <w:rsid w:val="477A0D44"/>
    <w:rsid w:val="482439FF"/>
    <w:rsid w:val="484E10F7"/>
    <w:rsid w:val="485A4E13"/>
    <w:rsid w:val="48915554"/>
    <w:rsid w:val="490F3BE0"/>
    <w:rsid w:val="4928263A"/>
    <w:rsid w:val="49346E1F"/>
    <w:rsid w:val="494C5C3E"/>
    <w:rsid w:val="498507CF"/>
    <w:rsid w:val="49C71BF8"/>
    <w:rsid w:val="49DB1DA7"/>
    <w:rsid w:val="49EA7890"/>
    <w:rsid w:val="49F45011"/>
    <w:rsid w:val="4A2E50B4"/>
    <w:rsid w:val="4A737AF5"/>
    <w:rsid w:val="4AFE0340"/>
    <w:rsid w:val="4B3F51E4"/>
    <w:rsid w:val="4B657062"/>
    <w:rsid w:val="4B850273"/>
    <w:rsid w:val="4BF07E55"/>
    <w:rsid w:val="4C026A6E"/>
    <w:rsid w:val="4C283ECA"/>
    <w:rsid w:val="4C6858B3"/>
    <w:rsid w:val="4CA115D6"/>
    <w:rsid w:val="4D193344"/>
    <w:rsid w:val="4D2B0CA3"/>
    <w:rsid w:val="4D5D6FBD"/>
    <w:rsid w:val="4D6B28A0"/>
    <w:rsid w:val="4D9A1F51"/>
    <w:rsid w:val="4DD1134A"/>
    <w:rsid w:val="4DE84C9C"/>
    <w:rsid w:val="4DFE1F86"/>
    <w:rsid w:val="4E2504EC"/>
    <w:rsid w:val="4E840476"/>
    <w:rsid w:val="4F310148"/>
    <w:rsid w:val="4F3E246B"/>
    <w:rsid w:val="4F717496"/>
    <w:rsid w:val="4FC65972"/>
    <w:rsid w:val="502C52CD"/>
    <w:rsid w:val="50946C81"/>
    <w:rsid w:val="512131A2"/>
    <w:rsid w:val="51470A03"/>
    <w:rsid w:val="516A4FB3"/>
    <w:rsid w:val="51F65B1F"/>
    <w:rsid w:val="521A4417"/>
    <w:rsid w:val="52CC56D8"/>
    <w:rsid w:val="52EA27FA"/>
    <w:rsid w:val="52F263F9"/>
    <w:rsid w:val="5311421D"/>
    <w:rsid w:val="532E19FB"/>
    <w:rsid w:val="533327CB"/>
    <w:rsid w:val="534D15B8"/>
    <w:rsid w:val="537B4E7C"/>
    <w:rsid w:val="53952C3A"/>
    <w:rsid w:val="53BC61C6"/>
    <w:rsid w:val="53DD1C7A"/>
    <w:rsid w:val="54EB503E"/>
    <w:rsid w:val="553A06B6"/>
    <w:rsid w:val="55552624"/>
    <w:rsid w:val="556671D1"/>
    <w:rsid w:val="556F3516"/>
    <w:rsid w:val="55842728"/>
    <w:rsid w:val="55961F5D"/>
    <w:rsid w:val="55AE7511"/>
    <w:rsid w:val="55C92133"/>
    <w:rsid w:val="55EE6CB4"/>
    <w:rsid w:val="560E25FF"/>
    <w:rsid w:val="56171362"/>
    <w:rsid w:val="562E6199"/>
    <w:rsid w:val="56531DB7"/>
    <w:rsid w:val="56623216"/>
    <w:rsid w:val="57221542"/>
    <w:rsid w:val="572B2926"/>
    <w:rsid w:val="57654D9E"/>
    <w:rsid w:val="579A48FC"/>
    <w:rsid w:val="579A73D0"/>
    <w:rsid w:val="57DE5F38"/>
    <w:rsid w:val="582A051D"/>
    <w:rsid w:val="58365A33"/>
    <w:rsid w:val="58474568"/>
    <w:rsid w:val="58782A3A"/>
    <w:rsid w:val="58D041BE"/>
    <w:rsid w:val="58D7523F"/>
    <w:rsid w:val="59403102"/>
    <w:rsid w:val="5A2E77B0"/>
    <w:rsid w:val="5A680DB8"/>
    <w:rsid w:val="5A8F6603"/>
    <w:rsid w:val="5B3A2BD8"/>
    <w:rsid w:val="5BA5743E"/>
    <w:rsid w:val="5C144EDC"/>
    <w:rsid w:val="5C41710B"/>
    <w:rsid w:val="5CBB387E"/>
    <w:rsid w:val="5D3A3A85"/>
    <w:rsid w:val="5D3C6860"/>
    <w:rsid w:val="5DFF123C"/>
    <w:rsid w:val="5EC657DB"/>
    <w:rsid w:val="5EC76337"/>
    <w:rsid w:val="5F6647E2"/>
    <w:rsid w:val="5FA95A4A"/>
    <w:rsid w:val="60406BEA"/>
    <w:rsid w:val="60CA4AE0"/>
    <w:rsid w:val="60CA538E"/>
    <w:rsid w:val="61156B4C"/>
    <w:rsid w:val="619E7E05"/>
    <w:rsid w:val="61B34AA8"/>
    <w:rsid w:val="62086EF2"/>
    <w:rsid w:val="62115B05"/>
    <w:rsid w:val="6264243B"/>
    <w:rsid w:val="628A1B4A"/>
    <w:rsid w:val="6290516E"/>
    <w:rsid w:val="62B820F9"/>
    <w:rsid w:val="631B3431"/>
    <w:rsid w:val="632E70DC"/>
    <w:rsid w:val="63BE25E3"/>
    <w:rsid w:val="640B356D"/>
    <w:rsid w:val="64164B49"/>
    <w:rsid w:val="646F76DC"/>
    <w:rsid w:val="6471725A"/>
    <w:rsid w:val="64A04B26"/>
    <w:rsid w:val="64E14BAA"/>
    <w:rsid w:val="655B2797"/>
    <w:rsid w:val="65715A32"/>
    <w:rsid w:val="65965E56"/>
    <w:rsid w:val="659F6980"/>
    <w:rsid w:val="65F4293E"/>
    <w:rsid w:val="663F4DEA"/>
    <w:rsid w:val="669C57AF"/>
    <w:rsid w:val="669D4B7B"/>
    <w:rsid w:val="66C72DC6"/>
    <w:rsid w:val="66C95950"/>
    <w:rsid w:val="66DE0E97"/>
    <w:rsid w:val="674212D6"/>
    <w:rsid w:val="67456CD8"/>
    <w:rsid w:val="676D34EB"/>
    <w:rsid w:val="678B29FA"/>
    <w:rsid w:val="678D6A6D"/>
    <w:rsid w:val="67F475F0"/>
    <w:rsid w:val="682C696E"/>
    <w:rsid w:val="683C4300"/>
    <w:rsid w:val="685E2B9F"/>
    <w:rsid w:val="68DB1886"/>
    <w:rsid w:val="69381D28"/>
    <w:rsid w:val="69404562"/>
    <w:rsid w:val="694A7017"/>
    <w:rsid w:val="6959071D"/>
    <w:rsid w:val="699B7E66"/>
    <w:rsid w:val="69E353EA"/>
    <w:rsid w:val="6A280AEF"/>
    <w:rsid w:val="6A5228EE"/>
    <w:rsid w:val="6A5D4D68"/>
    <w:rsid w:val="6B0E0D59"/>
    <w:rsid w:val="6B5C3B33"/>
    <w:rsid w:val="6BE5385D"/>
    <w:rsid w:val="6BF71691"/>
    <w:rsid w:val="6C0C625C"/>
    <w:rsid w:val="6C6B29CE"/>
    <w:rsid w:val="6C944F20"/>
    <w:rsid w:val="6CC658B0"/>
    <w:rsid w:val="6D273C74"/>
    <w:rsid w:val="6D9C4121"/>
    <w:rsid w:val="6DCA4784"/>
    <w:rsid w:val="6DCB1BF8"/>
    <w:rsid w:val="6DD71A20"/>
    <w:rsid w:val="6DFF6B64"/>
    <w:rsid w:val="6E536520"/>
    <w:rsid w:val="6E770F59"/>
    <w:rsid w:val="6F137CCD"/>
    <w:rsid w:val="6F2067D0"/>
    <w:rsid w:val="6F333079"/>
    <w:rsid w:val="6F5813C5"/>
    <w:rsid w:val="6F5D54F1"/>
    <w:rsid w:val="6F883E6F"/>
    <w:rsid w:val="6FBF1A0F"/>
    <w:rsid w:val="6FDE0859"/>
    <w:rsid w:val="70717DA5"/>
    <w:rsid w:val="70E6284C"/>
    <w:rsid w:val="71381C3F"/>
    <w:rsid w:val="71501558"/>
    <w:rsid w:val="71A75E98"/>
    <w:rsid w:val="72043BFE"/>
    <w:rsid w:val="721826BF"/>
    <w:rsid w:val="729B1B20"/>
    <w:rsid w:val="72CF38C3"/>
    <w:rsid w:val="73A500E4"/>
    <w:rsid w:val="73E41056"/>
    <w:rsid w:val="742F7DF6"/>
    <w:rsid w:val="74512ED0"/>
    <w:rsid w:val="74A27CCB"/>
    <w:rsid w:val="74F00DA8"/>
    <w:rsid w:val="7511010D"/>
    <w:rsid w:val="754F73CA"/>
    <w:rsid w:val="755D5180"/>
    <w:rsid w:val="7569055C"/>
    <w:rsid w:val="75AB0E66"/>
    <w:rsid w:val="7617375C"/>
    <w:rsid w:val="76423651"/>
    <w:rsid w:val="765319EE"/>
    <w:rsid w:val="767D6E87"/>
    <w:rsid w:val="76CB2469"/>
    <w:rsid w:val="76E2611D"/>
    <w:rsid w:val="772B2E52"/>
    <w:rsid w:val="77D14F5D"/>
    <w:rsid w:val="77DB6EAD"/>
    <w:rsid w:val="7809294E"/>
    <w:rsid w:val="781311E0"/>
    <w:rsid w:val="7823277B"/>
    <w:rsid w:val="786A2290"/>
    <w:rsid w:val="789720A1"/>
    <w:rsid w:val="78DF4171"/>
    <w:rsid w:val="793F1A7F"/>
    <w:rsid w:val="796756EB"/>
    <w:rsid w:val="7A263AD8"/>
    <w:rsid w:val="7A3E4BD3"/>
    <w:rsid w:val="7A9B5F68"/>
    <w:rsid w:val="7B7E7CCE"/>
    <w:rsid w:val="7BA251B9"/>
    <w:rsid w:val="7BAC2077"/>
    <w:rsid w:val="7BC05A6B"/>
    <w:rsid w:val="7BF212CD"/>
    <w:rsid w:val="7C09730A"/>
    <w:rsid w:val="7C280D5C"/>
    <w:rsid w:val="7C2A2184"/>
    <w:rsid w:val="7C3677E7"/>
    <w:rsid w:val="7C4B10B5"/>
    <w:rsid w:val="7CD37616"/>
    <w:rsid w:val="7CDD0CEE"/>
    <w:rsid w:val="7D0D23CC"/>
    <w:rsid w:val="7D460C63"/>
    <w:rsid w:val="7D6804B0"/>
    <w:rsid w:val="7D741EC9"/>
    <w:rsid w:val="7DB912A3"/>
    <w:rsid w:val="7E3967A0"/>
    <w:rsid w:val="7E3D6351"/>
    <w:rsid w:val="7EA50D17"/>
    <w:rsid w:val="7EAD188A"/>
    <w:rsid w:val="7EFF6084"/>
    <w:rsid w:val="7F074E4B"/>
    <w:rsid w:val="7F1B6628"/>
    <w:rsid w:val="7F4F7C8B"/>
    <w:rsid w:val="7F6A4704"/>
    <w:rsid w:val="7F953772"/>
    <w:rsid w:val="7FAE5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6" w:lineRule="exact"/>
      <w:ind w:firstLine="200" w:firstLineChars="200"/>
      <w:jc w:val="both"/>
    </w:pPr>
    <w:rPr>
      <w:rFonts w:ascii="Times New Roman" w:hAnsi="Times New Roman" w:eastAsia="宋体" w:cs="Times New Roman"/>
      <w:kern w:val="2"/>
      <w:sz w:val="24"/>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Calibri" w:hAnsi="Calibri" w:eastAsia="宋体" w:cs="Times New Roman"/>
      <w:szCs w:val="24"/>
    </w:rPr>
  </w:style>
  <w:style w:type="paragraph" w:styleId="3">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商洛市民政局</a:t>
            </a:r>
            <a:r>
              <a:rPr lang="en-US" altLang="zh-CN"/>
              <a:t>2022</a:t>
            </a:r>
            <a:r>
              <a:rPr altLang="en-US"/>
              <a:t>年底人员情况柱形图</a:t>
            </a:r>
            <a:endParaRPr altLang="en-US"/>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'[新建 XLS 工作表.xls]Sheet1'!$A$1:$A$5</c:f>
              <c:strCache>
                <c:ptCount val="5"/>
                <c:pt idx="0">
                  <c:v>人员编制数</c:v>
                </c:pt>
                <c:pt idx="1">
                  <c:v>行政编制数</c:v>
                </c:pt>
                <c:pt idx="2">
                  <c:v>人员数量</c:v>
                </c:pt>
                <c:pt idx="3">
                  <c:v>行政人员数量</c:v>
                </c:pt>
                <c:pt idx="4">
                  <c:v>离退休人员数量</c:v>
                </c:pt>
              </c:strCache>
            </c:strRef>
          </c:cat>
          <c:val>
            <c:numRef>
              <c:f>'[新建 XLS 工作表.xls]Sheet1'!$B$1:$B$5</c:f>
              <c:numCache>
                <c:formatCode>General</c:formatCode>
                <c:ptCount val="5"/>
                <c:pt idx="0">
                  <c:v>14</c:v>
                </c:pt>
                <c:pt idx="1">
                  <c:v>14</c:v>
                </c:pt>
                <c:pt idx="2">
                  <c:v>16</c:v>
                </c:pt>
                <c:pt idx="3">
                  <c:v>16</c:v>
                </c:pt>
                <c:pt idx="4">
                  <c:v>21</c:v>
                </c:pt>
              </c:numCache>
            </c:numRef>
          </c:val>
        </c:ser>
        <c:dLbls>
          <c:showLegendKey val="0"/>
          <c:showVal val="0"/>
          <c:showCatName val="0"/>
          <c:showSerName val="0"/>
          <c:showPercent val="0"/>
          <c:showBubbleSize val="0"/>
        </c:dLbls>
        <c:gapWidth val="219"/>
        <c:overlap val="-27"/>
        <c:axId val="981088606"/>
        <c:axId val="442573506"/>
      </c:barChart>
      <c:catAx>
        <c:axId val="9810886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573506"/>
        <c:crosses val="autoZero"/>
        <c:auto val="1"/>
        <c:lblAlgn val="ctr"/>
        <c:lblOffset val="100"/>
        <c:noMultiLvlLbl val="0"/>
      </c:catAx>
      <c:valAx>
        <c:axId val="4425735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108860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6910</Words>
  <Characters>7455</Characters>
  <Lines>0</Lines>
  <Paragraphs>0</Paragraphs>
  <TotalTime>17</TotalTime>
  <ScaleCrop>false</ScaleCrop>
  <LinksUpToDate>false</LinksUpToDate>
  <CharactersWithSpaces>7537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2019-11-29T08:56:00Z</dcterms:created>
  <dc:creator>郭超(拟稿)</dc:creator>
  <cp:lastModifiedBy>wow</cp:lastModifiedBy>
  <dcterms:modified xsi:type="dcterms:W3CDTF">2023-03-16T07:26:49Z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4BDB4CD5970244D9844D0BBB39D439AC</vt:lpwstr>
  </property>
</Properties>
</file>