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bookmarkStart w:id="0" w:name="_Hlk57883707"/>
    </w:p>
    <w:p>
      <w:pPr>
        <w:rPr>
          <w:rFonts w:eastAsia="仿宋_GB2312"/>
          <w:sz w:val="36"/>
          <w:szCs w:val="36"/>
        </w:rPr>
      </w:pPr>
    </w:p>
    <w:p>
      <w:pPr>
        <w:rPr>
          <w:rFonts w:eastAsia="仿宋_GB2312"/>
          <w:sz w:val="36"/>
          <w:szCs w:val="36"/>
        </w:rPr>
      </w:pPr>
    </w:p>
    <w:p>
      <w:pPr>
        <w:rPr>
          <w:rFonts w:eastAsia="仿宋_GB2312"/>
          <w:sz w:val="36"/>
          <w:szCs w:val="36"/>
        </w:rPr>
      </w:pPr>
    </w:p>
    <w:bookmarkEnd w:id="0"/>
    <w:p>
      <w:pPr>
        <w:adjustRightInd w:val="0"/>
        <w:snapToGrid w:val="0"/>
        <w:jc w:val="center"/>
        <w:outlineLvl w:val="0"/>
        <w:rPr>
          <w:rFonts w:eastAsia="方正小标宋_GBK"/>
          <w:bCs/>
          <w:sz w:val="72"/>
          <w:szCs w:val="72"/>
        </w:rPr>
      </w:pPr>
      <w:r>
        <w:rPr>
          <w:rFonts w:eastAsia="方正小标宋_GBK"/>
          <w:bCs/>
          <w:sz w:val="72"/>
          <w:szCs w:val="72"/>
        </w:rPr>
        <w:t>建设项目环境影响报告表</w:t>
      </w:r>
    </w:p>
    <w:p>
      <w:pPr>
        <w:adjustRightInd w:val="0"/>
        <w:snapToGrid w:val="0"/>
        <w:spacing w:beforeLines="80"/>
        <w:jc w:val="center"/>
        <w:rPr>
          <w:rFonts w:eastAsia="楷体_GB2312"/>
          <w:bCs/>
          <w:sz w:val="48"/>
          <w:szCs w:val="48"/>
        </w:rPr>
      </w:pPr>
      <w:r>
        <w:rPr>
          <w:rFonts w:eastAsia="楷体_GB2312"/>
          <w:bCs/>
          <w:sz w:val="48"/>
          <w:szCs w:val="48"/>
        </w:rPr>
        <w:t>（生态影响类）</w:t>
      </w:r>
    </w:p>
    <w:p>
      <w:pPr>
        <w:adjustRightInd w:val="0"/>
        <w:snapToGrid w:val="0"/>
        <w:spacing w:line="288" w:lineRule="auto"/>
        <w:jc w:val="center"/>
        <w:outlineLvl w:val="0"/>
        <w:rPr>
          <w:rFonts w:eastAsia="华文仿宋"/>
          <w:color w:val="000000"/>
          <w:kern w:val="44"/>
          <w:sz w:val="44"/>
          <w:szCs w:val="44"/>
        </w:rPr>
      </w:pPr>
      <w:bookmarkStart w:id="1" w:name="_Hlk57883728"/>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ind w:firstLine="1040"/>
        <w:rPr>
          <w:rFonts w:eastAsia="仿宋"/>
          <w:sz w:val="36"/>
          <w:szCs w:val="36"/>
          <w:u w:val="single"/>
        </w:rPr>
      </w:pPr>
      <w:r>
        <w:rPr>
          <w:rFonts w:eastAsia="仿宋"/>
          <w:sz w:val="36"/>
          <w:szCs w:val="36"/>
        </w:rPr>
        <w:t>项目名称：</w:t>
      </w:r>
      <w:r>
        <w:rPr>
          <w:rFonts w:eastAsia="仿宋"/>
          <w:sz w:val="36"/>
          <w:szCs w:val="36"/>
          <w:u w:val="single"/>
        </w:rPr>
        <w:t>丹凤县建筑垃圾处置场扩容工程</w:t>
      </w:r>
    </w:p>
    <w:p>
      <w:pPr>
        <w:adjustRightInd w:val="0"/>
        <w:snapToGrid w:val="0"/>
        <w:spacing w:line="288" w:lineRule="auto"/>
        <w:ind w:firstLine="1040"/>
        <w:rPr>
          <w:rFonts w:eastAsia="仿宋"/>
          <w:sz w:val="36"/>
          <w:szCs w:val="36"/>
          <w:u w:val="single"/>
        </w:rPr>
      </w:pPr>
      <w:r>
        <w:rPr>
          <w:rFonts w:eastAsia="仿宋"/>
          <w:sz w:val="36"/>
          <w:szCs w:val="36"/>
        </w:rPr>
        <w:t>建设单位（盖章）：</w:t>
      </w:r>
      <w:r>
        <w:rPr>
          <w:rFonts w:eastAsia="仿宋"/>
          <w:sz w:val="36"/>
          <w:szCs w:val="36"/>
          <w:u w:val="single"/>
        </w:rPr>
        <w:t>丹凤县城市管理局</w:t>
      </w:r>
    </w:p>
    <w:p>
      <w:pPr>
        <w:adjustRightInd w:val="0"/>
        <w:snapToGrid w:val="0"/>
        <w:spacing w:line="288" w:lineRule="auto"/>
        <w:ind w:firstLine="1040"/>
        <w:rPr>
          <w:rFonts w:eastAsia="仿宋"/>
          <w:sz w:val="36"/>
          <w:szCs w:val="36"/>
          <w:u w:val="single"/>
        </w:rPr>
      </w:pPr>
      <w:r>
        <w:rPr>
          <w:rFonts w:eastAsia="仿宋"/>
          <w:sz w:val="36"/>
          <w:szCs w:val="36"/>
        </w:rPr>
        <w:t>编制日期：</w:t>
      </w:r>
      <w:r>
        <w:rPr>
          <w:rFonts w:eastAsia="仿宋"/>
          <w:sz w:val="36"/>
          <w:szCs w:val="36"/>
          <w:u w:val="single"/>
        </w:rPr>
        <w:t>二零二一年七月</w:t>
      </w:r>
    </w:p>
    <w:p>
      <w:pPr>
        <w:adjustRightInd w:val="0"/>
        <w:snapToGrid w:val="0"/>
        <w:spacing w:line="288" w:lineRule="auto"/>
        <w:ind w:firstLine="1040"/>
        <w:rPr>
          <w:rFonts w:eastAsia="仿宋_GB2312"/>
          <w:sz w:val="36"/>
          <w:szCs w:val="36"/>
          <w:u w:val="single"/>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footerReference r:id="rId3" w:type="default"/>
          <w:footerReference r:id="rId4" w:type="even"/>
          <w:pgSz w:w="11906" w:h="16838"/>
          <w:pgMar w:top="1701" w:right="1531" w:bottom="1701" w:left="1531" w:header="851" w:footer="1077" w:gutter="0"/>
          <w:pgNumType w:start="1"/>
          <w:cols w:space="720" w:num="1"/>
          <w:docGrid w:linePitch="312" w:charSpace="0"/>
        </w:sect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3"/>
        <w:tblW w:w="9039" w:type="dxa"/>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56"/>
        <w:gridCol w:w="2213"/>
        <w:gridCol w:w="1946"/>
        <w:gridCol w:w="2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62"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建设项目名称</w:t>
            </w:r>
          </w:p>
        </w:tc>
        <w:tc>
          <w:tcPr>
            <w:tcW w:w="6983" w:type="dxa"/>
            <w:gridSpan w:val="3"/>
            <w:vAlign w:val="center"/>
          </w:tcPr>
          <w:p>
            <w:pPr>
              <w:adjustRightInd w:val="0"/>
              <w:snapToGrid w:val="0"/>
              <w:jc w:val="center"/>
              <w:rPr>
                <w:color w:val="auto"/>
                <w:sz w:val="24"/>
                <w:szCs w:val="24"/>
              </w:rPr>
            </w:pPr>
            <w:r>
              <w:rPr>
                <w:color w:val="auto"/>
                <w:sz w:val="24"/>
                <w:szCs w:val="24"/>
              </w:rPr>
              <w:t>丹凤县建筑垃圾处置场扩容工程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项目代码</w:t>
            </w:r>
          </w:p>
        </w:tc>
        <w:tc>
          <w:tcPr>
            <w:tcW w:w="6983" w:type="dxa"/>
            <w:gridSpan w:val="3"/>
            <w:vAlign w:val="center"/>
          </w:tcPr>
          <w:p>
            <w:pPr>
              <w:adjustRightInd w:val="0"/>
              <w:snapToGrid w:val="0"/>
              <w:jc w:val="center"/>
              <w:rPr>
                <w:color w:val="auto"/>
                <w:sz w:val="24"/>
                <w:szCs w:val="24"/>
              </w:rPr>
            </w:pPr>
            <w:r>
              <w:rPr>
                <w:color w:val="auto"/>
                <w:sz w:val="24"/>
                <w:szCs w:val="24"/>
              </w:rPr>
              <w:t>2019-611022-78-01-063224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建设单位联系人</w:t>
            </w:r>
          </w:p>
        </w:tc>
        <w:tc>
          <w:tcPr>
            <w:tcW w:w="2213" w:type="dxa"/>
            <w:vAlign w:val="center"/>
          </w:tcPr>
          <w:p>
            <w:pPr>
              <w:adjustRightInd w:val="0"/>
              <w:snapToGrid w:val="0"/>
              <w:jc w:val="center"/>
              <w:rPr>
                <w:color w:val="auto"/>
                <w:sz w:val="24"/>
                <w:szCs w:val="24"/>
              </w:rPr>
            </w:pPr>
            <w:r>
              <w:rPr>
                <w:rFonts w:hint="eastAsia"/>
                <w:color w:val="auto"/>
                <w:sz w:val="24"/>
                <w:szCs w:val="24"/>
              </w:rPr>
              <w:t>关明喜</w:t>
            </w:r>
          </w:p>
        </w:tc>
        <w:tc>
          <w:tcPr>
            <w:tcW w:w="1946" w:type="dxa"/>
            <w:vAlign w:val="center"/>
          </w:tcPr>
          <w:p>
            <w:pPr>
              <w:adjustRightInd w:val="0"/>
              <w:snapToGrid w:val="0"/>
              <w:jc w:val="center"/>
              <w:rPr>
                <w:color w:val="auto"/>
                <w:sz w:val="24"/>
                <w:szCs w:val="24"/>
              </w:rPr>
            </w:pPr>
            <w:r>
              <w:rPr>
                <w:color w:val="auto"/>
                <w:sz w:val="24"/>
                <w:szCs w:val="24"/>
              </w:rPr>
              <w:t>联系方式</w:t>
            </w:r>
          </w:p>
        </w:tc>
        <w:tc>
          <w:tcPr>
            <w:tcW w:w="2824" w:type="dxa"/>
            <w:vAlign w:val="center"/>
          </w:tcPr>
          <w:p>
            <w:pPr>
              <w:adjustRightInd w:val="0"/>
              <w:snapToGrid w:val="0"/>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建设地点</w:t>
            </w:r>
          </w:p>
        </w:tc>
        <w:tc>
          <w:tcPr>
            <w:tcW w:w="6983" w:type="dxa"/>
            <w:gridSpan w:val="3"/>
            <w:vAlign w:val="center"/>
          </w:tcPr>
          <w:p>
            <w:pPr>
              <w:adjustRightInd w:val="0"/>
              <w:snapToGrid w:val="0"/>
              <w:jc w:val="center"/>
              <w:rPr>
                <w:color w:val="auto"/>
                <w:sz w:val="24"/>
                <w:szCs w:val="24"/>
              </w:rPr>
            </w:pPr>
            <w:r>
              <w:rPr>
                <w:color w:val="auto"/>
                <w:sz w:val="24"/>
                <w:szCs w:val="24"/>
              </w:rPr>
              <w:t>陕西省商洛市丹凤县龙驹寨街道办</w:t>
            </w:r>
            <w:r>
              <w:rPr>
                <w:rFonts w:hint="eastAsia"/>
                <w:color w:val="auto"/>
                <w:sz w:val="24"/>
                <w:szCs w:val="24"/>
                <w:lang w:eastAsia="zh-CN"/>
              </w:rPr>
              <w:t>凤</w:t>
            </w:r>
            <w:r>
              <w:rPr>
                <w:color w:val="auto"/>
                <w:sz w:val="24"/>
                <w:szCs w:val="24"/>
              </w:rPr>
              <w:t>麓社区椒术洼组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地理坐标</w:t>
            </w:r>
          </w:p>
        </w:tc>
        <w:tc>
          <w:tcPr>
            <w:tcW w:w="6983" w:type="dxa"/>
            <w:gridSpan w:val="3"/>
            <w:vAlign w:val="center"/>
          </w:tcPr>
          <w:p>
            <w:pPr>
              <w:adjustRightInd w:val="0"/>
              <w:snapToGrid w:val="0"/>
              <w:jc w:val="center"/>
              <w:rPr>
                <w:color w:val="auto"/>
                <w:sz w:val="24"/>
                <w:szCs w:val="24"/>
              </w:rPr>
            </w:pPr>
            <w:r>
              <w:rPr>
                <w:color w:val="auto"/>
                <w:sz w:val="24"/>
                <w:szCs w:val="24"/>
              </w:rPr>
              <w:t>110°20′26.473″，33°42′4.107″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建设项目</w:t>
            </w:r>
          </w:p>
          <w:p>
            <w:pPr>
              <w:adjustRightInd w:val="0"/>
              <w:snapToGrid w:val="0"/>
              <w:jc w:val="center"/>
              <w:rPr>
                <w:sz w:val="24"/>
                <w:szCs w:val="24"/>
              </w:rPr>
            </w:pPr>
            <w:r>
              <w:rPr>
                <w:sz w:val="24"/>
                <w:szCs w:val="24"/>
              </w:rPr>
              <w:t>行业类别</w:t>
            </w:r>
          </w:p>
        </w:tc>
        <w:tc>
          <w:tcPr>
            <w:tcW w:w="2213" w:type="dxa"/>
            <w:vAlign w:val="center"/>
          </w:tcPr>
          <w:p>
            <w:pPr>
              <w:adjustRightInd w:val="0"/>
              <w:snapToGrid w:val="0"/>
              <w:jc w:val="center"/>
              <w:rPr>
                <w:color w:val="auto"/>
                <w:sz w:val="24"/>
                <w:szCs w:val="24"/>
              </w:rPr>
            </w:pPr>
            <w:r>
              <w:rPr>
                <w:color w:val="auto"/>
                <w:sz w:val="24"/>
                <w:szCs w:val="24"/>
              </w:rPr>
              <w:t>四十七、生态保护和环境治理业103、一般工业固废（含污水处理污泥）、建筑施工废弃物处置和综合利用其他</w:t>
            </w:r>
          </w:p>
        </w:tc>
        <w:tc>
          <w:tcPr>
            <w:tcW w:w="1946" w:type="dxa"/>
            <w:vAlign w:val="center"/>
          </w:tcPr>
          <w:p>
            <w:pPr>
              <w:adjustRightInd w:val="0"/>
              <w:snapToGrid w:val="0"/>
              <w:jc w:val="center"/>
              <w:rPr>
                <w:color w:val="auto"/>
                <w:sz w:val="24"/>
                <w:szCs w:val="24"/>
              </w:rPr>
            </w:pPr>
            <w:r>
              <w:rPr>
                <w:color w:val="auto"/>
                <w:sz w:val="24"/>
                <w:szCs w:val="24"/>
              </w:rPr>
              <w:t>用地（用海）面积（m</w:t>
            </w:r>
            <w:r>
              <w:rPr>
                <w:color w:val="auto"/>
                <w:sz w:val="24"/>
                <w:szCs w:val="24"/>
                <w:vertAlign w:val="superscript"/>
              </w:rPr>
              <w:t>2</w:t>
            </w:r>
            <w:r>
              <w:rPr>
                <w:color w:val="auto"/>
                <w:sz w:val="24"/>
                <w:szCs w:val="24"/>
              </w:rPr>
              <w:t>）/长度（km）</w:t>
            </w:r>
          </w:p>
        </w:tc>
        <w:tc>
          <w:tcPr>
            <w:tcW w:w="2824" w:type="dxa"/>
            <w:vAlign w:val="center"/>
          </w:tcPr>
          <w:p>
            <w:pPr>
              <w:adjustRightInd w:val="0"/>
              <w:snapToGrid w:val="0"/>
              <w:jc w:val="center"/>
              <w:rPr>
                <w:color w:val="auto"/>
                <w:sz w:val="24"/>
                <w:szCs w:val="24"/>
              </w:rPr>
            </w:pPr>
            <w:r>
              <w:rPr>
                <w:color w:val="auto"/>
                <w:sz w:val="24"/>
                <w:szCs w:val="24"/>
              </w:rPr>
              <w:t>23169.38m</w:t>
            </w:r>
            <w:r>
              <w:rPr>
                <w:color w:val="auto"/>
                <w:sz w:val="24"/>
                <w:szCs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4"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建设性质</w:t>
            </w:r>
          </w:p>
        </w:tc>
        <w:tc>
          <w:tcPr>
            <w:tcW w:w="2213" w:type="dxa"/>
            <w:vAlign w:val="center"/>
          </w:tcPr>
          <w:p>
            <w:pPr>
              <w:adjustRightInd w:val="0"/>
              <w:snapToGrid w:val="0"/>
              <w:jc w:val="left"/>
              <w:rPr>
                <w:color w:val="auto"/>
                <w:sz w:val="24"/>
                <w:szCs w:val="24"/>
              </w:rPr>
            </w:pPr>
            <w:r>
              <w:rPr>
                <w:color w:val="auto"/>
                <w:sz w:val="24"/>
                <w:szCs w:val="24"/>
              </w:rPr>
              <w:t>√新建（迁建）</w:t>
            </w:r>
          </w:p>
          <w:p>
            <w:pPr>
              <w:adjustRightInd w:val="0"/>
              <w:snapToGrid w:val="0"/>
              <w:jc w:val="left"/>
              <w:rPr>
                <w:color w:val="auto"/>
                <w:sz w:val="24"/>
                <w:szCs w:val="24"/>
              </w:rPr>
            </w:pPr>
            <w:r>
              <w:rPr>
                <w:color w:val="auto"/>
                <w:sz w:val="24"/>
                <w:szCs w:val="24"/>
              </w:rPr>
              <w:t>□改建</w:t>
            </w:r>
          </w:p>
          <w:p>
            <w:pPr>
              <w:adjustRightInd w:val="0"/>
              <w:snapToGrid w:val="0"/>
              <w:jc w:val="left"/>
              <w:rPr>
                <w:color w:val="auto"/>
                <w:sz w:val="24"/>
                <w:szCs w:val="24"/>
              </w:rPr>
            </w:pPr>
            <w:r>
              <w:rPr>
                <w:color w:val="auto"/>
                <w:sz w:val="24"/>
                <w:szCs w:val="24"/>
              </w:rPr>
              <w:t>□扩建</w:t>
            </w:r>
          </w:p>
          <w:p>
            <w:pPr>
              <w:adjustRightInd w:val="0"/>
              <w:snapToGrid w:val="0"/>
              <w:jc w:val="left"/>
              <w:rPr>
                <w:color w:val="auto"/>
                <w:sz w:val="24"/>
                <w:szCs w:val="24"/>
              </w:rPr>
            </w:pPr>
            <w:r>
              <w:rPr>
                <w:color w:val="auto"/>
                <w:sz w:val="24"/>
                <w:szCs w:val="24"/>
              </w:rPr>
              <w:t>□技术改造</w:t>
            </w:r>
          </w:p>
        </w:tc>
        <w:tc>
          <w:tcPr>
            <w:tcW w:w="1946" w:type="dxa"/>
            <w:vAlign w:val="center"/>
          </w:tcPr>
          <w:p>
            <w:pPr>
              <w:adjustRightInd w:val="0"/>
              <w:snapToGrid w:val="0"/>
              <w:jc w:val="center"/>
              <w:rPr>
                <w:color w:val="auto"/>
                <w:sz w:val="24"/>
                <w:szCs w:val="24"/>
              </w:rPr>
            </w:pPr>
            <w:r>
              <w:rPr>
                <w:color w:val="auto"/>
                <w:sz w:val="24"/>
                <w:szCs w:val="24"/>
              </w:rPr>
              <w:t>建设项目</w:t>
            </w:r>
          </w:p>
          <w:p>
            <w:pPr>
              <w:adjustRightInd w:val="0"/>
              <w:snapToGrid w:val="0"/>
              <w:jc w:val="center"/>
              <w:rPr>
                <w:color w:val="auto"/>
                <w:sz w:val="24"/>
                <w:szCs w:val="24"/>
              </w:rPr>
            </w:pPr>
            <w:r>
              <w:rPr>
                <w:color w:val="auto"/>
                <w:sz w:val="24"/>
                <w:szCs w:val="24"/>
              </w:rPr>
              <w:t>申报情形</w:t>
            </w:r>
          </w:p>
        </w:tc>
        <w:tc>
          <w:tcPr>
            <w:tcW w:w="2824" w:type="dxa"/>
            <w:vAlign w:val="center"/>
          </w:tcPr>
          <w:p>
            <w:pPr>
              <w:adjustRightInd w:val="0"/>
              <w:snapToGrid w:val="0"/>
              <w:jc w:val="left"/>
              <w:rPr>
                <w:color w:val="auto"/>
                <w:sz w:val="24"/>
                <w:szCs w:val="24"/>
              </w:rPr>
            </w:pPr>
            <w:r>
              <w:rPr>
                <w:color w:val="auto"/>
                <w:sz w:val="24"/>
                <w:szCs w:val="24"/>
              </w:rPr>
              <w:t>√首次申报项目</w:t>
            </w:r>
          </w:p>
          <w:p>
            <w:pPr>
              <w:adjustRightInd w:val="0"/>
              <w:snapToGrid w:val="0"/>
              <w:jc w:val="left"/>
              <w:rPr>
                <w:color w:val="auto"/>
                <w:sz w:val="24"/>
                <w:szCs w:val="24"/>
              </w:rPr>
            </w:pPr>
            <w:r>
              <w:rPr>
                <w:color w:val="auto"/>
                <w:sz w:val="24"/>
                <w:szCs w:val="24"/>
              </w:rPr>
              <w:t>□不予批准后再次申报项目</w:t>
            </w:r>
          </w:p>
          <w:p>
            <w:pPr>
              <w:adjustRightInd w:val="0"/>
              <w:snapToGrid w:val="0"/>
              <w:jc w:val="left"/>
              <w:rPr>
                <w:color w:val="auto"/>
                <w:sz w:val="24"/>
                <w:szCs w:val="24"/>
              </w:rPr>
            </w:pPr>
            <w:r>
              <w:rPr>
                <w:color w:val="auto"/>
                <w:sz w:val="24"/>
                <w:szCs w:val="24"/>
              </w:rPr>
              <w:t>□超五年重新审核项目</w:t>
            </w:r>
          </w:p>
          <w:p>
            <w:pPr>
              <w:adjustRightInd w:val="0"/>
              <w:snapToGrid w:val="0"/>
              <w:rPr>
                <w:color w:val="auto"/>
                <w:sz w:val="24"/>
                <w:szCs w:val="24"/>
              </w:rPr>
            </w:pPr>
            <w:r>
              <w:rPr>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项目审批（核准/</w:t>
            </w:r>
          </w:p>
          <w:p>
            <w:pPr>
              <w:adjustRightInd w:val="0"/>
              <w:snapToGrid w:val="0"/>
              <w:jc w:val="center"/>
              <w:rPr>
                <w:sz w:val="24"/>
                <w:szCs w:val="24"/>
              </w:rPr>
            </w:pPr>
            <w:r>
              <w:rPr>
                <w:sz w:val="24"/>
                <w:szCs w:val="24"/>
              </w:rPr>
              <w:t>备案）部门（选填）</w:t>
            </w:r>
          </w:p>
        </w:tc>
        <w:tc>
          <w:tcPr>
            <w:tcW w:w="2213" w:type="dxa"/>
            <w:vAlign w:val="center"/>
          </w:tcPr>
          <w:p>
            <w:pPr>
              <w:adjustRightInd w:val="0"/>
              <w:snapToGrid w:val="0"/>
              <w:jc w:val="center"/>
              <w:rPr>
                <w:color w:val="auto"/>
                <w:sz w:val="24"/>
                <w:szCs w:val="24"/>
              </w:rPr>
            </w:pPr>
            <w:r>
              <w:rPr>
                <w:color w:val="auto"/>
                <w:sz w:val="24"/>
                <w:szCs w:val="24"/>
              </w:rPr>
              <w:t>丹</w:t>
            </w:r>
            <w:r>
              <w:rPr>
                <w:rFonts w:hint="eastAsia"/>
                <w:color w:val="auto"/>
                <w:sz w:val="24"/>
                <w:szCs w:val="24"/>
                <w:lang w:eastAsia="zh-CN"/>
              </w:rPr>
              <w:t>凤</w:t>
            </w:r>
            <w:r>
              <w:rPr>
                <w:color w:val="auto"/>
                <w:sz w:val="24"/>
                <w:szCs w:val="24"/>
              </w:rPr>
              <w:t>县</w:t>
            </w:r>
            <w:r>
              <w:rPr>
                <w:rFonts w:hint="eastAsia"/>
                <w:color w:val="auto"/>
                <w:sz w:val="24"/>
                <w:szCs w:val="24"/>
              </w:rPr>
              <w:t>行政审批局</w:t>
            </w:r>
          </w:p>
        </w:tc>
        <w:tc>
          <w:tcPr>
            <w:tcW w:w="1946" w:type="dxa"/>
            <w:vAlign w:val="center"/>
          </w:tcPr>
          <w:p>
            <w:pPr>
              <w:adjustRightInd w:val="0"/>
              <w:snapToGrid w:val="0"/>
              <w:jc w:val="both"/>
              <w:rPr>
                <w:color w:val="auto"/>
                <w:sz w:val="24"/>
                <w:szCs w:val="24"/>
              </w:rPr>
            </w:pPr>
            <w:r>
              <w:rPr>
                <w:color w:val="auto"/>
                <w:sz w:val="24"/>
                <w:szCs w:val="24"/>
              </w:rPr>
              <w:t>项目审批（核准/备案）文号（选填）</w:t>
            </w:r>
          </w:p>
        </w:tc>
        <w:tc>
          <w:tcPr>
            <w:tcW w:w="2824" w:type="dxa"/>
            <w:vAlign w:val="center"/>
          </w:tcPr>
          <w:p>
            <w:pPr>
              <w:adjustRightInd w:val="0"/>
              <w:snapToGrid w:val="0"/>
              <w:jc w:val="center"/>
              <w:rPr>
                <w:color w:val="auto"/>
                <w:sz w:val="24"/>
                <w:szCs w:val="24"/>
              </w:rPr>
            </w:pPr>
            <w:r>
              <w:rPr>
                <w:rFonts w:hint="eastAsia"/>
                <w:color w:val="auto"/>
                <w:sz w:val="24"/>
                <w:szCs w:val="24"/>
              </w:rPr>
              <w:t>丹行政审批发〔2021〕88号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总投资（万元）</w:t>
            </w:r>
          </w:p>
        </w:tc>
        <w:tc>
          <w:tcPr>
            <w:tcW w:w="2213" w:type="dxa"/>
            <w:vAlign w:val="center"/>
          </w:tcPr>
          <w:p>
            <w:pPr>
              <w:adjustRightInd w:val="0"/>
              <w:snapToGrid w:val="0"/>
              <w:jc w:val="center"/>
              <w:rPr>
                <w:color w:val="auto"/>
                <w:sz w:val="24"/>
                <w:szCs w:val="24"/>
              </w:rPr>
            </w:pPr>
            <w:r>
              <w:rPr>
                <w:color w:val="auto"/>
                <w:sz w:val="24"/>
                <w:szCs w:val="24"/>
              </w:rPr>
              <w:t>660.98</w:t>
            </w:r>
          </w:p>
        </w:tc>
        <w:tc>
          <w:tcPr>
            <w:tcW w:w="1946"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环保投资（万元）</w:t>
            </w:r>
          </w:p>
        </w:tc>
        <w:tc>
          <w:tcPr>
            <w:tcW w:w="2824" w:type="dxa"/>
            <w:vAlign w:val="center"/>
          </w:tcPr>
          <w:p>
            <w:pPr>
              <w:adjustRightInd w:val="0"/>
              <w:snapToGrid w:val="0"/>
              <w:jc w:val="center"/>
              <w:rPr>
                <w:color w:val="auto"/>
                <w:sz w:val="24"/>
                <w:szCs w:val="24"/>
              </w:rPr>
            </w:pPr>
            <w:r>
              <w:rPr>
                <w:rFonts w:hint="eastAsia"/>
                <w:color w:val="auto"/>
                <w:sz w:val="24"/>
                <w:szCs w:val="24"/>
              </w:rPr>
              <w:t>130.05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环保投资占比（%）</w:t>
            </w:r>
          </w:p>
        </w:tc>
        <w:tc>
          <w:tcPr>
            <w:tcW w:w="2213" w:type="dxa"/>
            <w:vAlign w:val="center"/>
          </w:tcPr>
          <w:p>
            <w:pPr>
              <w:adjustRightInd w:val="0"/>
              <w:snapToGrid w:val="0"/>
              <w:jc w:val="center"/>
              <w:rPr>
                <w:color w:val="auto"/>
                <w:sz w:val="24"/>
                <w:szCs w:val="24"/>
              </w:rPr>
            </w:pPr>
            <w:r>
              <w:rPr>
                <w:rFonts w:hint="eastAsia"/>
                <w:color w:val="auto"/>
                <w:sz w:val="24"/>
                <w:szCs w:val="24"/>
              </w:rPr>
              <w:t>19.68</w:t>
            </w:r>
          </w:p>
        </w:tc>
        <w:tc>
          <w:tcPr>
            <w:tcW w:w="1946"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施工工期</w:t>
            </w:r>
          </w:p>
        </w:tc>
        <w:tc>
          <w:tcPr>
            <w:tcW w:w="2824" w:type="dxa"/>
            <w:vAlign w:val="center"/>
          </w:tcPr>
          <w:p>
            <w:pPr>
              <w:adjustRightInd w:val="0"/>
              <w:snapToGrid w:val="0"/>
              <w:jc w:val="center"/>
              <w:rPr>
                <w:color w:val="auto"/>
                <w:sz w:val="24"/>
                <w:szCs w:val="24"/>
              </w:rPr>
            </w:pPr>
            <w:r>
              <w:rPr>
                <w:color w:val="auto"/>
                <w:sz w:val="24"/>
                <w:szCs w:val="24"/>
              </w:rPr>
              <w:t>2021年8月到202</w:t>
            </w:r>
            <w:r>
              <w:rPr>
                <w:rFonts w:hint="eastAsia"/>
                <w:color w:val="auto"/>
                <w:sz w:val="24"/>
                <w:szCs w:val="24"/>
              </w:rPr>
              <w:t>2</w:t>
            </w:r>
            <w:r>
              <w:rPr>
                <w:color w:val="auto"/>
                <w:sz w:val="24"/>
                <w:szCs w:val="24"/>
              </w:rPr>
              <w:t>年</w:t>
            </w:r>
            <w:r>
              <w:rPr>
                <w:rFonts w:hint="eastAsia"/>
                <w:color w:val="auto"/>
                <w:sz w:val="24"/>
                <w:szCs w:val="24"/>
              </w:rPr>
              <w:t>6</w:t>
            </w:r>
            <w:r>
              <w:rPr>
                <w:color w:val="auto"/>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2056" w:type="dxa"/>
            <w:tcMar>
              <w:top w:w="16" w:type="dxa"/>
              <w:left w:w="16" w:type="dxa"/>
              <w:right w:w="16" w:type="dxa"/>
            </w:tcMar>
            <w:vAlign w:val="center"/>
          </w:tcPr>
          <w:p>
            <w:pPr>
              <w:adjustRightInd w:val="0"/>
              <w:snapToGrid w:val="0"/>
              <w:jc w:val="center"/>
              <w:rPr>
                <w:sz w:val="24"/>
                <w:szCs w:val="24"/>
              </w:rPr>
            </w:pPr>
            <w:r>
              <w:rPr>
                <w:sz w:val="24"/>
                <w:szCs w:val="24"/>
              </w:rPr>
              <w:t>是否开工建设</w:t>
            </w:r>
          </w:p>
        </w:tc>
        <w:tc>
          <w:tcPr>
            <w:tcW w:w="6983" w:type="dxa"/>
            <w:gridSpan w:val="3"/>
            <w:vAlign w:val="center"/>
          </w:tcPr>
          <w:p>
            <w:pPr>
              <w:adjustRightInd w:val="0"/>
              <w:snapToGrid w:val="0"/>
              <w:ind w:firstLine="105"/>
              <w:jc w:val="left"/>
              <w:rPr>
                <w:sz w:val="24"/>
                <w:szCs w:val="24"/>
              </w:rPr>
            </w:pPr>
            <w:r>
              <w:rPr>
                <w:sz w:val="24"/>
                <w:szCs w:val="24"/>
              </w:rPr>
              <w:t>√否</w:t>
            </w:r>
          </w:p>
          <w:p>
            <w:pPr>
              <w:adjustRightInd w:val="0"/>
              <w:snapToGrid w:val="0"/>
              <w:ind w:firstLine="92"/>
              <w:jc w:val="left"/>
              <w:rPr>
                <w:sz w:val="24"/>
                <w:szCs w:val="24"/>
              </w:rPr>
            </w:pPr>
            <w:r>
              <w:rPr>
                <w:sz w:val="24"/>
                <w:szCs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 w:hRule="atLeast"/>
        </w:trPr>
        <w:tc>
          <w:tcPr>
            <w:tcW w:w="2056" w:type="dxa"/>
            <w:tcMar>
              <w:top w:w="16" w:type="dxa"/>
              <w:left w:w="16" w:type="dxa"/>
              <w:right w:w="16" w:type="dxa"/>
            </w:tcMar>
            <w:vAlign w:val="center"/>
          </w:tcPr>
          <w:p>
            <w:pPr>
              <w:autoSpaceDE w:val="0"/>
              <w:autoSpaceDN w:val="0"/>
              <w:adjustRightInd w:val="0"/>
              <w:snapToGrid w:val="0"/>
              <w:jc w:val="center"/>
              <w:rPr>
                <w:kern w:val="0"/>
                <w:sz w:val="24"/>
                <w:szCs w:val="24"/>
              </w:rPr>
            </w:pPr>
            <w:r>
              <w:rPr>
                <w:kern w:val="0"/>
                <w:sz w:val="24"/>
                <w:szCs w:val="24"/>
              </w:rPr>
              <w:t>专项评价设置情况</w:t>
            </w:r>
          </w:p>
        </w:tc>
        <w:tc>
          <w:tcPr>
            <w:tcW w:w="6983" w:type="dxa"/>
            <w:gridSpan w:val="3"/>
            <w:tcMar>
              <w:top w:w="16" w:type="dxa"/>
              <w:left w:w="16" w:type="dxa"/>
              <w:right w:w="16" w:type="dxa"/>
            </w:tcMar>
            <w:vAlign w:val="center"/>
          </w:tcPr>
          <w:p>
            <w:pPr>
              <w:autoSpaceDE w:val="0"/>
              <w:autoSpaceDN w:val="0"/>
              <w:adjustRightInd w:val="0"/>
              <w:snapToGrid w:val="0"/>
              <w:jc w:val="center"/>
              <w:rPr>
                <w:kern w:val="0"/>
                <w:sz w:val="24"/>
                <w:szCs w:val="24"/>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 w:hRule="atLeast"/>
        </w:trPr>
        <w:tc>
          <w:tcPr>
            <w:tcW w:w="2056" w:type="dxa"/>
            <w:tcMar>
              <w:top w:w="16" w:type="dxa"/>
              <w:left w:w="16" w:type="dxa"/>
              <w:right w:w="16" w:type="dxa"/>
            </w:tcMar>
            <w:vAlign w:val="center"/>
          </w:tcPr>
          <w:p>
            <w:pPr>
              <w:autoSpaceDE w:val="0"/>
              <w:autoSpaceDN w:val="0"/>
              <w:adjustRightInd w:val="0"/>
              <w:snapToGrid w:val="0"/>
              <w:jc w:val="center"/>
              <w:rPr>
                <w:kern w:val="0"/>
                <w:sz w:val="24"/>
                <w:szCs w:val="24"/>
              </w:rPr>
            </w:pPr>
            <w:r>
              <w:rPr>
                <w:sz w:val="24"/>
                <w:szCs w:val="24"/>
              </w:rPr>
              <w:t>规划情况</w:t>
            </w:r>
          </w:p>
        </w:tc>
        <w:tc>
          <w:tcPr>
            <w:tcW w:w="6983" w:type="dxa"/>
            <w:gridSpan w:val="3"/>
            <w:tcMar>
              <w:top w:w="16" w:type="dxa"/>
              <w:left w:w="16" w:type="dxa"/>
              <w:right w:w="16" w:type="dxa"/>
            </w:tcMar>
            <w:vAlign w:val="center"/>
          </w:tcPr>
          <w:p>
            <w:pPr>
              <w:autoSpaceDE w:val="0"/>
              <w:autoSpaceDN w:val="0"/>
              <w:adjustRightInd w:val="0"/>
              <w:snapToGrid w:val="0"/>
              <w:jc w:val="center"/>
              <w:rPr>
                <w:kern w:val="0"/>
                <w:sz w:val="24"/>
                <w:szCs w:val="24"/>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 w:hRule="atLeast"/>
        </w:trPr>
        <w:tc>
          <w:tcPr>
            <w:tcW w:w="2056" w:type="dxa"/>
            <w:tcMar>
              <w:top w:w="16" w:type="dxa"/>
              <w:left w:w="16" w:type="dxa"/>
              <w:right w:w="16" w:type="dxa"/>
            </w:tcMar>
            <w:vAlign w:val="center"/>
          </w:tcPr>
          <w:p>
            <w:pPr>
              <w:autoSpaceDE w:val="0"/>
              <w:autoSpaceDN w:val="0"/>
              <w:adjustRightInd w:val="0"/>
              <w:snapToGrid w:val="0"/>
              <w:jc w:val="center"/>
              <w:rPr>
                <w:kern w:val="0"/>
                <w:sz w:val="24"/>
                <w:szCs w:val="24"/>
              </w:rPr>
            </w:pPr>
            <w:r>
              <w:rPr>
                <w:sz w:val="24"/>
                <w:szCs w:val="24"/>
              </w:rPr>
              <w:t>规划环境影响评价情况</w:t>
            </w:r>
          </w:p>
        </w:tc>
        <w:tc>
          <w:tcPr>
            <w:tcW w:w="6983" w:type="dxa"/>
            <w:gridSpan w:val="3"/>
            <w:tcMar>
              <w:top w:w="16" w:type="dxa"/>
              <w:left w:w="16" w:type="dxa"/>
              <w:right w:w="16" w:type="dxa"/>
            </w:tcMar>
            <w:vAlign w:val="center"/>
          </w:tcPr>
          <w:p>
            <w:pPr>
              <w:adjustRightInd w:val="0"/>
              <w:snapToGrid w:val="0"/>
              <w:jc w:val="center"/>
              <w:rPr>
                <w:kern w:val="0"/>
                <w:sz w:val="24"/>
                <w:szCs w:val="24"/>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 w:hRule="atLeast"/>
        </w:trPr>
        <w:tc>
          <w:tcPr>
            <w:tcW w:w="2056" w:type="dxa"/>
            <w:tcMar>
              <w:top w:w="16" w:type="dxa"/>
              <w:left w:w="16" w:type="dxa"/>
              <w:right w:w="16" w:type="dxa"/>
            </w:tcMar>
            <w:vAlign w:val="center"/>
          </w:tcPr>
          <w:p>
            <w:pPr>
              <w:autoSpaceDE w:val="0"/>
              <w:autoSpaceDN w:val="0"/>
              <w:adjustRightInd w:val="0"/>
              <w:snapToGrid w:val="0"/>
              <w:jc w:val="center"/>
              <w:rPr>
                <w:kern w:val="0"/>
                <w:sz w:val="24"/>
                <w:szCs w:val="24"/>
              </w:rPr>
            </w:pPr>
            <w:r>
              <w:rPr>
                <w:kern w:val="0"/>
                <w:sz w:val="24"/>
                <w:szCs w:val="24"/>
              </w:rPr>
              <w:t>规划及</w:t>
            </w:r>
            <w:r>
              <w:rPr>
                <w:sz w:val="24"/>
                <w:szCs w:val="24"/>
              </w:rPr>
              <w:t>规划环境影响评价</w:t>
            </w:r>
            <w:r>
              <w:rPr>
                <w:kern w:val="0"/>
                <w:sz w:val="24"/>
                <w:szCs w:val="24"/>
              </w:rPr>
              <w:t>符合性分析</w:t>
            </w:r>
          </w:p>
        </w:tc>
        <w:tc>
          <w:tcPr>
            <w:tcW w:w="6983" w:type="dxa"/>
            <w:gridSpan w:val="3"/>
            <w:tcMar>
              <w:top w:w="16" w:type="dxa"/>
              <w:left w:w="16" w:type="dxa"/>
              <w:right w:w="16" w:type="dxa"/>
            </w:tcMar>
            <w:vAlign w:val="center"/>
          </w:tcPr>
          <w:p>
            <w:pPr>
              <w:autoSpaceDE w:val="0"/>
              <w:autoSpaceDN w:val="0"/>
              <w:adjustRightInd w:val="0"/>
              <w:snapToGrid w:val="0"/>
              <w:jc w:val="center"/>
              <w:rPr>
                <w:kern w:val="0"/>
                <w:sz w:val="24"/>
                <w:szCs w:val="24"/>
              </w:rPr>
            </w:pPr>
            <w:r>
              <w:rPr>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rPr>
        <w:tc>
          <w:tcPr>
            <w:tcW w:w="2056" w:type="dxa"/>
            <w:tcMar>
              <w:top w:w="16" w:type="dxa"/>
              <w:left w:w="16" w:type="dxa"/>
              <w:right w:w="16" w:type="dxa"/>
            </w:tcMar>
            <w:vAlign w:val="center"/>
          </w:tcPr>
          <w:p>
            <w:pPr>
              <w:autoSpaceDE w:val="0"/>
              <w:autoSpaceDN w:val="0"/>
              <w:adjustRightInd w:val="0"/>
              <w:snapToGrid w:val="0"/>
              <w:jc w:val="center"/>
              <w:rPr>
                <w:kern w:val="0"/>
                <w:szCs w:val="21"/>
              </w:rPr>
            </w:pPr>
            <w:bookmarkStart w:id="2" w:name="_Hlk56690880"/>
            <w:r>
              <w:rPr>
                <w:kern w:val="0"/>
                <w:sz w:val="24"/>
                <w:szCs w:val="24"/>
              </w:rPr>
              <w:t>其他符合性分析</w:t>
            </w:r>
            <w:bookmarkEnd w:id="2"/>
          </w:p>
        </w:tc>
        <w:tc>
          <w:tcPr>
            <w:tcW w:w="6983" w:type="dxa"/>
            <w:gridSpan w:val="3"/>
            <w:tcMar>
              <w:top w:w="16" w:type="dxa"/>
              <w:left w:w="16" w:type="dxa"/>
              <w:right w:w="16" w:type="dxa"/>
            </w:tcMar>
            <w:vAlign w:val="center"/>
          </w:tcPr>
          <w:p>
            <w:pPr>
              <w:spacing w:line="360" w:lineRule="auto"/>
              <w:ind w:firstLine="482" w:firstLineChars="200"/>
              <w:jc w:val="left"/>
              <w:rPr>
                <w:b/>
                <w:sz w:val="24"/>
                <w:szCs w:val="24"/>
              </w:rPr>
            </w:pPr>
            <w:r>
              <w:rPr>
                <w:b/>
                <w:kern w:val="0"/>
                <w:sz w:val="24"/>
                <w:szCs w:val="24"/>
              </w:rPr>
              <w:t>1、产业</w:t>
            </w:r>
            <w:r>
              <w:rPr>
                <w:b/>
                <w:bCs/>
                <w:sz w:val="24"/>
                <w:szCs w:val="24"/>
              </w:rPr>
              <w:t>政策</w:t>
            </w:r>
            <w:r>
              <w:rPr>
                <w:b/>
                <w:kern w:val="0"/>
                <w:sz w:val="24"/>
                <w:szCs w:val="24"/>
              </w:rPr>
              <w:t>符合性分析</w:t>
            </w:r>
          </w:p>
          <w:p>
            <w:pPr>
              <w:spacing w:line="360" w:lineRule="auto"/>
              <w:ind w:firstLine="480" w:firstLineChars="200"/>
              <w:contextualSpacing/>
              <w:rPr>
                <w:sz w:val="24"/>
                <w:szCs w:val="24"/>
              </w:rPr>
            </w:pPr>
            <w:r>
              <w:rPr>
                <w:sz w:val="24"/>
                <w:szCs w:val="24"/>
              </w:rPr>
              <w:t>本工</w:t>
            </w:r>
            <w:r>
              <w:rPr>
                <w:color w:val="auto"/>
                <w:sz w:val="24"/>
                <w:szCs w:val="24"/>
              </w:rPr>
              <w:t>程建筑垃圾堆填工程，本工程堆填后场地</w:t>
            </w:r>
            <w:r>
              <w:rPr>
                <w:sz w:val="24"/>
                <w:szCs w:val="24"/>
              </w:rPr>
              <w:t>可用于公园绿化，对照《产业结构调整指导目录》（2019年本），本工程属于鼓励类建设项目〔第一类“鼓励类”四十三、环境保护与资源节约综合利用—26</w:t>
            </w:r>
            <w:r>
              <w:rPr>
                <w:rFonts w:hint="eastAsia"/>
                <w:sz w:val="24"/>
                <w:szCs w:val="24"/>
                <w:lang w:eastAsia="zh-CN"/>
              </w:rPr>
              <w:t>、</w:t>
            </w:r>
            <w:r>
              <w:rPr>
                <w:sz w:val="24"/>
                <w:szCs w:val="24"/>
              </w:rPr>
              <w:t>再生资源、建筑垃圾资源化回收利用工程和产业化；</w:t>
            </w:r>
          </w:p>
          <w:p>
            <w:pPr>
              <w:spacing w:line="360" w:lineRule="auto"/>
              <w:ind w:firstLine="480" w:firstLineChars="200"/>
              <w:jc w:val="left"/>
              <w:rPr>
                <w:rFonts w:hint="default" w:eastAsia="宋体"/>
                <w:color w:val="auto"/>
                <w:sz w:val="24"/>
                <w:szCs w:val="24"/>
                <w:lang w:val="en-US" w:eastAsia="zh-CN"/>
              </w:rPr>
            </w:pPr>
            <w:r>
              <w:rPr>
                <w:sz w:val="24"/>
                <w:szCs w:val="24"/>
              </w:rPr>
              <w:t>本工程于2019年11月1日在丹</w:t>
            </w:r>
            <w:r>
              <w:rPr>
                <w:rFonts w:hint="eastAsia"/>
                <w:sz w:val="24"/>
                <w:szCs w:val="24"/>
                <w:lang w:eastAsia="zh-CN"/>
              </w:rPr>
              <w:t>凤</w:t>
            </w:r>
            <w:r>
              <w:rPr>
                <w:sz w:val="24"/>
                <w:szCs w:val="24"/>
              </w:rPr>
              <w:t>县发展改革局进行了备案，确认本工程符合国家产业政策，项目代码：2019-611022-78-01-0632</w:t>
            </w:r>
            <w:r>
              <w:rPr>
                <w:color w:val="auto"/>
                <w:sz w:val="24"/>
                <w:szCs w:val="24"/>
              </w:rPr>
              <w:t>24。</w:t>
            </w:r>
            <w:r>
              <w:rPr>
                <w:rFonts w:hint="eastAsia"/>
                <w:color w:val="auto"/>
                <w:sz w:val="24"/>
                <w:szCs w:val="24"/>
                <w:lang w:eastAsia="zh-CN"/>
              </w:rPr>
              <w:t>于</w:t>
            </w:r>
            <w:r>
              <w:rPr>
                <w:rFonts w:hint="eastAsia"/>
                <w:color w:val="auto"/>
                <w:sz w:val="24"/>
                <w:szCs w:val="24"/>
                <w:lang w:val="en-US" w:eastAsia="zh-CN"/>
              </w:rPr>
              <w:t>2021年6月25日，丹凤县行政审批服务局作出《关于丹凤县建筑垃圾处置场扩容工程项目可行性研究报告的批复》（丹行政审批发〔2021〕88号）。</w:t>
            </w:r>
          </w:p>
          <w:p>
            <w:pPr>
              <w:spacing w:line="360" w:lineRule="auto"/>
              <w:ind w:firstLine="480" w:firstLineChars="200"/>
              <w:rPr>
                <w:bCs/>
                <w:sz w:val="24"/>
                <w:szCs w:val="24"/>
              </w:rPr>
            </w:pPr>
            <w:r>
              <w:rPr>
                <w:bCs/>
                <w:color w:val="auto"/>
                <w:sz w:val="24"/>
                <w:szCs w:val="24"/>
              </w:rPr>
              <w:t>本工程建成后可以收集堆填处置丹凤县周边建筑垃</w:t>
            </w:r>
            <w:r>
              <w:rPr>
                <w:bCs/>
                <w:sz w:val="24"/>
                <w:szCs w:val="24"/>
              </w:rPr>
              <w:t>圾，减缓建筑垃圾堆存对城市环境造成的压力，改善丹凤县市容市貌，有利于丹凤县经济的可持续发展。</w:t>
            </w:r>
            <w:r>
              <w:rPr>
                <w:sz w:val="24"/>
                <w:szCs w:val="24"/>
              </w:rPr>
              <w:t>因此，本工程</w:t>
            </w:r>
            <w:r>
              <w:rPr>
                <w:bCs/>
                <w:sz w:val="24"/>
                <w:szCs w:val="24"/>
              </w:rPr>
              <w:t>符合国家产业政策。</w:t>
            </w:r>
          </w:p>
          <w:p>
            <w:pPr>
              <w:spacing w:line="360" w:lineRule="auto"/>
              <w:ind w:firstLine="482" w:firstLineChars="200"/>
              <w:rPr>
                <w:b/>
                <w:bCs/>
                <w:sz w:val="24"/>
                <w:szCs w:val="24"/>
              </w:rPr>
            </w:pPr>
            <w:r>
              <w:rPr>
                <w:b/>
                <w:bCs/>
                <w:sz w:val="24"/>
                <w:szCs w:val="24"/>
              </w:rPr>
              <w:t>2、与相关规划符合性分析</w:t>
            </w:r>
          </w:p>
          <w:p>
            <w:pPr>
              <w:spacing w:line="360" w:lineRule="auto"/>
              <w:ind w:firstLine="480" w:firstLineChars="200"/>
              <w:rPr>
                <w:sz w:val="24"/>
                <w:szCs w:val="24"/>
              </w:rPr>
            </w:pPr>
            <w:r>
              <w:rPr>
                <w:sz w:val="24"/>
                <w:szCs w:val="24"/>
              </w:rPr>
              <w:t>本工程与相关规划符合性分析详见表1-1。</w:t>
            </w:r>
          </w:p>
          <w:p>
            <w:pPr>
              <w:autoSpaceDE w:val="0"/>
              <w:autoSpaceDN w:val="0"/>
              <w:adjustRightInd w:val="0"/>
              <w:snapToGrid w:val="0"/>
              <w:jc w:val="center"/>
              <w:rPr>
                <w:szCs w:val="21"/>
              </w:rPr>
            </w:pPr>
            <w:r>
              <w:rPr>
                <w:kern w:val="0"/>
                <w:szCs w:val="21"/>
              </w:rPr>
              <w:t>表1-1本</w:t>
            </w:r>
            <w:r>
              <w:rPr>
                <w:szCs w:val="21"/>
              </w:rPr>
              <w:t>工程与相关规划符合性分析表</w:t>
            </w:r>
          </w:p>
          <w:tbl>
            <w:tblPr>
              <w:tblStyle w:val="23"/>
              <w:tblW w:w="6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098"/>
              <w:gridCol w:w="1467"/>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jc w:val="center"/>
                    <w:rPr>
                      <w:bCs/>
                      <w:szCs w:val="21"/>
                    </w:rPr>
                  </w:pPr>
                  <w:r>
                    <w:rPr>
                      <w:bCs/>
                      <w:szCs w:val="21"/>
                    </w:rPr>
                    <w:t>名称</w:t>
                  </w:r>
                </w:p>
              </w:tc>
              <w:tc>
                <w:tcPr>
                  <w:tcW w:w="3098" w:type="dxa"/>
                  <w:vAlign w:val="center"/>
                </w:tcPr>
                <w:p>
                  <w:pPr>
                    <w:jc w:val="center"/>
                    <w:rPr>
                      <w:bCs/>
                      <w:szCs w:val="21"/>
                    </w:rPr>
                  </w:pPr>
                  <w:r>
                    <w:rPr>
                      <w:bCs/>
                      <w:szCs w:val="21"/>
                    </w:rPr>
                    <w:t>相关要求</w:t>
                  </w:r>
                </w:p>
              </w:tc>
              <w:tc>
                <w:tcPr>
                  <w:tcW w:w="1467" w:type="dxa"/>
                  <w:vAlign w:val="center"/>
                </w:tcPr>
                <w:p>
                  <w:pPr>
                    <w:jc w:val="center"/>
                    <w:rPr>
                      <w:bCs/>
                      <w:szCs w:val="21"/>
                    </w:rPr>
                  </w:pPr>
                  <w:r>
                    <w:rPr>
                      <w:bCs/>
                      <w:szCs w:val="21"/>
                    </w:rPr>
                    <w:t>本工程情况</w:t>
                  </w:r>
                </w:p>
              </w:tc>
              <w:tc>
                <w:tcPr>
                  <w:tcW w:w="620" w:type="dxa"/>
                  <w:vAlign w:val="center"/>
                </w:tcPr>
                <w:p>
                  <w:pPr>
                    <w:jc w:val="center"/>
                    <w:rPr>
                      <w:bCs/>
                      <w:szCs w:val="21"/>
                    </w:rPr>
                  </w:pPr>
                  <w:r>
                    <w:rPr>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Align w:val="center"/>
                </w:tcPr>
                <w:p>
                  <w:pPr>
                    <w:adjustRightInd w:val="0"/>
                    <w:snapToGrid w:val="0"/>
                    <w:jc w:val="center"/>
                    <w:rPr>
                      <w:szCs w:val="21"/>
                    </w:rPr>
                  </w:pPr>
                  <w:r>
                    <w:rPr>
                      <w:szCs w:val="21"/>
                    </w:rPr>
                    <w:t>《陕西省主体功</w:t>
                  </w:r>
                </w:p>
                <w:p>
                  <w:pPr>
                    <w:adjustRightInd w:val="0"/>
                    <w:snapToGrid w:val="0"/>
                    <w:jc w:val="center"/>
                    <w:rPr>
                      <w:szCs w:val="21"/>
                    </w:rPr>
                  </w:pPr>
                  <w:r>
                    <w:rPr>
                      <w:szCs w:val="21"/>
                    </w:rPr>
                    <w:t>能区规划》</w:t>
                  </w:r>
                </w:p>
              </w:tc>
              <w:tc>
                <w:tcPr>
                  <w:tcW w:w="3098" w:type="dxa"/>
                  <w:vAlign w:val="center"/>
                </w:tcPr>
                <w:p>
                  <w:pPr>
                    <w:autoSpaceDE w:val="0"/>
                    <w:autoSpaceDN w:val="0"/>
                    <w:adjustRightInd w:val="0"/>
                    <w:jc w:val="center"/>
                    <w:rPr>
                      <w:szCs w:val="21"/>
                    </w:rPr>
                  </w:pPr>
                  <w:r>
                    <w:rPr>
                      <w:szCs w:val="21"/>
                    </w:rPr>
                    <w:t>国家层面重点开发区域。主要分布关中—天水经济区（包括商洛市商州区、丹凤县）和榆林北部地区；丹</w:t>
                  </w:r>
                  <w:r>
                    <w:rPr>
                      <w:color w:val="auto"/>
                      <w:szCs w:val="21"/>
                    </w:rPr>
                    <w:t>凤县内禁止开发区包括陕西丹江武关河省级自然保护区、陕西省商山森林公园、商洛丹江湿地</w:t>
                  </w:r>
                  <w:r>
                    <w:rPr>
                      <w:rFonts w:hint="eastAsia"/>
                      <w:color w:val="auto"/>
                      <w:szCs w:val="21"/>
                    </w:rPr>
                    <w:t>、丹凤丹江湿地公园、</w:t>
                  </w:r>
                  <w:r>
                    <w:rPr>
                      <w:color w:val="auto"/>
                      <w:szCs w:val="21"/>
                    </w:rPr>
                    <w:t>丹凤县龙潭水库水源地。</w:t>
                  </w:r>
                </w:p>
              </w:tc>
              <w:tc>
                <w:tcPr>
                  <w:tcW w:w="1467" w:type="dxa"/>
                  <w:vAlign w:val="center"/>
                </w:tcPr>
                <w:p>
                  <w:pPr>
                    <w:autoSpaceDE w:val="0"/>
                    <w:autoSpaceDN w:val="0"/>
                    <w:adjustRightInd w:val="0"/>
                    <w:jc w:val="center"/>
                    <w:rPr>
                      <w:szCs w:val="21"/>
                    </w:rPr>
                  </w:pPr>
                  <w:r>
                    <w:rPr>
                      <w:szCs w:val="21"/>
                    </w:rPr>
                    <w:t>本工程位于关中</w:t>
                  </w:r>
                  <w:r>
                    <w:rPr>
                      <w:rFonts w:hint="eastAsia"/>
                      <w:szCs w:val="21"/>
                      <w:lang w:eastAsia="zh-CN"/>
                    </w:rPr>
                    <w:t>—</w:t>
                  </w:r>
                  <w:r>
                    <w:rPr>
                      <w:szCs w:val="21"/>
                    </w:rPr>
                    <w:t>天水经济区，不涉及禁止开发区</w:t>
                  </w:r>
                </w:p>
              </w:tc>
              <w:tc>
                <w:tcPr>
                  <w:tcW w:w="620"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restart"/>
                  <w:vAlign w:val="center"/>
                </w:tcPr>
                <w:p>
                  <w:pPr>
                    <w:adjustRightInd w:val="0"/>
                    <w:snapToGrid w:val="0"/>
                    <w:jc w:val="center"/>
                    <w:rPr>
                      <w:szCs w:val="21"/>
                    </w:rPr>
                  </w:pPr>
                  <w:r>
                    <w:rPr>
                      <w:szCs w:val="21"/>
                    </w:rPr>
                    <w:t>《陕西秦岭生态环境保护总体规划》</w:t>
                  </w:r>
                </w:p>
              </w:tc>
              <w:tc>
                <w:tcPr>
                  <w:tcW w:w="3098" w:type="dxa"/>
                  <w:vAlign w:val="center"/>
                </w:tcPr>
                <w:p>
                  <w:pPr>
                    <w:autoSpaceDE w:val="0"/>
                    <w:autoSpaceDN w:val="0"/>
                    <w:adjustRightInd w:val="0"/>
                    <w:jc w:val="center"/>
                    <w:rPr>
                      <w:szCs w:val="21"/>
                    </w:rPr>
                  </w:pPr>
                  <w:r>
                    <w:rPr>
                      <w:szCs w:val="21"/>
                    </w:rPr>
                    <w:t>陕西秦岭生态环境保护总体规划附件1秦岭生态环境保护总体规划范围表，其中包括商洛市丹凤县龙驹寨街道</w:t>
                  </w:r>
                </w:p>
              </w:tc>
              <w:tc>
                <w:tcPr>
                  <w:tcW w:w="1467" w:type="dxa"/>
                  <w:vAlign w:val="center"/>
                </w:tcPr>
                <w:p>
                  <w:pPr>
                    <w:autoSpaceDE w:val="0"/>
                    <w:autoSpaceDN w:val="0"/>
                    <w:adjustRightInd w:val="0"/>
                    <w:jc w:val="center"/>
                    <w:rPr>
                      <w:szCs w:val="21"/>
                    </w:rPr>
                  </w:pPr>
                  <w:r>
                    <w:rPr>
                      <w:szCs w:val="21"/>
                    </w:rPr>
                    <w:t>本工程位于陕西省商洛市丹凤县龙驹寨街道</w:t>
                  </w:r>
                  <w:r>
                    <w:rPr>
                      <w:rFonts w:hint="eastAsia"/>
                      <w:szCs w:val="21"/>
                      <w:lang w:eastAsia="zh-CN"/>
                    </w:rPr>
                    <w:t>办凤麓</w:t>
                  </w:r>
                  <w:r>
                    <w:rPr>
                      <w:szCs w:val="21"/>
                    </w:rPr>
                    <w:t>社区椒术洼组，则本工程位于秦岭生态环境保护总体规划范围</w:t>
                  </w:r>
                </w:p>
              </w:tc>
              <w:tc>
                <w:tcPr>
                  <w:tcW w:w="620"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szCs w:val="21"/>
                    </w:rPr>
                  </w:pPr>
                </w:p>
              </w:tc>
              <w:tc>
                <w:tcPr>
                  <w:tcW w:w="3098" w:type="dxa"/>
                  <w:vAlign w:val="center"/>
                </w:tcPr>
                <w:p>
                  <w:pPr>
                    <w:autoSpaceDE w:val="0"/>
                    <w:autoSpaceDN w:val="0"/>
                    <w:adjustRightInd w:val="0"/>
                    <w:jc w:val="center"/>
                    <w:rPr>
                      <w:szCs w:val="21"/>
                    </w:rPr>
                  </w:pPr>
                  <w:r>
                    <w:rPr>
                      <w:szCs w:val="21"/>
                    </w:rPr>
                    <w:t>《陕西秦岭生态环境保护总体规划》</w:t>
                  </w:r>
                  <w:r>
                    <w:rPr>
                      <w:bCs/>
                    </w:rPr>
                    <w:t>商洛市秦岭生态环境保护规划分区示意图</w:t>
                  </w:r>
                </w:p>
              </w:tc>
              <w:tc>
                <w:tcPr>
                  <w:tcW w:w="1467" w:type="dxa"/>
                  <w:vAlign w:val="center"/>
                </w:tcPr>
                <w:p>
                  <w:pPr>
                    <w:autoSpaceDE w:val="0"/>
                    <w:autoSpaceDN w:val="0"/>
                    <w:adjustRightInd w:val="0"/>
                    <w:jc w:val="center"/>
                    <w:rPr>
                      <w:szCs w:val="21"/>
                    </w:rPr>
                  </w:pPr>
                  <w:r>
                    <w:rPr>
                      <w:szCs w:val="21"/>
                    </w:rPr>
                    <w:t>本工程位于</w:t>
                  </w:r>
                  <w:r>
                    <w:rPr>
                      <w:bCs/>
                    </w:rPr>
                    <w:t>秦岭生态环境保护的</w:t>
                  </w:r>
                  <w:r>
                    <w:rPr>
                      <w:szCs w:val="21"/>
                    </w:rPr>
                    <w:t>一般保护区</w:t>
                  </w:r>
                </w:p>
              </w:tc>
              <w:tc>
                <w:tcPr>
                  <w:tcW w:w="620"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szCs w:val="21"/>
                    </w:rPr>
                  </w:pPr>
                </w:p>
              </w:tc>
              <w:tc>
                <w:tcPr>
                  <w:tcW w:w="3098" w:type="dxa"/>
                  <w:vAlign w:val="center"/>
                </w:tcPr>
                <w:p>
                  <w:pPr>
                    <w:autoSpaceDE w:val="0"/>
                    <w:autoSpaceDN w:val="0"/>
                    <w:adjustRightInd w:val="0"/>
                    <w:jc w:val="center"/>
                    <w:rPr>
                      <w:szCs w:val="21"/>
                    </w:rPr>
                  </w:pPr>
                  <w:r>
                    <w:rPr>
                      <w:szCs w:val="21"/>
                    </w:rPr>
                    <w:t>一般保护区保护要求：一般保护区各类生产、生活和建设活动应当严格执行《条例》和相关法规和规划的规定，严格执行一般保护区产业准入清单制度</w:t>
                  </w:r>
                </w:p>
              </w:tc>
              <w:tc>
                <w:tcPr>
                  <w:tcW w:w="1467" w:type="dxa"/>
                  <w:vAlign w:val="center"/>
                </w:tcPr>
                <w:p>
                  <w:pPr>
                    <w:autoSpaceDE w:val="0"/>
                    <w:autoSpaceDN w:val="0"/>
                    <w:adjustRightInd w:val="0"/>
                    <w:jc w:val="center"/>
                    <w:rPr>
                      <w:szCs w:val="21"/>
                    </w:rPr>
                  </w:pPr>
                  <w:r>
                    <w:rPr>
                      <w:szCs w:val="21"/>
                    </w:rPr>
                    <w:t>本工程不属于《陕西省秦岭重点保护区一般保护区产业准入清单（试行）》限制项目、禁止项目；本工程符合《陕西省秦岭生态环境保护条例》</w:t>
                  </w:r>
                </w:p>
              </w:tc>
              <w:tc>
                <w:tcPr>
                  <w:tcW w:w="620"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szCs w:val="21"/>
                    </w:rPr>
                  </w:pPr>
                </w:p>
              </w:tc>
              <w:tc>
                <w:tcPr>
                  <w:tcW w:w="3098" w:type="dxa"/>
                  <w:vAlign w:val="center"/>
                </w:tcPr>
                <w:p>
                  <w:pPr>
                    <w:autoSpaceDE w:val="0"/>
                    <w:autoSpaceDN w:val="0"/>
                    <w:adjustRightInd w:val="0"/>
                    <w:jc w:val="center"/>
                    <w:rPr>
                      <w:szCs w:val="21"/>
                    </w:rPr>
                  </w:pPr>
                  <w:r>
                    <w:rPr>
                      <w:szCs w:val="21"/>
                    </w:rPr>
                    <w:t>一般保护区重点任务：综合提升城乡给排水、公厕、道路、电网、污水垃圾处理、水源地保护等基础设施水平。</w:t>
                  </w:r>
                </w:p>
              </w:tc>
              <w:tc>
                <w:tcPr>
                  <w:tcW w:w="1467" w:type="dxa"/>
                  <w:vAlign w:val="center"/>
                </w:tcPr>
                <w:p>
                  <w:pPr>
                    <w:autoSpaceDE w:val="0"/>
                    <w:autoSpaceDN w:val="0"/>
                    <w:adjustRightInd w:val="0"/>
                    <w:jc w:val="center"/>
                    <w:rPr>
                      <w:szCs w:val="21"/>
                    </w:rPr>
                  </w:pPr>
                  <w:r>
                    <w:rPr>
                      <w:szCs w:val="21"/>
                    </w:rPr>
                    <w:t>本工</w:t>
                  </w:r>
                  <w:r>
                    <w:rPr>
                      <w:color w:val="auto"/>
                      <w:szCs w:val="21"/>
                    </w:rPr>
                    <w:t>程为建筑垃圾</w:t>
                  </w:r>
                  <w:r>
                    <w:rPr>
                      <w:color w:val="auto"/>
                      <w:kern w:val="0"/>
                      <w:szCs w:val="21"/>
                    </w:rPr>
                    <w:t>堆填</w:t>
                  </w:r>
                  <w:r>
                    <w:rPr>
                      <w:color w:val="auto"/>
                      <w:szCs w:val="21"/>
                    </w:rPr>
                    <w:t>处置工程，</w:t>
                  </w:r>
                  <w:r>
                    <w:rPr>
                      <w:szCs w:val="21"/>
                    </w:rPr>
                    <w:t>可以处理丹凤县周边堆存的建筑垃圾</w:t>
                  </w:r>
                </w:p>
              </w:tc>
              <w:tc>
                <w:tcPr>
                  <w:tcW w:w="620"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restart"/>
                  <w:vAlign w:val="center"/>
                </w:tcPr>
                <w:p>
                  <w:pPr>
                    <w:adjustRightInd w:val="0"/>
                    <w:snapToGrid w:val="0"/>
                    <w:jc w:val="center"/>
                    <w:rPr>
                      <w:color w:val="auto"/>
                      <w:szCs w:val="21"/>
                    </w:rPr>
                  </w:pPr>
                  <w:r>
                    <w:rPr>
                      <w:color w:val="auto"/>
                      <w:szCs w:val="21"/>
                    </w:rPr>
                    <w:t>《商洛市秦岭生态环境保护规划（</w:t>
                  </w:r>
                  <w:r>
                    <w:rPr>
                      <w:rFonts w:hint="eastAsia"/>
                      <w:color w:val="auto"/>
                      <w:szCs w:val="21"/>
                    </w:rPr>
                    <w:t>2021-2035</w:t>
                  </w:r>
                  <w:r>
                    <w:rPr>
                      <w:color w:val="auto"/>
                      <w:szCs w:val="21"/>
                    </w:rPr>
                    <w:t>）》</w:t>
                  </w:r>
                </w:p>
              </w:tc>
              <w:tc>
                <w:tcPr>
                  <w:tcW w:w="3098" w:type="dxa"/>
                  <w:vAlign w:val="center"/>
                </w:tcPr>
                <w:p>
                  <w:pPr>
                    <w:pStyle w:val="46"/>
                    <w:rPr>
                      <w:color w:val="auto"/>
                      <w:szCs w:val="21"/>
                    </w:rPr>
                  </w:pPr>
                  <w:r>
                    <w:rPr>
                      <w:rFonts w:hint="eastAsia"/>
                      <w:color w:val="auto"/>
                      <w:szCs w:val="21"/>
                    </w:rPr>
                    <w:t>核心保护区主要包括海拔2000米以上区域，秦岭山系主梁东起柞水县与宁陕县交界，经终南山、草链岭、华山一线，东至洛南县与河南省交界的主梁两侧各1000米以内的区域（按照投影范围计算），旬月支脉、旬乾支脉、四方山支脉、流岭支脉两侧各500米以内的区域（按照投影范围计算）；国家公园、自然保护区的核心保护区，世界遗产；饮用水水源一级保护区；自然保护区一般控制区中珍稀濒危野生动物栖息地与其他重要生态功能区集中连片，需要整体性、系统性保护的区域，国土空间规划确定的城镇开发边界范围除外</w:t>
                  </w:r>
                </w:p>
              </w:tc>
              <w:tc>
                <w:tcPr>
                  <w:tcW w:w="1467" w:type="dxa"/>
                  <w:vMerge w:val="restart"/>
                  <w:vAlign w:val="center"/>
                </w:tcPr>
                <w:p>
                  <w:pPr>
                    <w:autoSpaceDE w:val="0"/>
                    <w:autoSpaceDN w:val="0"/>
                    <w:adjustRightInd w:val="0"/>
                    <w:snapToGrid w:val="0"/>
                    <w:rPr>
                      <w:color w:val="auto"/>
                      <w:kern w:val="0"/>
                      <w:szCs w:val="21"/>
                    </w:rPr>
                  </w:pPr>
                  <w:r>
                    <w:rPr>
                      <w:color w:val="auto"/>
                      <w:kern w:val="0"/>
                      <w:szCs w:val="21"/>
                    </w:rPr>
                    <w:t>本工程位于</w:t>
                  </w:r>
                  <w:r>
                    <w:rPr>
                      <w:rFonts w:hint="eastAsia"/>
                      <w:color w:val="auto"/>
                      <w:kern w:val="0"/>
                      <w:szCs w:val="21"/>
                    </w:rPr>
                    <w:t>一般保护区</w:t>
                  </w:r>
                </w:p>
              </w:tc>
              <w:tc>
                <w:tcPr>
                  <w:tcW w:w="620" w:type="dxa"/>
                  <w:vMerge w:val="restart"/>
                  <w:vAlign w:val="center"/>
                </w:tcPr>
                <w:p>
                  <w:pPr>
                    <w:autoSpaceDE w:val="0"/>
                    <w:autoSpaceDN w:val="0"/>
                    <w:adjustRightInd w:val="0"/>
                    <w:snapToGrid w:val="0"/>
                    <w:jc w:val="center"/>
                    <w:rPr>
                      <w:kern w:val="0"/>
                      <w:szCs w:val="21"/>
                    </w:rP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color w:val="auto"/>
                      <w:szCs w:val="21"/>
                    </w:rPr>
                  </w:pPr>
                </w:p>
              </w:tc>
              <w:tc>
                <w:tcPr>
                  <w:tcW w:w="3098" w:type="dxa"/>
                  <w:vAlign w:val="center"/>
                </w:tcPr>
                <w:p>
                  <w:pPr>
                    <w:pStyle w:val="46"/>
                    <w:rPr>
                      <w:color w:val="auto"/>
                      <w:szCs w:val="21"/>
                    </w:rPr>
                  </w:pPr>
                  <w:r>
                    <w:rPr>
                      <w:rFonts w:hint="eastAsia"/>
                      <w:color w:val="auto"/>
                      <w:szCs w:val="21"/>
                    </w:rPr>
                    <w:t>重点保护区主要包括海拔1500米至2000米之间的区域；国家公园、自然保护区的一般控制区，饮用水水源二级保护区；国家级和省级风景名胜区、地质公园、森林公园、湿地公园等自然公园的重要功能区，植物园、水利风景区；水产种质资源保护区、野生植物原生境保护区（点）、野生动物重要栖息地，国有天然林分布区，重要湿地，重要的大中型水库、天然湖泊；全国重点文物保护单位、省级文物保护单位，核心保护区、国土空间规划确定的城镇开发边界范围除外。</w:t>
                  </w:r>
                </w:p>
              </w:tc>
              <w:tc>
                <w:tcPr>
                  <w:tcW w:w="1467" w:type="dxa"/>
                  <w:vMerge w:val="continue"/>
                  <w:vAlign w:val="center"/>
                </w:tcPr>
                <w:p>
                  <w:pPr>
                    <w:autoSpaceDE w:val="0"/>
                    <w:autoSpaceDN w:val="0"/>
                    <w:adjustRightInd w:val="0"/>
                    <w:snapToGrid w:val="0"/>
                    <w:jc w:val="center"/>
                    <w:rPr>
                      <w:color w:val="auto"/>
                      <w:kern w:val="0"/>
                      <w:szCs w:val="21"/>
                    </w:rPr>
                  </w:pPr>
                </w:p>
              </w:tc>
              <w:tc>
                <w:tcPr>
                  <w:tcW w:w="620" w:type="dxa"/>
                  <w:vMerge w:val="continue"/>
                  <w:vAlign w:val="center"/>
                </w:tcPr>
                <w:p>
                  <w:pPr>
                    <w:autoSpaceDE w:val="0"/>
                    <w:autoSpaceDN w:val="0"/>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color w:val="auto"/>
                      <w:szCs w:val="21"/>
                    </w:rPr>
                  </w:pPr>
                </w:p>
              </w:tc>
              <w:tc>
                <w:tcPr>
                  <w:tcW w:w="3098" w:type="dxa"/>
                  <w:vAlign w:val="center"/>
                </w:tcPr>
                <w:p>
                  <w:pPr>
                    <w:pStyle w:val="46"/>
                    <w:rPr>
                      <w:color w:val="auto"/>
                      <w:szCs w:val="21"/>
                    </w:rPr>
                  </w:pPr>
                  <w:r>
                    <w:rPr>
                      <w:rFonts w:hint="eastAsia"/>
                      <w:color w:val="auto"/>
                      <w:szCs w:val="21"/>
                    </w:rPr>
                    <w:t>一般保护区除核心保护区、重点保护区以外的区域，为一般保护区。</w:t>
                  </w:r>
                </w:p>
              </w:tc>
              <w:tc>
                <w:tcPr>
                  <w:tcW w:w="1467" w:type="dxa"/>
                  <w:vMerge w:val="continue"/>
                  <w:vAlign w:val="center"/>
                </w:tcPr>
                <w:p>
                  <w:pPr>
                    <w:autoSpaceDE w:val="0"/>
                    <w:autoSpaceDN w:val="0"/>
                    <w:adjustRightInd w:val="0"/>
                    <w:snapToGrid w:val="0"/>
                    <w:jc w:val="center"/>
                    <w:rPr>
                      <w:color w:val="auto"/>
                      <w:kern w:val="0"/>
                      <w:szCs w:val="21"/>
                    </w:rPr>
                  </w:pPr>
                </w:p>
              </w:tc>
              <w:tc>
                <w:tcPr>
                  <w:tcW w:w="620" w:type="dxa"/>
                  <w:vMerge w:val="continue"/>
                  <w:vAlign w:val="center"/>
                </w:tcPr>
                <w:p>
                  <w:pPr>
                    <w:autoSpaceDE w:val="0"/>
                    <w:autoSpaceDN w:val="0"/>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color w:val="auto"/>
                      <w:szCs w:val="21"/>
                    </w:rPr>
                  </w:pPr>
                </w:p>
              </w:tc>
              <w:tc>
                <w:tcPr>
                  <w:tcW w:w="3098" w:type="dxa"/>
                  <w:vAlign w:val="center"/>
                </w:tcPr>
                <w:p>
                  <w:pPr>
                    <w:widowControl/>
                    <w:jc w:val="left"/>
                    <w:rPr>
                      <w:color w:val="auto"/>
                    </w:rPr>
                  </w:pPr>
                  <w:r>
                    <w:rPr>
                      <w:rFonts w:hint="eastAsia"/>
                      <w:color w:val="auto"/>
                    </w:rPr>
                    <w:t>一般保护区保护要求：一般保护区内自然地理条件相对较好，人口密集、交通发达、产业集中，具有一定的发展空间，是资源环境承载能力相对较强的地区，主要承担实现经济社会高质量发展、促进人与自然和谐共生的功能。区域内各类生产、生活和建设活动应当严格执行《条例》和相关法规、规划的规定，严格执行一般保护区产业准入清单制度。</w:t>
                  </w:r>
                </w:p>
              </w:tc>
              <w:tc>
                <w:tcPr>
                  <w:tcW w:w="1467" w:type="dxa"/>
                  <w:vAlign w:val="center"/>
                </w:tcPr>
                <w:p>
                  <w:pPr>
                    <w:autoSpaceDE w:val="0"/>
                    <w:autoSpaceDN w:val="0"/>
                    <w:adjustRightInd w:val="0"/>
                    <w:snapToGrid w:val="0"/>
                    <w:jc w:val="center"/>
                    <w:rPr>
                      <w:color w:val="auto"/>
                      <w:kern w:val="0"/>
                      <w:szCs w:val="21"/>
                    </w:rPr>
                  </w:pPr>
                  <w:r>
                    <w:rPr>
                      <w:rFonts w:hint="eastAsia"/>
                      <w:color w:val="auto"/>
                      <w:kern w:val="0"/>
                      <w:szCs w:val="21"/>
                    </w:rPr>
                    <w:t>本</w:t>
                  </w:r>
                  <w:r>
                    <w:rPr>
                      <w:rFonts w:hint="eastAsia"/>
                      <w:color w:val="auto"/>
                      <w:kern w:val="0"/>
                      <w:szCs w:val="21"/>
                      <w:lang w:eastAsia="zh-CN"/>
                    </w:rPr>
                    <w:t>工程</w:t>
                  </w:r>
                  <w:r>
                    <w:rPr>
                      <w:rFonts w:hint="eastAsia"/>
                      <w:color w:val="auto"/>
                      <w:kern w:val="0"/>
                      <w:szCs w:val="21"/>
                    </w:rPr>
                    <w:t>符合《</w:t>
                  </w:r>
                  <w:r>
                    <w:rPr>
                      <w:color w:val="auto"/>
                      <w:szCs w:val="21"/>
                    </w:rPr>
                    <w:t>陕西省秦岭生态环境保护条例</w:t>
                  </w:r>
                  <w:r>
                    <w:rPr>
                      <w:rFonts w:hint="eastAsia"/>
                      <w:color w:val="auto"/>
                      <w:kern w:val="0"/>
                      <w:szCs w:val="21"/>
                    </w:rPr>
                    <w:t>》，且</w:t>
                  </w:r>
                  <w:r>
                    <w:rPr>
                      <w:rFonts w:hint="eastAsia"/>
                      <w:color w:val="auto"/>
                      <w:kern w:val="0"/>
                      <w:szCs w:val="21"/>
                      <w:lang w:eastAsia="zh-CN"/>
                    </w:rPr>
                    <w:t>工程</w:t>
                  </w:r>
                  <w:r>
                    <w:rPr>
                      <w:color w:val="auto"/>
                      <w:kern w:val="0"/>
                      <w:szCs w:val="21"/>
                    </w:rPr>
                    <w:t>属于秦岭一般保护区产业限制目录和秦岭一般保护区产业禁止目录</w:t>
                  </w:r>
                  <w:r>
                    <w:rPr>
                      <w:rFonts w:hint="eastAsia"/>
                      <w:color w:val="auto"/>
                      <w:kern w:val="0"/>
                      <w:szCs w:val="21"/>
                    </w:rPr>
                    <w:t>。</w:t>
                  </w:r>
                </w:p>
              </w:tc>
              <w:tc>
                <w:tcPr>
                  <w:tcW w:w="620" w:type="dxa"/>
                  <w:vAlign w:val="center"/>
                </w:tcPr>
                <w:p>
                  <w:pPr>
                    <w:autoSpaceDE w:val="0"/>
                    <w:autoSpaceDN w:val="0"/>
                    <w:adjustRightInd w:val="0"/>
                    <w:snapToGrid w:val="0"/>
                    <w:jc w:val="center"/>
                    <w:rPr>
                      <w:kern w:val="0"/>
                      <w:szCs w:val="21"/>
                    </w:rP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vAlign w:val="center"/>
                </w:tcPr>
                <w:p>
                  <w:pPr>
                    <w:adjustRightInd w:val="0"/>
                    <w:snapToGrid w:val="0"/>
                    <w:jc w:val="center"/>
                    <w:rPr>
                      <w:szCs w:val="21"/>
                    </w:rPr>
                  </w:pPr>
                </w:p>
              </w:tc>
              <w:tc>
                <w:tcPr>
                  <w:tcW w:w="3098" w:type="dxa"/>
                  <w:vAlign w:val="center"/>
                </w:tcPr>
                <w:p>
                  <w:pPr>
                    <w:widowControl/>
                    <w:jc w:val="left"/>
                    <w:rPr>
                      <w:color w:val="auto"/>
                    </w:rPr>
                  </w:pPr>
                  <w:r>
                    <w:rPr>
                      <w:rFonts w:hint="eastAsia"/>
                      <w:color w:val="auto"/>
                    </w:rPr>
                    <w:t>综合提升城乡给排水、公厕、道路、电网、污水垃圾处理、水源地保护等基础设施水平。提高地质灾害、气象灾害风险预警水平和崩塌、滑坡、泥石流、山洪等自然灾害的避险撤离能力。</w:t>
                  </w:r>
                </w:p>
              </w:tc>
              <w:tc>
                <w:tcPr>
                  <w:tcW w:w="1467" w:type="dxa"/>
                  <w:vAlign w:val="center"/>
                </w:tcPr>
                <w:p>
                  <w:pPr>
                    <w:autoSpaceDE w:val="0"/>
                    <w:autoSpaceDN w:val="0"/>
                    <w:adjustRightInd w:val="0"/>
                    <w:snapToGrid w:val="0"/>
                    <w:jc w:val="center"/>
                    <w:rPr>
                      <w:color w:val="auto"/>
                      <w:kern w:val="0"/>
                      <w:szCs w:val="21"/>
                    </w:rPr>
                  </w:pPr>
                  <w:r>
                    <w:rPr>
                      <w:rFonts w:hint="eastAsia"/>
                      <w:color w:val="auto"/>
                      <w:kern w:val="0"/>
                      <w:szCs w:val="21"/>
                    </w:rPr>
                    <w:t>本工程为建筑垃圾处理项目，本</w:t>
                  </w:r>
                  <w:r>
                    <w:rPr>
                      <w:rFonts w:hint="eastAsia"/>
                      <w:color w:val="auto"/>
                      <w:kern w:val="0"/>
                      <w:szCs w:val="21"/>
                      <w:lang w:eastAsia="zh-CN"/>
                    </w:rPr>
                    <w:t>工程</w:t>
                  </w:r>
                  <w:r>
                    <w:rPr>
                      <w:rFonts w:hint="eastAsia"/>
                      <w:color w:val="auto"/>
                      <w:kern w:val="0"/>
                      <w:szCs w:val="21"/>
                    </w:rPr>
                    <w:t>建成后有助于提升城乡基础设施水平</w:t>
                  </w:r>
                </w:p>
              </w:tc>
              <w:tc>
                <w:tcPr>
                  <w:tcW w:w="620" w:type="dxa"/>
                  <w:vAlign w:val="center"/>
                </w:tcPr>
                <w:p>
                  <w:pPr>
                    <w:autoSpaceDE w:val="0"/>
                    <w:autoSpaceDN w:val="0"/>
                    <w:adjustRightInd w:val="0"/>
                    <w:snapToGrid w:val="0"/>
                    <w:jc w:val="center"/>
                    <w:rPr>
                      <w:kern w:val="0"/>
                      <w:szCs w:val="21"/>
                    </w:rPr>
                  </w:pPr>
                  <w:r>
                    <w:rPr>
                      <w:rFonts w:hint="eastAsia"/>
                      <w:kern w:val="0"/>
                      <w:szCs w:val="21"/>
                    </w:rPr>
                    <w:t>符合</w:t>
                  </w:r>
                </w:p>
              </w:tc>
            </w:tr>
          </w:tbl>
          <w:p>
            <w:pPr>
              <w:spacing w:line="360" w:lineRule="auto"/>
              <w:ind w:firstLine="482" w:firstLineChars="200"/>
              <w:rPr>
                <w:b/>
                <w:bCs/>
                <w:sz w:val="24"/>
                <w:szCs w:val="24"/>
              </w:rPr>
            </w:pPr>
            <w:r>
              <w:rPr>
                <w:b/>
                <w:bCs/>
                <w:sz w:val="24"/>
                <w:szCs w:val="24"/>
              </w:rPr>
              <w:t>3、与相关环保政策符合性分析</w:t>
            </w:r>
          </w:p>
          <w:p>
            <w:pPr>
              <w:spacing w:line="360" w:lineRule="auto"/>
              <w:ind w:firstLine="480" w:firstLineChars="200"/>
              <w:rPr>
                <w:sz w:val="24"/>
                <w:szCs w:val="24"/>
              </w:rPr>
            </w:pPr>
            <w:r>
              <w:rPr>
                <w:sz w:val="24"/>
                <w:szCs w:val="24"/>
              </w:rPr>
              <w:t>本工程与相关规划、环保政策符合性分析详见表1-2。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bCs/>
                <w:szCs w:val="21"/>
              </w:rPr>
              <w:t>表1-2本工程与相关环保政策符合性分析一览表</w:t>
            </w:r>
          </w:p>
          <w:tbl>
            <w:tblPr>
              <w:tblStyle w:val="23"/>
              <w:tblW w:w="6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188"/>
              <w:gridCol w:w="188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189" w:type="dxa"/>
                  <w:vAlign w:val="center"/>
                </w:tcPr>
                <w:p>
                  <w:pPr>
                    <w:jc w:val="center"/>
                    <w:rPr>
                      <w:bCs/>
                      <w:szCs w:val="21"/>
                    </w:rPr>
                  </w:pPr>
                  <w:r>
                    <w:rPr>
                      <w:bCs/>
                      <w:szCs w:val="21"/>
                    </w:rPr>
                    <w:t>名称</w:t>
                  </w:r>
                </w:p>
              </w:tc>
              <w:tc>
                <w:tcPr>
                  <w:tcW w:w="3188" w:type="dxa"/>
                  <w:vAlign w:val="center"/>
                </w:tcPr>
                <w:p>
                  <w:pPr>
                    <w:jc w:val="center"/>
                    <w:rPr>
                      <w:bCs/>
                      <w:szCs w:val="21"/>
                    </w:rPr>
                  </w:pPr>
                  <w:r>
                    <w:rPr>
                      <w:bCs/>
                      <w:szCs w:val="21"/>
                    </w:rPr>
                    <w:t>相关要求</w:t>
                  </w:r>
                </w:p>
              </w:tc>
              <w:tc>
                <w:tcPr>
                  <w:tcW w:w="1881" w:type="dxa"/>
                  <w:vAlign w:val="center"/>
                </w:tcPr>
                <w:p>
                  <w:pPr>
                    <w:jc w:val="center"/>
                    <w:rPr>
                      <w:bCs/>
                      <w:szCs w:val="21"/>
                    </w:rPr>
                  </w:pPr>
                  <w:r>
                    <w:rPr>
                      <w:bCs/>
                      <w:szCs w:val="21"/>
                    </w:rPr>
                    <w:t>本工程情况</w:t>
                  </w:r>
                </w:p>
              </w:tc>
              <w:tc>
                <w:tcPr>
                  <w:tcW w:w="679" w:type="dxa"/>
                  <w:vAlign w:val="center"/>
                </w:tcPr>
                <w:p>
                  <w:pPr>
                    <w:jc w:val="center"/>
                    <w:rPr>
                      <w:bCs/>
                      <w:szCs w:val="21"/>
                    </w:rPr>
                  </w:pPr>
                  <w:r>
                    <w:rPr>
                      <w:bCs/>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9" w:type="dxa"/>
                  <w:vAlign w:val="center"/>
                </w:tcPr>
                <w:p>
                  <w:pPr>
                    <w:adjustRightInd w:val="0"/>
                    <w:snapToGrid w:val="0"/>
                    <w:jc w:val="center"/>
                    <w:rPr>
                      <w:szCs w:val="21"/>
                    </w:rPr>
                  </w:pPr>
                  <w:r>
                    <w:rPr>
                      <w:szCs w:val="21"/>
                    </w:rPr>
                    <w:t>《陕西省固体废物污染防治专项整治行动方案》</w:t>
                  </w:r>
                </w:p>
              </w:tc>
              <w:tc>
                <w:tcPr>
                  <w:tcW w:w="3188" w:type="dxa"/>
                  <w:vAlign w:val="center"/>
                </w:tcPr>
                <w:p>
                  <w:pPr>
                    <w:autoSpaceDE w:val="0"/>
                    <w:autoSpaceDN w:val="0"/>
                    <w:adjustRightInd w:val="0"/>
                    <w:jc w:val="left"/>
                    <w:rPr>
                      <w:szCs w:val="21"/>
                    </w:rPr>
                  </w:pPr>
                  <w:r>
                    <w:rPr>
                      <w:szCs w:val="21"/>
                    </w:rPr>
                    <w:t>根据行动方案相关要求，到2020年，全省固体废物污染防治管理体系进一步完善，企业主体责任有效落实，固体废物环境违法行为得到有效遏制；固体废物安全贮存和资源利用处置能力大幅提高，生活垃圾焚烧处置率得到提升，工业固体废物综合利用率达到73%以上，重点城市污泥无害化处理处置率达到90%以上，建筑垃圾资源利用率达到30%以上，危险废物规范化管理水平稳步提升，环境风险防控基础进一步夯实。”</w:t>
                  </w:r>
                </w:p>
              </w:tc>
              <w:tc>
                <w:tcPr>
                  <w:tcW w:w="1881" w:type="dxa"/>
                  <w:vAlign w:val="center"/>
                </w:tcPr>
                <w:p>
                  <w:pPr>
                    <w:autoSpaceDE w:val="0"/>
                    <w:autoSpaceDN w:val="0"/>
                    <w:adjustRightInd w:val="0"/>
                    <w:jc w:val="left"/>
                    <w:rPr>
                      <w:szCs w:val="21"/>
                    </w:rPr>
                  </w:pPr>
                  <w:r>
                    <w:rPr>
                      <w:szCs w:val="21"/>
                    </w:rPr>
                    <w:t>本工</w:t>
                  </w:r>
                  <w:r>
                    <w:rPr>
                      <w:color w:val="auto"/>
                      <w:szCs w:val="21"/>
                    </w:rPr>
                    <w:t>程为</w:t>
                  </w:r>
                  <w:r>
                    <w:rPr>
                      <w:color w:val="auto"/>
                      <w:kern w:val="0"/>
                      <w:szCs w:val="21"/>
                    </w:rPr>
                    <w:t>堆填</w:t>
                  </w:r>
                  <w:r>
                    <w:rPr>
                      <w:color w:val="auto"/>
                      <w:szCs w:val="21"/>
                    </w:rPr>
                    <w:t>处</w:t>
                  </w:r>
                  <w:r>
                    <w:rPr>
                      <w:szCs w:val="21"/>
                    </w:rPr>
                    <w:t>置工程，可以处理丹凤县周边堆存的建筑垃圾，符合行动方案的目标。</w:t>
                  </w:r>
                </w:p>
                <w:p>
                  <w:pPr>
                    <w:jc w:val="center"/>
                    <w:rPr>
                      <w:szCs w:val="21"/>
                    </w:rPr>
                  </w:pPr>
                </w:p>
              </w:tc>
              <w:tc>
                <w:tcPr>
                  <w:tcW w:w="679"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189" w:type="dxa"/>
                  <w:vMerge w:val="restart"/>
                  <w:vAlign w:val="center"/>
                </w:tcPr>
                <w:p>
                  <w:pPr>
                    <w:adjustRightInd w:val="0"/>
                    <w:snapToGrid w:val="0"/>
                    <w:jc w:val="center"/>
                    <w:rPr>
                      <w:szCs w:val="21"/>
                    </w:rPr>
                  </w:pPr>
                  <w:r>
                    <w:rPr>
                      <w:szCs w:val="21"/>
                    </w:rPr>
                    <w:t>《陕西省秦岭生态环境保护条例》</w:t>
                  </w:r>
                </w:p>
              </w:tc>
              <w:tc>
                <w:tcPr>
                  <w:tcW w:w="3188" w:type="dxa"/>
                  <w:vAlign w:val="center"/>
                </w:tcPr>
                <w:p>
                  <w:pPr>
                    <w:pStyle w:val="18"/>
                    <w:spacing w:before="0" w:beforeAutospacing="0" w:after="0" w:afterAutospacing="0"/>
                    <w:rPr>
                      <w:rFonts w:ascii="Times New Roman" w:hAnsi="Times New Roman"/>
                      <w:kern w:val="2"/>
                      <w:sz w:val="21"/>
                      <w:szCs w:val="21"/>
                    </w:rPr>
                  </w:pPr>
                  <w:r>
                    <w:rPr>
                      <w:rFonts w:ascii="Times New Roman" w:hAnsi="Times New Roman"/>
                      <w:kern w:val="2"/>
                      <w:sz w:val="21"/>
                      <w:szCs w:val="21"/>
                    </w:rPr>
                    <w:t>第十五条秦岭范围下列区域，除国土空间规划确定的城镇开发边界范围外，应当划为核心保护区：(一)海拔2000米以上区域，秦岭山系主梁两侧各1000米以内、主要支脉两侧各500米以内的区域；(二)国家公园、自然保护区的核心保护区，世界遗产；(三)饮用水水源一级保护区；(四)自然保护区一般控制区中珍稀濒危野生动物栖息地与其他重要生态功能区集中连片，需要整体性、系统性保护的区域。</w:t>
                  </w:r>
                  <w:r>
                    <w:rPr>
                      <w:rFonts w:ascii="Times New Roman" w:hAnsi="Times New Roman"/>
                      <w:kern w:val="2"/>
                      <w:sz w:val="21"/>
                      <w:szCs w:val="21"/>
                    </w:rPr>
                    <w:br w:type="textWrapping"/>
                  </w:r>
                  <w:r>
                    <w:rPr>
                      <w:rFonts w:ascii="Times New Roman" w:hAnsi="Times New Roman"/>
                      <w:kern w:val="2"/>
                      <w:sz w:val="21"/>
                      <w:szCs w:val="21"/>
                    </w:rPr>
                    <w:t>第十六条秦岭范围下列区域，除核心保护区、国土空间规划确定的城镇开发边界范围外，应当划为重点保护区：(一)海拔1500米至2000米之间的区域；(二)国家公园、自然保护区的一般控制区，饮用水水源二级保护区；(三)国家级和省级风景名胜区、地质公园、森林公园、湿地公园等自然公园的重要功能区，植物园、水利风景区；(四)水产种质资源保护区、野生植物原生境保护区(点)、野生动物重要栖息地，国有天然林分布区，重要湿地，重要的大中型水库、天然湖泊；(五)全国重点文物保护单位、省级文物保护单位。</w:t>
                  </w:r>
                  <w:r>
                    <w:rPr>
                      <w:rFonts w:ascii="Times New Roman" w:hAnsi="Times New Roman"/>
                      <w:kern w:val="2"/>
                      <w:sz w:val="21"/>
                      <w:szCs w:val="21"/>
                    </w:rPr>
                    <w:br w:type="textWrapping"/>
                  </w:r>
                  <w:r>
                    <w:rPr>
                      <w:rFonts w:ascii="Times New Roman" w:hAnsi="Times New Roman"/>
                      <w:kern w:val="2"/>
                      <w:sz w:val="21"/>
                      <w:szCs w:val="21"/>
                    </w:rPr>
                    <w:t>第十七条秦岭范围内除核心保护区、重点保护区以外的区域，为一般保护区。</w:t>
                  </w:r>
                </w:p>
              </w:tc>
              <w:tc>
                <w:tcPr>
                  <w:tcW w:w="1881" w:type="dxa"/>
                  <w:vAlign w:val="center"/>
                </w:tcPr>
                <w:p>
                  <w:pPr>
                    <w:jc w:val="center"/>
                    <w:rPr>
                      <w:szCs w:val="21"/>
                    </w:rPr>
                  </w:pPr>
                  <w:r>
                    <w:rPr>
                      <w:szCs w:val="21"/>
                    </w:rPr>
                    <w:t>本工程位于陕西省商洛市丹凤县龙驹寨街道</w:t>
                  </w:r>
                  <w:r>
                    <w:rPr>
                      <w:rFonts w:hint="eastAsia"/>
                      <w:szCs w:val="21"/>
                      <w:lang w:eastAsia="zh-CN"/>
                    </w:rPr>
                    <w:t>办凤麓</w:t>
                  </w:r>
                  <w:r>
                    <w:rPr>
                      <w:szCs w:val="21"/>
                    </w:rPr>
                    <w:t>社区椒术洼组，海拔为600m左右，经逐条核对，</w:t>
                  </w:r>
                  <w:r>
                    <w:rPr>
                      <w:rFonts w:hint="eastAsia"/>
                      <w:szCs w:val="21"/>
                      <w:lang w:eastAsia="zh-CN"/>
                    </w:rPr>
                    <w:t>本工程</w:t>
                  </w:r>
                  <w:r>
                    <w:rPr>
                      <w:szCs w:val="21"/>
                    </w:rPr>
                    <w:t>选址范围内不涉及重点保护区和核心保护区，属于一般保护区。</w:t>
                  </w:r>
                </w:p>
              </w:tc>
              <w:tc>
                <w:tcPr>
                  <w:tcW w:w="679" w:type="dxa"/>
                  <w:vAlign w:val="center"/>
                </w:tcPr>
                <w:p>
                  <w:pPr>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189" w:type="dxa"/>
                  <w:vMerge w:val="continue"/>
                  <w:vAlign w:val="center"/>
                </w:tcPr>
                <w:p>
                  <w:pPr>
                    <w:adjustRightInd w:val="0"/>
                    <w:snapToGrid w:val="0"/>
                    <w:jc w:val="center"/>
                    <w:rPr>
                      <w:szCs w:val="21"/>
                    </w:rPr>
                  </w:pPr>
                </w:p>
              </w:tc>
              <w:tc>
                <w:tcPr>
                  <w:tcW w:w="3188" w:type="dxa"/>
                  <w:vAlign w:val="center"/>
                </w:tcPr>
                <w:p>
                  <w:pPr>
                    <w:pStyle w:val="18"/>
                    <w:spacing w:before="0" w:beforeAutospacing="0" w:after="0" w:afterAutospacing="0"/>
                    <w:rPr>
                      <w:rFonts w:ascii="Times New Roman" w:hAnsi="Times New Roman"/>
                      <w:kern w:val="2"/>
                      <w:sz w:val="21"/>
                      <w:szCs w:val="21"/>
                    </w:rPr>
                  </w:pPr>
                  <w:r>
                    <w:rPr>
                      <w:rFonts w:ascii="Times New Roman" w:hAnsi="Times New Roman"/>
                      <w:kern w:val="2"/>
                      <w:sz w:val="21"/>
                      <w:szCs w:val="21"/>
                    </w:rPr>
                    <w:t>第四十四条设区的市、县(市、区)人民政府应当根据秦岭生态环境保护要求和本行政区域内矿产资源赋存情况，节约集约利用矿产资源，严格控制和规范在一般保护区的露天采矿活动，提高矿山环境污染治理能力。</w:t>
                  </w:r>
                </w:p>
              </w:tc>
              <w:tc>
                <w:tcPr>
                  <w:tcW w:w="1881" w:type="dxa"/>
                  <w:vAlign w:val="center"/>
                </w:tcPr>
                <w:p>
                  <w:pPr>
                    <w:jc w:val="center"/>
                    <w:rPr>
                      <w:szCs w:val="21"/>
                    </w:rPr>
                  </w:pPr>
                  <w:r>
                    <w:rPr>
                      <w:szCs w:val="21"/>
                    </w:rPr>
                    <w:t>本工程不属于采矿项目</w:t>
                  </w:r>
                </w:p>
              </w:tc>
              <w:tc>
                <w:tcPr>
                  <w:tcW w:w="679" w:type="dxa"/>
                  <w:vAlign w:val="center"/>
                </w:tcPr>
                <w:p>
                  <w:pPr>
                    <w:jc w:val="center"/>
                    <w:rPr>
                      <w:szCs w:val="21"/>
                    </w:rPr>
                  </w:pPr>
                  <w:r>
                    <w:rPr>
                      <w:szCs w:val="21"/>
                    </w:rPr>
                    <w:t>符合</w:t>
                  </w:r>
                </w:p>
              </w:tc>
            </w:tr>
          </w:tbl>
          <w:p>
            <w:pPr>
              <w:spacing w:line="360" w:lineRule="auto"/>
              <w:ind w:firstLine="482" w:firstLineChars="200"/>
              <w:contextualSpacing/>
              <w:rPr>
                <w:b/>
                <w:kern w:val="0"/>
                <w:sz w:val="24"/>
                <w:szCs w:val="24"/>
              </w:rPr>
            </w:pPr>
            <w:r>
              <w:rPr>
                <w:b/>
                <w:kern w:val="0"/>
                <w:sz w:val="24"/>
                <w:szCs w:val="24"/>
              </w:rPr>
              <w:t>4、“三线一单”符合性分析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陕西省为了落实“三线一单”，建立健全生态环境分区管控体系，并提出《陕西省人民政府关于加快实施“三线一单”生态环境分区管控的意见》（陕政发〔2020〕11号）。所以</w:t>
            </w:r>
            <w:r>
              <w:rPr>
                <w:rFonts w:hint="eastAsia"/>
                <w:sz w:val="24"/>
                <w:szCs w:val="24"/>
                <w:lang w:eastAsia="zh-CN"/>
              </w:rPr>
              <w:t>本工程</w:t>
            </w:r>
            <w:r>
              <w:rPr>
                <w:rFonts w:hint="eastAsia"/>
                <w:sz w:val="24"/>
                <w:szCs w:val="24"/>
              </w:rPr>
              <w:t>“三线一单”符合性分析主要依据为《陕西省人民政府关于加快实施“三线一单”生态环境分区管控的意见》（陕政发〔2020〕11号），同时结</w:t>
            </w:r>
            <w:r>
              <w:rPr>
                <w:sz w:val="24"/>
                <w:szCs w:val="24"/>
              </w:rPr>
              <w:t>合《陕西省秦岭重点保护区一般保护区准入清单（试行）说明》，具体见表1-3。</w:t>
            </w:r>
          </w:p>
          <w:p>
            <w:pPr>
              <w:ind w:firstLine="420" w:firstLineChars="200"/>
              <w:contextualSpacing/>
              <w:jc w:val="center"/>
              <w:rPr>
                <w:kern w:val="0"/>
                <w:szCs w:val="21"/>
              </w:rPr>
            </w:pPr>
            <w:r>
              <w:rPr>
                <w:rFonts w:hint="eastAsia"/>
                <w:kern w:val="0"/>
                <w:szCs w:val="21"/>
              </w:rPr>
              <w:t>表1-3本</w:t>
            </w:r>
            <w:r>
              <w:rPr>
                <w:rFonts w:hint="eastAsia"/>
                <w:kern w:val="0"/>
                <w:szCs w:val="21"/>
                <w:lang w:eastAsia="zh-CN"/>
              </w:rPr>
              <w:t>工程</w:t>
            </w:r>
            <w:r>
              <w:rPr>
                <w:rFonts w:hint="eastAsia"/>
                <w:kern w:val="0"/>
                <w:szCs w:val="21"/>
              </w:rPr>
              <w:t>与管控要求相符性分析</w:t>
            </w:r>
          </w:p>
          <w:tbl>
            <w:tblPr>
              <w:tblStyle w:val="23"/>
              <w:tblW w:w="6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907"/>
              <w:gridCol w:w="1890"/>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contextualSpacing/>
                    <w:jc w:val="center"/>
                    <w:rPr>
                      <w:color w:val="auto"/>
                      <w:kern w:val="0"/>
                      <w:szCs w:val="21"/>
                    </w:rPr>
                  </w:pPr>
                  <w:r>
                    <w:rPr>
                      <w:rFonts w:hint="eastAsia"/>
                      <w:color w:val="auto"/>
                      <w:kern w:val="0"/>
                      <w:szCs w:val="21"/>
                    </w:rPr>
                    <w:t>名称</w:t>
                  </w:r>
                </w:p>
              </w:tc>
              <w:tc>
                <w:tcPr>
                  <w:tcW w:w="2907" w:type="dxa"/>
                  <w:vAlign w:val="center"/>
                </w:tcPr>
                <w:p>
                  <w:pPr>
                    <w:contextualSpacing/>
                    <w:jc w:val="center"/>
                    <w:rPr>
                      <w:color w:val="auto"/>
                      <w:kern w:val="0"/>
                      <w:szCs w:val="21"/>
                    </w:rPr>
                  </w:pPr>
                  <w:r>
                    <w:rPr>
                      <w:rFonts w:hint="eastAsia"/>
                      <w:color w:val="auto"/>
                      <w:kern w:val="0"/>
                      <w:szCs w:val="21"/>
                    </w:rPr>
                    <w:t>相关要求</w:t>
                  </w:r>
                </w:p>
              </w:tc>
              <w:tc>
                <w:tcPr>
                  <w:tcW w:w="1890" w:type="dxa"/>
                  <w:vAlign w:val="center"/>
                </w:tcPr>
                <w:p>
                  <w:pPr>
                    <w:contextualSpacing/>
                    <w:jc w:val="center"/>
                    <w:rPr>
                      <w:color w:val="auto"/>
                      <w:kern w:val="0"/>
                      <w:szCs w:val="21"/>
                    </w:rPr>
                  </w:pPr>
                  <w:r>
                    <w:rPr>
                      <w:rFonts w:hint="eastAsia"/>
                      <w:color w:val="auto"/>
                      <w:kern w:val="0"/>
                      <w:szCs w:val="21"/>
                    </w:rPr>
                    <w:t>本</w:t>
                  </w:r>
                  <w:r>
                    <w:rPr>
                      <w:rFonts w:hint="eastAsia"/>
                      <w:color w:val="auto"/>
                      <w:kern w:val="0"/>
                      <w:szCs w:val="21"/>
                      <w:lang w:eastAsia="zh-CN"/>
                    </w:rPr>
                    <w:t>工程</w:t>
                  </w:r>
                  <w:r>
                    <w:rPr>
                      <w:rFonts w:hint="eastAsia"/>
                      <w:color w:val="auto"/>
                      <w:kern w:val="0"/>
                      <w:szCs w:val="21"/>
                    </w:rPr>
                    <w:t>情况</w:t>
                  </w:r>
                </w:p>
              </w:tc>
              <w:tc>
                <w:tcPr>
                  <w:tcW w:w="811" w:type="dxa"/>
                  <w:vAlign w:val="center"/>
                </w:tcPr>
                <w:p>
                  <w:pPr>
                    <w:contextualSpacing/>
                    <w:jc w:val="center"/>
                    <w:rPr>
                      <w:color w:val="auto"/>
                      <w:kern w:val="0"/>
                      <w:szCs w:val="21"/>
                    </w:rPr>
                  </w:pPr>
                  <w:r>
                    <w:rPr>
                      <w:rFonts w:hint="eastAsia"/>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Merge w:val="restart"/>
                  <w:vAlign w:val="center"/>
                </w:tcPr>
                <w:p>
                  <w:pPr>
                    <w:contextualSpacing/>
                    <w:jc w:val="center"/>
                    <w:rPr>
                      <w:color w:val="auto"/>
                      <w:kern w:val="0"/>
                      <w:szCs w:val="21"/>
                    </w:rPr>
                  </w:pPr>
                  <w:r>
                    <w:rPr>
                      <w:rFonts w:hint="eastAsia"/>
                      <w:color w:val="auto"/>
                      <w:kern w:val="0"/>
                      <w:szCs w:val="21"/>
                    </w:rPr>
                    <w:t>《</w:t>
                  </w:r>
                  <w:r>
                    <w:rPr>
                      <w:rFonts w:hint="eastAsia"/>
                      <w:bCs/>
                      <w:color w:val="auto"/>
                      <w:kern w:val="0"/>
                      <w:szCs w:val="21"/>
                    </w:rPr>
                    <w:t>陕西省人民政府关于加快实施“三线一单”生态环境分区管控的意见</w:t>
                  </w:r>
                  <w:r>
                    <w:rPr>
                      <w:rFonts w:hint="eastAsia"/>
                      <w:color w:val="auto"/>
                      <w:kern w:val="0"/>
                      <w:szCs w:val="21"/>
                    </w:rPr>
                    <w:t>》（陕政发〔2020〕11号）</w:t>
                  </w:r>
                </w:p>
              </w:tc>
              <w:tc>
                <w:tcPr>
                  <w:tcW w:w="2907" w:type="dxa"/>
                  <w:vAlign w:val="center"/>
                </w:tcPr>
                <w:p>
                  <w:pPr>
                    <w:contextualSpacing/>
                    <w:jc w:val="center"/>
                    <w:rPr>
                      <w:color w:val="auto"/>
                      <w:kern w:val="0"/>
                      <w:szCs w:val="21"/>
                    </w:rPr>
                  </w:pPr>
                  <w:r>
                    <w:rPr>
                      <w:rFonts w:hint="eastAsia"/>
                      <w:color w:val="auto"/>
                      <w:shd w:val="clear" w:color="auto" w:fill="FFFFFF"/>
                    </w:rPr>
                    <w:t>优先保护单元。指以生态环境保护为主的区域，主要包括生态保护红线、自然保护地、集中式饮用水水源保护区等生态功能重要区、生态环境敏感区。</w:t>
                  </w:r>
                </w:p>
              </w:tc>
              <w:tc>
                <w:tcPr>
                  <w:tcW w:w="1890" w:type="dxa"/>
                  <w:vMerge w:val="restart"/>
                  <w:vAlign w:val="center"/>
                </w:tcPr>
                <w:p>
                  <w:pPr>
                    <w:contextualSpacing/>
                    <w:jc w:val="center"/>
                    <w:rPr>
                      <w:color w:val="auto"/>
                      <w:kern w:val="0"/>
                      <w:szCs w:val="21"/>
                    </w:rPr>
                  </w:pPr>
                  <w:r>
                    <w:rPr>
                      <w:rFonts w:hint="eastAsia"/>
                      <w:color w:val="auto"/>
                      <w:kern w:val="0"/>
                      <w:szCs w:val="21"/>
                    </w:rPr>
                    <w:t>根据附图4</w:t>
                  </w:r>
                  <w:r>
                    <w:rPr>
                      <w:rFonts w:hint="eastAsia"/>
                      <w:bCs/>
                      <w:color w:val="auto"/>
                    </w:rPr>
                    <w:t>陕西省管控单元分布示意图，本</w:t>
                  </w:r>
                  <w:r>
                    <w:rPr>
                      <w:rFonts w:hint="eastAsia"/>
                      <w:bCs/>
                      <w:color w:val="auto"/>
                      <w:lang w:eastAsia="zh-CN"/>
                    </w:rPr>
                    <w:t>工程</w:t>
                  </w:r>
                  <w:r>
                    <w:rPr>
                      <w:rFonts w:hint="eastAsia"/>
                      <w:bCs/>
                      <w:color w:val="auto"/>
                    </w:rPr>
                    <w:t>为重点管控单元，不涉及优先保护单元。</w:t>
                  </w:r>
                </w:p>
              </w:tc>
              <w:tc>
                <w:tcPr>
                  <w:tcW w:w="811" w:type="dxa"/>
                  <w:vMerge w:val="restart"/>
                  <w:vAlign w:val="center"/>
                </w:tcPr>
                <w:p>
                  <w:pPr>
                    <w:contextualSpacing/>
                    <w:jc w:val="center"/>
                    <w:rPr>
                      <w:color w:val="auto"/>
                      <w:kern w:val="0"/>
                      <w:szCs w:val="21"/>
                    </w:rPr>
                  </w:pPr>
                  <w:r>
                    <w:rPr>
                      <w:rFonts w:hint="eastAsia"/>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Merge w:val="continue"/>
                  <w:vAlign w:val="center"/>
                </w:tcPr>
                <w:p>
                  <w:pPr>
                    <w:contextualSpacing/>
                    <w:jc w:val="center"/>
                    <w:rPr>
                      <w:color w:val="auto"/>
                      <w:kern w:val="0"/>
                      <w:szCs w:val="21"/>
                    </w:rPr>
                  </w:pPr>
                </w:p>
              </w:tc>
              <w:tc>
                <w:tcPr>
                  <w:tcW w:w="2907" w:type="dxa"/>
                  <w:vAlign w:val="center"/>
                </w:tcPr>
                <w:p>
                  <w:pPr>
                    <w:contextualSpacing/>
                    <w:jc w:val="center"/>
                    <w:rPr>
                      <w:color w:val="auto"/>
                      <w:kern w:val="0"/>
                      <w:szCs w:val="21"/>
                    </w:rPr>
                  </w:pPr>
                  <w:r>
                    <w:rPr>
                      <w:rFonts w:hint="eastAsia"/>
                      <w:color w:val="auto"/>
                      <w:shd w:val="clear" w:color="auto" w:fill="FFFFFF"/>
                    </w:rPr>
                    <w:t>重点管控单元。指涉及大气、水、土壤、自然资源等资源环境要素重点管控的区域，主要包括城镇规划区、重点开发区等开发强度高和污染物排放强度大的区域。</w:t>
                  </w:r>
                </w:p>
              </w:tc>
              <w:tc>
                <w:tcPr>
                  <w:tcW w:w="1890" w:type="dxa"/>
                  <w:vMerge w:val="continue"/>
                  <w:vAlign w:val="center"/>
                </w:tcPr>
                <w:p>
                  <w:pPr>
                    <w:contextualSpacing/>
                    <w:jc w:val="center"/>
                    <w:rPr>
                      <w:color w:val="auto"/>
                      <w:kern w:val="0"/>
                      <w:szCs w:val="21"/>
                    </w:rPr>
                  </w:pPr>
                </w:p>
              </w:tc>
              <w:tc>
                <w:tcPr>
                  <w:tcW w:w="811" w:type="dxa"/>
                  <w:vMerge w:val="continue"/>
                  <w:vAlign w:val="center"/>
                </w:tcPr>
                <w:p>
                  <w:pPr>
                    <w:contextualSpacing/>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Merge w:val="continue"/>
                  <w:vAlign w:val="center"/>
                </w:tcPr>
                <w:p>
                  <w:pPr>
                    <w:contextualSpacing/>
                    <w:jc w:val="center"/>
                    <w:rPr>
                      <w:color w:val="auto"/>
                      <w:kern w:val="0"/>
                      <w:szCs w:val="21"/>
                    </w:rPr>
                  </w:pPr>
                </w:p>
              </w:tc>
              <w:tc>
                <w:tcPr>
                  <w:tcW w:w="2907" w:type="dxa"/>
                  <w:vAlign w:val="center"/>
                </w:tcPr>
                <w:p>
                  <w:pPr>
                    <w:contextualSpacing/>
                    <w:jc w:val="center"/>
                    <w:rPr>
                      <w:color w:val="auto"/>
                      <w:shd w:val="clear" w:color="auto" w:fill="FFFFFF"/>
                    </w:rPr>
                  </w:pPr>
                  <w:r>
                    <w:rPr>
                      <w:rFonts w:hint="eastAsia"/>
                      <w:color w:val="auto"/>
                      <w:shd w:val="clear" w:color="auto" w:fill="FFFFFF"/>
                    </w:rPr>
                    <w:t>一般管控单元。指除优先保护单元、重点管控单元以外的其他区域。</w:t>
                  </w:r>
                </w:p>
              </w:tc>
              <w:tc>
                <w:tcPr>
                  <w:tcW w:w="1890" w:type="dxa"/>
                  <w:vMerge w:val="continue"/>
                  <w:vAlign w:val="center"/>
                </w:tcPr>
                <w:p>
                  <w:pPr>
                    <w:contextualSpacing/>
                    <w:jc w:val="center"/>
                    <w:rPr>
                      <w:color w:val="auto"/>
                      <w:kern w:val="0"/>
                      <w:szCs w:val="21"/>
                    </w:rPr>
                  </w:pPr>
                </w:p>
              </w:tc>
              <w:tc>
                <w:tcPr>
                  <w:tcW w:w="811" w:type="dxa"/>
                  <w:vMerge w:val="continue"/>
                  <w:vAlign w:val="center"/>
                </w:tcPr>
                <w:p>
                  <w:pPr>
                    <w:contextualSpacing/>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Merge w:val="continue"/>
                  <w:vAlign w:val="center"/>
                </w:tcPr>
                <w:p>
                  <w:pPr>
                    <w:contextualSpacing/>
                    <w:jc w:val="center"/>
                    <w:rPr>
                      <w:color w:val="auto"/>
                      <w:kern w:val="0"/>
                      <w:szCs w:val="21"/>
                    </w:rPr>
                  </w:pPr>
                </w:p>
              </w:tc>
              <w:tc>
                <w:tcPr>
                  <w:tcW w:w="2907" w:type="dxa"/>
                  <w:vAlign w:val="center"/>
                </w:tcPr>
                <w:p>
                  <w:pPr>
                    <w:contextualSpacing/>
                    <w:jc w:val="center"/>
                    <w:rPr>
                      <w:color w:val="auto"/>
                      <w:shd w:val="clear" w:color="auto" w:fill="FFFFFF"/>
                    </w:rPr>
                  </w:pPr>
                  <w:r>
                    <w:rPr>
                      <w:rFonts w:hint="eastAsia"/>
                      <w:color w:val="auto"/>
                      <w:shd w:val="clear" w:color="auto" w:fill="FFFFFF"/>
                    </w:rPr>
                    <w:t>重点管控单元要求：重点管控单元以提升资源利用效率、加强污染物减排治理和环境风险防控为重点，解决突出生态环境问题。</w:t>
                  </w:r>
                </w:p>
              </w:tc>
              <w:tc>
                <w:tcPr>
                  <w:tcW w:w="1890" w:type="dxa"/>
                  <w:vAlign w:val="center"/>
                </w:tcPr>
                <w:p>
                  <w:pPr>
                    <w:contextualSpacing/>
                    <w:jc w:val="center"/>
                    <w:rPr>
                      <w:color w:val="auto"/>
                      <w:kern w:val="0"/>
                      <w:szCs w:val="21"/>
                    </w:rPr>
                  </w:pPr>
                  <w:r>
                    <w:rPr>
                      <w:color w:val="auto"/>
                    </w:rPr>
                    <w:t>本</w:t>
                  </w:r>
                  <w:r>
                    <w:rPr>
                      <w:rFonts w:hint="eastAsia"/>
                      <w:color w:val="auto"/>
                      <w:lang w:eastAsia="zh-CN"/>
                    </w:rPr>
                    <w:t>工程</w:t>
                  </w:r>
                  <w:r>
                    <w:rPr>
                      <w:color w:val="auto"/>
                    </w:rPr>
                    <w:t>为建筑垃圾堆填处置</w:t>
                  </w:r>
                  <w:r>
                    <w:rPr>
                      <w:rFonts w:hint="eastAsia"/>
                      <w:color w:val="auto"/>
                      <w:lang w:eastAsia="zh-CN"/>
                    </w:rPr>
                    <w:t>工程，</w:t>
                  </w:r>
                  <w:r>
                    <w:rPr>
                      <w:rFonts w:hint="eastAsia"/>
                      <w:color w:val="auto"/>
                    </w:rPr>
                    <w:t>属于建筑垃圾资源化利用和</w:t>
                  </w:r>
                  <w:r>
                    <w:rPr>
                      <w:color w:val="auto"/>
                    </w:rPr>
                    <w:t>无害化处理系统</w:t>
                  </w:r>
                  <w:r>
                    <w:rPr>
                      <w:rFonts w:hint="eastAsia"/>
                      <w:color w:val="auto"/>
                    </w:rPr>
                    <w:t>，提升了建筑垃圾利用并减少建筑垃圾排放量</w:t>
                  </w:r>
                </w:p>
              </w:tc>
              <w:tc>
                <w:tcPr>
                  <w:tcW w:w="811" w:type="dxa"/>
                  <w:vAlign w:val="center"/>
                </w:tcPr>
                <w:p>
                  <w:pPr>
                    <w:contextualSpacing/>
                    <w:jc w:val="center"/>
                    <w:rPr>
                      <w:color w:val="auto"/>
                      <w:kern w:val="0"/>
                      <w:szCs w:val="21"/>
                    </w:rPr>
                  </w:pPr>
                  <w:r>
                    <w:rPr>
                      <w:rFonts w:hint="eastAsia"/>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vAlign w:val="center"/>
                </w:tcPr>
                <w:p>
                  <w:pPr>
                    <w:contextualSpacing/>
                    <w:jc w:val="center"/>
                    <w:rPr>
                      <w:color w:val="auto"/>
                      <w:kern w:val="0"/>
                      <w:szCs w:val="21"/>
                    </w:rPr>
                  </w:pPr>
                  <w:r>
                    <w:rPr>
                      <w:rFonts w:hint="eastAsia"/>
                      <w:color w:val="auto"/>
                      <w:kern w:val="0"/>
                      <w:szCs w:val="21"/>
                    </w:rPr>
                    <w:t>《陕西省</w:t>
                  </w:r>
                  <w:r>
                    <w:rPr>
                      <w:color w:val="auto"/>
                      <w:kern w:val="0"/>
                      <w:szCs w:val="21"/>
                    </w:rPr>
                    <w:t>秦岭重点保护区一般保护区产业准入清单（</w:t>
                  </w:r>
                  <w:r>
                    <w:rPr>
                      <w:rFonts w:hint="eastAsia"/>
                      <w:color w:val="auto"/>
                      <w:kern w:val="0"/>
                      <w:szCs w:val="21"/>
                    </w:rPr>
                    <w:t>试行</w:t>
                  </w:r>
                  <w:r>
                    <w:rPr>
                      <w:color w:val="auto"/>
                      <w:kern w:val="0"/>
                      <w:szCs w:val="21"/>
                    </w:rPr>
                    <w:t>）说明</w:t>
                  </w:r>
                  <w:r>
                    <w:rPr>
                      <w:rFonts w:hint="eastAsia"/>
                      <w:color w:val="auto"/>
                      <w:kern w:val="0"/>
                      <w:szCs w:val="21"/>
                    </w:rPr>
                    <w:t>》</w:t>
                  </w:r>
                </w:p>
              </w:tc>
              <w:tc>
                <w:tcPr>
                  <w:tcW w:w="4797" w:type="dxa"/>
                  <w:gridSpan w:val="2"/>
                  <w:vAlign w:val="center"/>
                </w:tcPr>
                <w:p>
                  <w:pPr>
                    <w:contextualSpacing/>
                    <w:jc w:val="center"/>
                    <w:rPr>
                      <w:color w:val="auto"/>
                    </w:rPr>
                  </w:pPr>
                  <w:r>
                    <w:rPr>
                      <w:color w:val="auto"/>
                      <w:kern w:val="0"/>
                      <w:szCs w:val="21"/>
                    </w:rPr>
                    <w:t>本工程位于秦岭一般保护区，且本工程不属于秦岭一般保护区产业限制目录和秦岭一般保护区产业禁止目录</w:t>
                  </w:r>
                </w:p>
              </w:tc>
              <w:tc>
                <w:tcPr>
                  <w:tcW w:w="811" w:type="dxa"/>
                  <w:vAlign w:val="center"/>
                </w:tcPr>
                <w:p>
                  <w:pPr>
                    <w:contextualSpacing/>
                    <w:jc w:val="center"/>
                    <w:rPr>
                      <w:color w:val="auto"/>
                      <w:kern w:val="0"/>
                      <w:szCs w:val="21"/>
                    </w:rPr>
                  </w:pPr>
                  <w:r>
                    <w:rPr>
                      <w:rFonts w:hint="eastAsia"/>
                      <w:color w:val="auto"/>
                      <w:kern w:val="0"/>
                      <w:szCs w:val="21"/>
                    </w:rPr>
                    <w:t>符合</w:t>
                  </w:r>
                </w:p>
              </w:tc>
            </w:tr>
          </w:tbl>
          <w:p>
            <w:pPr>
              <w:autoSpaceDE w:val="0"/>
              <w:autoSpaceDN w:val="0"/>
              <w:spacing w:line="360" w:lineRule="auto"/>
              <w:ind w:firstLine="482" w:firstLineChars="200"/>
              <w:contextualSpacing/>
              <w:rPr>
                <w:b/>
                <w:sz w:val="24"/>
                <w:szCs w:val="24"/>
              </w:rPr>
            </w:pPr>
            <w:r>
              <w:rPr>
                <w:b/>
                <w:sz w:val="24"/>
                <w:szCs w:val="24"/>
              </w:rPr>
              <w:t>5、与相关技术标准、导则符合性分析</w:t>
            </w:r>
          </w:p>
          <w:p>
            <w:pPr>
              <w:autoSpaceDE w:val="0"/>
              <w:autoSpaceDN w:val="0"/>
              <w:spacing w:line="360" w:lineRule="auto"/>
              <w:ind w:firstLine="480" w:firstLineChars="200"/>
              <w:contextualSpacing/>
              <w:rPr>
                <w:color w:val="FF0000"/>
                <w:sz w:val="24"/>
                <w:szCs w:val="24"/>
              </w:rPr>
            </w:pPr>
            <w:r>
              <w:rPr>
                <w:sz w:val="24"/>
                <w:szCs w:val="24"/>
              </w:rPr>
              <w:t>本</w:t>
            </w:r>
            <w:r>
              <w:rPr>
                <w:rFonts w:hint="eastAsia"/>
                <w:sz w:val="24"/>
                <w:szCs w:val="24"/>
                <w:lang w:eastAsia="zh-CN"/>
              </w:rPr>
              <w:t>工程</w:t>
            </w:r>
            <w:r>
              <w:rPr>
                <w:sz w:val="24"/>
                <w:szCs w:val="24"/>
              </w:rPr>
              <w:t>与《建筑垃圾处理技术标准》（CJJ/T134-2019）、《固体废物处理处置工程技术导则》（HJ2035-2013）的符合分析见表1-4。</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contextualSpacing/>
              <w:jc w:val="center"/>
              <w:textAlignment w:val="auto"/>
            </w:pPr>
            <w:r>
              <w:rPr>
                <w:szCs w:val="21"/>
              </w:rPr>
              <w:t>表1-4</w:t>
            </w:r>
            <w:r>
              <w:t>与相关技术标准、导则符合性表</w:t>
            </w:r>
          </w:p>
          <w:tbl>
            <w:tblPr>
              <w:tblStyle w:val="23"/>
              <w:tblW w:w="6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339"/>
              <w:gridCol w:w="207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Align w:val="center"/>
                </w:tcPr>
                <w:p>
                  <w:pPr>
                    <w:autoSpaceDE w:val="0"/>
                    <w:autoSpaceDN w:val="0"/>
                    <w:contextualSpacing/>
                    <w:jc w:val="center"/>
                    <w:rPr>
                      <w:szCs w:val="21"/>
                    </w:rPr>
                  </w:pPr>
                  <w:r>
                    <w:rPr>
                      <w:szCs w:val="21"/>
                    </w:rPr>
                    <w:t>标准/导则</w:t>
                  </w:r>
                </w:p>
              </w:tc>
              <w:tc>
                <w:tcPr>
                  <w:tcW w:w="2339" w:type="dxa"/>
                  <w:vAlign w:val="center"/>
                </w:tcPr>
                <w:p>
                  <w:pPr>
                    <w:autoSpaceDE w:val="0"/>
                    <w:autoSpaceDN w:val="0"/>
                    <w:contextualSpacing/>
                    <w:jc w:val="center"/>
                    <w:rPr>
                      <w:szCs w:val="21"/>
                    </w:rPr>
                  </w:pPr>
                  <w:r>
                    <w:rPr>
                      <w:szCs w:val="21"/>
                    </w:rPr>
                    <w:t>相关要求</w:t>
                  </w:r>
                </w:p>
              </w:tc>
              <w:tc>
                <w:tcPr>
                  <w:tcW w:w="2079" w:type="dxa"/>
                  <w:vAlign w:val="center"/>
                </w:tcPr>
                <w:p>
                  <w:pPr>
                    <w:autoSpaceDE w:val="0"/>
                    <w:autoSpaceDN w:val="0"/>
                    <w:contextualSpacing/>
                    <w:jc w:val="center"/>
                    <w:rPr>
                      <w:szCs w:val="21"/>
                    </w:rPr>
                  </w:pPr>
                  <w:r>
                    <w:rPr>
                      <w:szCs w:val="21"/>
                    </w:rPr>
                    <w:t>本</w:t>
                  </w:r>
                  <w:r>
                    <w:rPr>
                      <w:rFonts w:hint="eastAsia"/>
                      <w:szCs w:val="21"/>
                      <w:lang w:eastAsia="zh-CN"/>
                    </w:rPr>
                    <w:t>工程</w:t>
                  </w:r>
                  <w:r>
                    <w:rPr>
                      <w:szCs w:val="21"/>
                    </w:rPr>
                    <w:t>情况</w:t>
                  </w:r>
                </w:p>
              </w:tc>
              <w:tc>
                <w:tcPr>
                  <w:tcW w:w="580" w:type="dxa"/>
                  <w:vAlign w:val="center"/>
                </w:tcPr>
                <w:p>
                  <w:pPr>
                    <w:autoSpaceDE w:val="0"/>
                    <w:autoSpaceDN w:val="0"/>
                    <w:contextualSpacing/>
                    <w:jc w:val="center"/>
                    <w:rPr>
                      <w:szCs w:val="21"/>
                    </w:rPr>
                  </w:pPr>
                  <w:r>
                    <w:rPr>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restart"/>
                  <w:vAlign w:val="center"/>
                </w:tcPr>
                <w:p>
                  <w:pPr>
                    <w:autoSpaceDE w:val="0"/>
                    <w:autoSpaceDN w:val="0"/>
                    <w:contextualSpacing/>
                    <w:jc w:val="center"/>
                    <w:rPr>
                      <w:szCs w:val="21"/>
                    </w:rPr>
                  </w:pPr>
                  <w:r>
                    <w:t>《建筑垃圾处理技术标准》（CJJ/T134-2019）</w:t>
                  </w:r>
                </w:p>
              </w:tc>
              <w:tc>
                <w:tcPr>
                  <w:tcW w:w="2339" w:type="dxa"/>
                  <w:vAlign w:val="center"/>
                </w:tcPr>
                <w:p>
                  <w:pPr>
                    <w:autoSpaceDE w:val="0"/>
                    <w:autoSpaceDN w:val="0"/>
                    <w:contextualSpacing/>
                    <w:jc w:val="center"/>
                    <w:rPr>
                      <w:szCs w:val="21"/>
                    </w:rPr>
                  </w:pPr>
                  <w:r>
                    <w:t>建筑垃圾应从源头分类，按照工程渣土、工程泥浆、工程垃圾、拆除垃圾和装修垃圾，应分类收集、分类运输、分类处置</w:t>
                  </w:r>
                </w:p>
              </w:tc>
              <w:tc>
                <w:tcPr>
                  <w:tcW w:w="2079" w:type="dxa"/>
                  <w:vAlign w:val="center"/>
                </w:tcPr>
                <w:p>
                  <w:pPr>
                    <w:autoSpaceDE w:val="0"/>
                    <w:autoSpaceDN w:val="0"/>
                    <w:contextualSpacing/>
                    <w:jc w:val="center"/>
                    <w:rPr>
                      <w:szCs w:val="21"/>
                    </w:rPr>
                  </w:pPr>
                  <w:r>
                    <w:t>本</w:t>
                  </w:r>
                  <w:r>
                    <w:rPr>
                      <w:rFonts w:hint="eastAsia"/>
                      <w:lang w:eastAsia="zh-CN"/>
                    </w:rPr>
                    <w:t>工程</w:t>
                  </w:r>
                  <w:r>
                    <w:t>仅对工程渣土、工</w:t>
                  </w:r>
                  <w:r>
                    <w:rPr>
                      <w:color w:val="auto"/>
                    </w:rPr>
                    <w:t>程垃圾、拆除垃圾进行堆填，不对装修建筑垃圾进行堆填，</w:t>
                  </w:r>
                  <w:r>
                    <w:t>从源头上分类收集、分类运输、分类处置</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rPr>
                      <w:szCs w:val="21"/>
                    </w:rPr>
                  </w:pPr>
                  <w:r>
                    <w:t>作业场所应采取抑尘措施</w:t>
                  </w:r>
                </w:p>
              </w:tc>
              <w:tc>
                <w:tcPr>
                  <w:tcW w:w="2079" w:type="dxa"/>
                  <w:vAlign w:val="center"/>
                </w:tcPr>
                <w:p>
                  <w:pPr>
                    <w:autoSpaceDE w:val="0"/>
                    <w:autoSpaceDN w:val="0"/>
                    <w:contextualSpacing/>
                    <w:jc w:val="center"/>
                    <w:rPr>
                      <w:szCs w:val="21"/>
                    </w:rPr>
                  </w:pPr>
                  <w:r>
                    <w:t>本</w:t>
                  </w:r>
                  <w:r>
                    <w:rPr>
                      <w:rFonts w:hint="eastAsia"/>
                      <w:lang w:eastAsia="zh-CN"/>
                    </w:rPr>
                    <w:t>工程</w:t>
                  </w:r>
                  <w:r>
                    <w:t>作业区作业时洒水降尘</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rPr>
                      <w:szCs w:val="21"/>
                    </w:rPr>
                  </w:pPr>
                  <w:r>
                    <w:t>堆填应采用单元、分层作业，堆填单元作业工序应为卸车、分层摊铺、压实，达到规定高度后应进行覆盖、再压实。</w:t>
                  </w:r>
                </w:p>
              </w:tc>
              <w:tc>
                <w:tcPr>
                  <w:tcW w:w="2079" w:type="dxa"/>
                  <w:vAlign w:val="center"/>
                </w:tcPr>
                <w:p>
                  <w:pPr>
                    <w:autoSpaceDE w:val="0"/>
                    <w:autoSpaceDN w:val="0"/>
                    <w:contextualSpacing/>
                    <w:jc w:val="center"/>
                    <w:rPr>
                      <w:szCs w:val="21"/>
                    </w:rPr>
                  </w:pPr>
                  <w:r>
                    <w:t>本</w:t>
                  </w:r>
                  <w:r>
                    <w:rPr>
                      <w:rFonts w:hint="eastAsia"/>
                      <w:lang w:eastAsia="zh-CN"/>
                    </w:rPr>
                    <w:t>工程</w:t>
                  </w:r>
                  <w:r>
                    <w:t>堆填采用分层作业，堆填单元作业工序为卸车、分层摊铺、压实，达到规定高度后进行覆盖、再压实</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rPr>
                      <w:szCs w:val="21"/>
                    </w:rPr>
                  </w:pPr>
                  <w:r>
                    <w:t>建筑垃圾堆填库区应设置地下水本地监测井、污染扩散监测井、污染监测井。</w:t>
                  </w:r>
                </w:p>
              </w:tc>
              <w:tc>
                <w:tcPr>
                  <w:tcW w:w="2079" w:type="dxa"/>
                  <w:vAlign w:val="center"/>
                </w:tcPr>
                <w:p>
                  <w:pPr>
                    <w:autoSpaceDE w:val="0"/>
                    <w:autoSpaceDN w:val="0"/>
                    <w:contextualSpacing/>
                    <w:jc w:val="center"/>
                    <w:rPr>
                      <w:szCs w:val="21"/>
                    </w:rPr>
                  </w:pPr>
                  <w:r>
                    <w:t>本</w:t>
                  </w:r>
                  <w:r>
                    <w:rPr>
                      <w:rFonts w:hint="eastAsia"/>
                      <w:lang w:eastAsia="zh-CN"/>
                    </w:rPr>
                    <w:t>工程</w:t>
                  </w:r>
                  <w:r>
                    <w:t>在堆填场地下水上游设2口地下水背景监测井、场地内设2口污染监测井</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djustRightInd w:val="0"/>
                    <w:jc w:val="left"/>
                    <w:rPr>
                      <w:szCs w:val="21"/>
                    </w:rPr>
                  </w:pPr>
                  <w:r>
                    <w:rPr>
                      <w:szCs w:val="21"/>
                    </w:rPr>
                    <w:t>建筑垃圾堆填场选址应符合国家有关法律、行政法规和标准规范的要求，并应符合当地城镇环境卫生专项规划要求。建筑垃圾堆填场应选择具有自然低洼地势的山坳、采石场废坑等地点，并应满足交通方便、运距合理的要求。</w:t>
                  </w:r>
                </w:p>
              </w:tc>
              <w:tc>
                <w:tcPr>
                  <w:tcW w:w="2079" w:type="dxa"/>
                  <w:vAlign w:val="center"/>
                </w:tcPr>
                <w:p>
                  <w:pPr>
                    <w:adjustRightInd w:val="0"/>
                    <w:jc w:val="left"/>
                    <w:rPr>
                      <w:szCs w:val="21"/>
                    </w:rPr>
                  </w:pPr>
                  <w:r>
                    <w:rPr>
                      <w:szCs w:val="21"/>
                    </w:rPr>
                    <w:t>本工程选址符合相关规范，</w:t>
                  </w:r>
                  <w:r>
                    <w:rPr>
                      <w:kern w:val="0"/>
                      <w:szCs w:val="21"/>
                    </w:rPr>
                    <w:t>堆填区</w:t>
                  </w:r>
                  <w:r>
                    <w:rPr>
                      <w:szCs w:val="21"/>
                    </w:rPr>
                    <w:t>依托现有沟谷，收集周边的建筑垃圾，交通便利，运距合理。</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djustRightInd w:val="0"/>
                    <w:jc w:val="left"/>
                    <w:rPr>
                      <w:szCs w:val="21"/>
                    </w:rPr>
                  </w:pPr>
                  <w:r>
                    <w:rPr>
                      <w:szCs w:val="21"/>
                    </w:rPr>
                    <w:t>建筑垃圾堆填场选址严禁设在下列地区：（1）地下水集中供水水源地及补给区；（2）洪泛区和泄洪道；（3）活动的坍塌地带。尚未开采的地下蕴矿区、灰岩坑及溶岩洞区。</w:t>
                  </w:r>
                </w:p>
              </w:tc>
              <w:tc>
                <w:tcPr>
                  <w:tcW w:w="2079" w:type="dxa"/>
                  <w:vAlign w:val="center"/>
                </w:tcPr>
                <w:p>
                  <w:pPr>
                    <w:adjustRightInd w:val="0"/>
                    <w:jc w:val="left"/>
                    <w:rPr>
                      <w:szCs w:val="21"/>
                    </w:rPr>
                  </w:pPr>
                  <w:r>
                    <w:rPr>
                      <w:szCs w:val="21"/>
                    </w:rPr>
                    <w:t>本工程不涉及地下水水源地、洪泛区和泄洪道，工程区地层稳定，不在活动的坍塌地带及尚未开采的地下蕴矿区、灰岩坑及溶岩洞区。</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djustRightInd w:val="0"/>
                    <w:jc w:val="left"/>
                    <w:rPr>
                      <w:szCs w:val="21"/>
                    </w:rPr>
                  </w:pPr>
                  <w:r>
                    <w:rPr>
                      <w:szCs w:val="21"/>
                    </w:rPr>
                    <w:t>建筑垃圾堆填场选址不应设在下列地区：（1）珍贵动植物保护区和国家、省级自然保护区；（2）文物古迹区，考古学、历史学、生物学研究考察区；（3）军事要地、基地，军工基地和国家保密地区。</w:t>
                  </w:r>
                </w:p>
              </w:tc>
              <w:tc>
                <w:tcPr>
                  <w:tcW w:w="2079" w:type="dxa"/>
                  <w:vAlign w:val="center"/>
                </w:tcPr>
                <w:p>
                  <w:pPr>
                    <w:adjustRightInd w:val="0"/>
                    <w:jc w:val="left"/>
                    <w:rPr>
                      <w:szCs w:val="21"/>
                    </w:rPr>
                  </w:pPr>
                  <w:r>
                    <w:rPr>
                      <w:szCs w:val="21"/>
                    </w:rPr>
                    <w:t>本工程不涉及珍贵动植物保护区和国家、省级自然保护区，不涉及文物古迹区，考古学、历史学、生物学研究考察区及军事要地。</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restart"/>
                  <w:vAlign w:val="center"/>
                </w:tcPr>
                <w:p>
                  <w:pPr>
                    <w:autoSpaceDE w:val="0"/>
                    <w:autoSpaceDN w:val="0"/>
                    <w:contextualSpacing/>
                    <w:jc w:val="center"/>
                    <w:rPr>
                      <w:szCs w:val="21"/>
                    </w:rPr>
                  </w:pPr>
                  <w:r>
                    <w:rPr>
                      <w:szCs w:val="21"/>
                    </w:rPr>
                    <w:t>《建筑废弃物再生工厂设计标准》（GB51322-2018）</w:t>
                  </w:r>
                </w:p>
              </w:tc>
              <w:tc>
                <w:tcPr>
                  <w:tcW w:w="2339" w:type="dxa"/>
                  <w:vAlign w:val="center"/>
                </w:tcPr>
                <w:p>
                  <w:pPr>
                    <w:adjustRightInd w:val="0"/>
                    <w:jc w:val="left"/>
                    <w:rPr>
                      <w:szCs w:val="21"/>
                    </w:rPr>
                  </w:pPr>
                  <w:r>
                    <w:rPr>
                      <w:szCs w:val="21"/>
                    </w:rPr>
                    <w:t>厂址选择宜靠近建筑废弃物的供应区域，且应对建设规模、物流、供电、供水、企业协作条件、场地现有设置、环境保护等因素进行综合技术经济比较后确定。</w:t>
                  </w:r>
                </w:p>
              </w:tc>
              <w:tc>
                <w:tcPr>
                  <w:tcW w:w="2079" w:type="dxa"/>
                  <w:vAlign w:val="center"/>
                </w:tcPr>
                <w:p>
                  <w:pPr>
                    <w:adjustRightInd w:val="0"/>
                    <w:jc w:val="left"/>
                    <w:rPr>
                      <w:szCs w:val="21"/>
                    </w:rPr>
                  </w:pPr>
                  <w:r>
                    <w:rPr>
                      <w:szCs w:val="21"/>
                    </w:rPr>
                    <w:t>本工程收集丹凤县城镇周边建筑垃圾，周边供电、供水等无制约条件，</w:t>
                  </w:r>
                  <w:r>
                    <w:rPr>
                      <w:kern w:val="0"/>
                      <w:szCs w:val="21"/>
                    </w:rPr>
                    <w:t>堆填区</w:t>
                  </w:r>
                  <w:r>
                    <w:rPr>
                      <w:szCs w:val="21"/>
                    </w:rPr>
                    <w:t>依托现有谷地，在切实落实环评提出的环保措施后对周边环境影响较小。</w:t>
                  </w:r>
                </w:p>
              </w:tc>
              <w:tc>
                <w:tcPr>
                  <w:tcW w:w="580" w:type="dxa"/>
                  <w:vAlign w:val="center"/>
                </w:tcPr>
                <w:p>
                  <w:pPr>
                    <w:jc w:val="cente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djustRightInd w:val="0"/>
                    <w:jc w:val="left"/>
                    <w:rPr>
                      <w:szCs w:val="21"/>
                    </w:rPr>
                  </w:pPr>
                  <w:r>
                    <w:rPr>
                      <w:szCs w:val="21"/>
                    </w:rPr>
                    <w:t>厂址选择除应根据远期规划要求与城市建设特点，满足近期处置功能与模块设计所需的场地面积，还应留有发展的余地。</w:t>
                  </w:r>
                </w:p>
              </w:tc>
              <w:tc>
                <w:tcPr>
                  <w:tcW w:w="2079" w:type="dxa"/>
                  <w:vAlign w:val="center"/>
                </w:tcPr>
                <w:p>
                  <w:pPr>
                    <w:adjustRightInd w:val="0"/>
                    <w:jc w:val="left"/>
                    <w:rPr>
                      <w:szCs w:val="21"/>
                    </w:rPr>
                  </w:pPr>
                  <w:r>
                    <w:rPr>
                      <w:szCs w:val="21"/>
                    </w:rPr>
                    <w:t>经工程主管单位要求及工程建议书批复情况，本工程堆填区库容应满足丹凤县未来8年建筑垃圾堆填发展需求，可以满足远期相关规划要求。</w:t>
                  </w:r>
                </w:p>
              </w:tc>
              <w:tc>
                <w:tcPr>
                  <w:tcW w:w="580" w:type="dxa"/>
                  <w:vAlign w:val="center"/>
                </w:tcPr>
                <w:p>
                  <w:pPr>
                    <w:jc w:val="cente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djustRightInd w:val="0"/>
                    <w:jc w:val="left"/>
                    <w:rPr>
                      <w:szCs w:val="21"/>
                    </w:rPr>
                  </w:pPr>
                  <w:r>
                    <w:rPr>
                      <w:szCs w:val="21"/>
                    </w:rPr>
                    <w:t>厂址应位于城镇和居民区全年最小频率风向的上风侧。厂址不应选在窝风地段。</w:t>
                  </w:r>
                </w:p>
              </w:tc>
              <w:tc>
                <w:tcPr>
                  <w:tcW w:w="2079" w:type="dxa"/>
                  <w:vAlign w:val="center"/>
                </w:tcPr>
                <w:p>
                  <w:pPr>
                    <w:adjustRightInd w:val="0"/>
                    <w:jc w:val="left"/>
                    <w:rPr>
                      <w:szCs w:val="21"/>
                    </w:rPr>
                  </w:pPr>
                  <w:r>
                    <w:rPr>
                      <w:szCs w:val="21"/>
                    </w:rPr>
                    <w:t>丹凤县主要风向为西北风，本工程位于居民区主导风向侧风向。</w:t>
                  </w:r>
                </w:p>
              </w:tc>
              <w:tc>
                <w:tcPr>
                  <w:tcW w:w="580" w:type="dxa"/>
                  <w:vAlign w:val="center"/>
                </w:tcPr>
                <w:p>
                  <w:pPr>
                    <w:jc w:val="cente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djustRightInd w:val="0"/>
                    <w:jc w:val="left"/>
                  </w:pPr>
                  <w:r>
                    <w:t>厂址应选择在土石方开挖工程量少、工程地质和水文地质条件较好的地带，并应避开山洪、滑坡、</w:t>
                  </w:r>
                  <w:r>
                    <w:rPr>
                      <w:szCs w:val="21"/>
                    </w:rPr>
                    <w:t>泥石流等地质灾害易发地段。</w:t>
                  </w:r>
                </w:p>
              </w:tc>
              <w:tc>
                <w:tcPr>
                  <w:tcW w:w="2079" w:type="dxa"/>
                  <w:vAlign w:val="center"/>
                </w:tcPr>
                <w:p>
                  <w:pPr>
                    <w:adjustRightInd w:val="0"/>
                    <w:jc w:val="left"/>
                    <w:rPr>
                      <w:szCs w:val="21"/>
                    </w:rPr>
                  </w:pPr>
                  <w:r>
                    <w:rPr>
                      <w:szCs w:val="21"/>
                    </w:rPr>
                    <w:t>本工程依托现有山谷谷地，本工程区域地质环境稳定，不在易发生</w:t>
                  </w:r>
                  <w:r>
                    <w:t>山洪、滑坡、</w:t>
                  </w:r>
                  <w:r>
                    <w:rPr>
                      <w:szCs w:val="21"/>
                    </w:rPr>
                    <w:t>泥石流等地段。</w:t>
                  </w:r>
                </w:p>
              </w:tc>
              <w:tc>
                <w:tcPr>
                  <w:tcW w:w="580" w:type="dxa"/>
                  <w:vAlign w:val="center"/>
                </w:tcPr>
                <w:p>
                  <w:pPr>
                    <w:jc w:val="cente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restart"/>
                  <w:vAlign w:val="center"/>
                </w:tcPr>
                <w:p>
                  <w:pPr>
                    <w:autoSpaceDE w:val="0"/>
                    <w:autoSpaceDN w:val="0"/>
                    <w:contextualSpacing/>
                    <w:jc w:val="center"/>
                    <w:rPr>
                      <w:szCs w:val="21"/>
                    </w:rPr>
                  </w:pPr>
                  <w:r>
                    <w:t>《固体废物处理处置工程技术导则》（HJ2035-2013）</w:t>
                  </w:r>
                </w:p>
              </w:tc>
              <w:tc>
                <w:tcPr>
                  <w:tcW w:w="2339" w:type="dxa"/>
                  <w:vAlign w:val="center"/>
                </w:tcPr>
                <w:p>
                  <w:pPr>
                    <w:autoSpaceDE w:val="0"/>
                    <w:autoSpaceDN w:val="0"/>
                    <w:contextualSpacing/>
                    <w:jc w:val="center"/>
                    <w:rPr>
                      <w:szCs w:val="21"/>
                    </w:rPr>
                  </w:pPr>
                  <w:r>
                    <w:t>固体废物处理处置厂（场）周围应设置围墙或防护栅栏等隔离设施，防止家畜和无关人员进入，并应在堆填场、堆肥场边界周围设置防飞扬设施、安全防护设施及防火隔离带。</w:t>
                  </w:r>
                </w:p>
              </w:tc>
              <w:tc>
                <w:tcPr>
                  <w:tcW w:w="2079" w:type="dxa"/>
                  <w:vAlign w:val="center"/>
                </w:tcPr>
                <w:p>
                  <w:pPr>
                    <w:autoSpaceDE w:val="0"/>
                    <w:autoSpaceDN w:val="0"/>
                    <w:contextualSpacing/>
                    <w:jc w:val="center"/>
                    <w:rPr>
                      <w:szCs w:val="21"/>
                    </w:rPr>
                  </w:pPr>
                  <w:r>
                    <w:t>本</w:t>
                  </w:r>
                  <w:r>
                    <w:rPr>
                      <w:rFonts w:hint="eastAsia"/>
                      <w:lang w:eastAsia="zh-CN"/>
                    </w:rPr>
                    <w:t>工程</w:t>
                  </w:r>
                  <w:r>
                    <w:t>堆填场周边设置防护围栏及绿化带。</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rPr>
                      <w:szCs w:val="21"/>
                    </w:rPr>
                  </w:pPr>
                  <w:r>
                    <w:t>固体废物处理处置厂（场）的车辆清洗设施宜设在卸料设施和处理处置厂（场）出口附近以便于及时清洗卸料后的车辆。</w:t>
                  </w:r>
                </w:p>
              </w:tc>
              <w:tc>
                <w:tcPr>
                  <w:tcW w:w="2079" w:type="dxa"/>
                  <w:vAlign w:val="center"/>
                </w:tcPr>
                <w:p>
                  <w:pPr>
                    <w:autoSpaceDE w:val="0"/>
                    <w:autoSpaceDN w:val="0"/>
                    <w:contextualSpacing/>
                    <w:jc w:val="center"/>
                    <w:rPr>
                      <w:szCs w:val="21"/>
                    </w:rPr>
                  </w:pPr>
                  <w:r>
                    <w:t>本</w:t>
                  </w:r>
                  <w:r>
                    <w:rPr>
                      <w:rFonts w:hint="eastAsia"/>
                      <w:lang w:eastAsia="zh-CN"/>
                    </w:rPr>
                    <w:t>工程设洗车平台，洗车平台</w:t>
                  </w:r>
                  <w:r>
                    <w:t>设置在堆填场出口</w:t>
                  </w:r>
                  <w:r>
                    <w:rPr>
                      <w:rFonts w:hint="eastAsia"/>
                      <w:lang w:eastAsia="zh-CN"/>
                    </w:rPr>
                    <w:t>处</w:t>
                  </w:r>
                  <w:r>
                    <w:t>。</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rPr>
                      <w:szCs w:val="21"/>
                    </w:rPr>
                  </w:pPr>
                  <w:r>
                    <w:t>堆填场内应实行雨水与污水分流，减少运行过程中的渗出水产生量；堆填库区应铺设渗出水收集系统，并宜设置疏通设施；渗出水收集及处理系统应包括导流层、盲沟、调节池和渗出水处理设施；调节池容积应与堆填工艺、停留时间、渗出水产生量及配套的渗出水处理设施规模等相匹；调节池及渗出水流经或停留的其他设施均应采取防渗措施。</w:t>
                  </w:r>
                </w:p>
              </w:tc>
              <w:tc>
                <w:tcPr>
                  <w:tcW w:w="2079" w:type="dxa"/>
                  <w:vAlign w:val="center"/>
                </w:tcPr>
                <w:p>
                  <w:pPr>
                    <w:autoSpaceDE w:val="0"/>
                    <w:autoSpaceDN w:val="0"/>
                    <w:contextualSpacing/>
                    <w:jc w:val="center"/>
                    <w:rPr>
                      <w:szCs w:val="21"/>
                    </w:rPr>
                  </w:pPr>
                  <w:r>
                    <w:t>本</w:t>
                  </w:r>
                  <w:r>
                    <w:rPr>
                      <w:rFonts w:hint="eastAsia"/>
                      <w:lang w:eastAsia="zh-CN"/>
                    </w:rPr>
                    <w:t>工程</w:t>
                  </w:r>
                  <w:r>
                    <w:t>堆填场雨污分流，设有截洪沟等雨污分流设施，堆填一区和堆填二区铺设了渗出水收集系统；渗出水收集及处理系统包括导流层、盲沟、沉淀池；沉淀池容积能满足3个月的渗出水日产生量。</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pPr>
                  <w:r>
                    <w:t>堆填物进入堆填场应进行检査和计量。运输车辆离开堆填场前宜冲洗轮胎和底盘。挖掘、装载、运输、摊铺、压实、覆盖等作业设备，应按堆填日处理规模和作业工艺设计要求配置。堆填应采用分单元、分层作业，堆填单元作业工序应为卸车、分层摊铺、压实，达到规定高度后应进行覆盖、再压实。</w:t>
                  </w:r>
                </w:p>
                <w:p>
                  <w:pPr>
                    <w:autoSpaceDE w:val="0"/>
                    <w:autoSpaceDN w:val="0"/>
                    <w:contextualSpacing/>
                    <w:jc w:val="center"/>
                    <w:rPr>
                      <w:szCs w:val="21"/>
                    </w:rPr>
                  </w:pPr>
                  <w:r>
                    <w:t>应本项目建筑垃圾进入堆填场时先通过地磅计量称重，运输车辆离开时进行轮胎和底盘清洗。作业设备与堆填场日处理规模配置相符；堆填采用分单元、分层作业，作业工序应为卸车、分层摊铺、压实，达到规定高度后进行覆盖、再压实。厚度不宜超过60cm，且宜从作业单元的边坡底部到顶部摊铺；废物压实密度应大于600kg/m</w:t>
                  </w:r>
                  <w:r>
                    <w:rPr>
                      <w:vertAlign w:val="superscript"/>
                    </w:rPr>
                    <w:t>3</w:t>
                  </w:r>
                  <w:r>
                    <w:t>。</w:t>
                  </w:r>
                </w:p>
              </w:tc>
              <w:tc>
                <w:tcPr>
                  <w:tcW w:w="2079" w:type="dxa"/>
                  <w:vAlign w:val="center"/>
                </w:tcPr>
                <w:p>
                  <w:pPr>
                    <w:autoSpaceDE w:val="0"/>
                    <w:autoSpaceDN w:val="0"/>
                    <w:contextualSpacing/>
                    <w:jc w:val="center"/>
                    <w:rPr>
                      <w:szCs w:val="21"/>
                    </w:rPr>
                  </w:pPr>
                  <w:r>
                    <w:t>本</w:t>
                  </w:r>
                  <w:r>
                    <w:rPr>
                      <w:rFonts w:hint="eastAsia"/>
                      <w:lang w:eastAsia="zh-CN"/>
                    </w:rPr>
                    <w:t>工程</w:t>
                  </w:r>
                  <w:r>
                    <w:t>建筑垃圾进入堆填场时先通过地磅计量称重，运输车辆离开时进行轮胎和底盘清洗。作业设备与堆填场日处理规模配置相符；堆填采用分单元、分层作业，作业工序应为卸车、分层摊铺、压实，达到规定高度后进行覆盖、再压实。每次碾压厚度为50cm，作业单元的边坡底部到顶部摊铺，废物压实密度约为2000kg/m</w:t>
                  </w:r>
                  <w:r>
                    <w:rPr>
                      <w:vertAlign w:val="superscript"/>
                    </w:rPr>
                    <w:t>3</w:t>
                  </w:r>
                  <w:r>
                    <w:t>；</w:t>
                  </w:r>
                </w:p>
              </w:tc>
              <w:tc>
                <w:tcPr>
                  <w:tcW w:w="580" w:type="dxa"/>
                  <w:vAlign w:val="center"/>
                </w:tcPr>
                <w:p>
                  <w:pPr>
                    <w:autoSpaceDE w:val="0"/>
                    <w:autoSpaceDN w:val="0"/>
                    <w:contextualSpacing/>
                    <w:jc w:val="center"/>
                    <w:rPr>
                      <w:szCs w:val="21"/>
                    </w:rPr>
                  </w:pPr>
                  <w:r>
                    <w:rPr>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vMerge w:val="continue"/>
                  <w:vAlign w:val="center"/>
                </w:tcPr>
                <w:p>
                  <w:pPr>
                    <w:autoSpaceDE w:val="0"/>
                    <w:autoSpaceDN w:val="0"/>
                    <w:contextualSpacing/>
                    <w:jc w:val="center"/>
                    <w:rPr>
                      <w:szCs w:val="21"/>
                    </w:rPr>
                  </w:pPr>
                </w:p>
              </w:tc>
              <w:tc>
                <w:tcPr>
                  <w:tcW w:w="2339" w:type="dxa"/>
                  <w:vAlign w:val="center"/>
                </w:tcPr>
                <w:p>
                  <w:pPr>
                    <w:autoSpaceDE w:val="0"/>
                    <w:autoSpaceDN w:val="0"/>
                    <w:contextualSpacing/>
                    <w:jc w:val="center"/>
                    <w:rPr>
                      <w:szCs w:val="21"/>
                    </w:rPr>
                  </w:pPr>
                  <w:r>
                    <w:t>堆填场周围应设绿化防护带，使其与周围环境相隔离。</w:t>
                  </w:r>
                </w:p>
              </w:tc>
              <w:tc>
                <w:tcPr>
                  <w:tcW w:w="2079" w:type="dxa"/>
                  <w:vAlign w:val="center"/>
                </w:tcPr>
                <w:p>
                  <w:pPr>
                    <w:autoSpaceDE w:val="0"/>
                    <w:autoSpaceDN w:val="0"/>
                    <w:contextualSpacing/>
                    <w:jc w:val="center"/>
                    <w:rPr>
                      <w:szCs w:val="21"/>
                    </w:rPr>
                  </w:pPr>
                  <w:r>
                    <w:t>本</w:t>
                  </w:r>
                  <w:r>
                    <w:rPr>
                      <w:rFonts w:hint="eastAsia"/>
                      <w:lang w:eastAsia="zh-CN"/>
                    </w:rPr>
                    <w:t>工程</w:t>
                  </w:r>
                  <w:r>
                    <w:t>堆填场周边设置2.5m高钢丝网防护围栏及8m宽绿化带。</w:t>
                  </w:r>
                </w:p>
              </w:tc>
              <w:tc>
                <w:tcPr>
                  <w:tcW w:w="580" w:type="dxa"/>
                  <w:vAlign w:val="center"/>
                </w:tcPr>
                <w:p>
                  <w:pPr>
                    <w:autoSpaceDE w:val="0"/>
                    <w:autoSpaceDN w:val="0"/>
                    <w:contextualSpacing/>
                    <w:jc w:val="center"/>
                    <w:rPr>
                      <w:szCs w:val="21"/>
                    </w:rPr>
                  </w:pPr>
                  <w:r>
                    <w:rPr>
                      <w:szCs w:val="21"/>
                    </w:rPr>
                    <w:t>符合</w:t>
                  </w:r>
                </w:p>
              </w:tc>
            </w:tr>
          </w:tbl>
          <w:p>
            <w:pPr>
              <w:autoSpaceDE w:val="0"/>
              <w:autoSpaceDN w:val="0"/>
              <w:spacing w:line="360" w:lineRule="auto"/>
              <w:ind w:firstLine="482" w:firstLineChars="200"/>
              <w:contextualSpacing/>
              <w:rPr>
                <w:b/>
                <w:sz w:val="24"/>
                <w:szCs w:val="24"/>
              </w:rPr>
            </w:pPr>
            <w:r>
              <w:rPr>
                <w:b/>
                <w:sz w:val="24"/>
                <w:szCs w:val="24"/>
              </w:rPr>
              <w:t>6、处置场规模合理性分析</w:t>
            </w:r>
          </w:p>
          <w:p>
            <w:pPr>
              <w:autoSpaceDE w:val="0"/>
              <w:autoSpaceDN w:val="0"/>
              <w:spacing w:line="360" w:lineRule="auto"/>
              <w:ind w:firstLine="480" w:firstLineChars="200"/>
              <w:contextualSpacing/>
              <w:rPr>
                <w:sz w:val="24"/>
                <w:szCs w:val="24"/>
              </w:rPr>
            </w:pPr>
            <w:r>
              <w:rPr>
                <w:sz w:val="24"/>
                <w:szCs w:val="24"/>
              </w:rPr>
              <w:t>根</w:t>
            </w:r>
            <w:r>
              <w:rPr>
                <w:color w:val="auto"/>
                <w:sz w:val="24"/>
                <w:szCs w:val="24"/>
              </w:rPr>
              <w:t>据《丹凤县建筑垃圾处置场扩建工程可行性研究报告》</w:t>
            </w:r>
            <w:r>
              <w:rPr>
                <w:rFonts w:hint="eastAsia"/>
                <w:color w:val="auto"/>
                <w:sz w:val="24"/>
                <w:szCs w:val="24"/>
                <w:lang w:eastAsia="zh-CN"/>
              </w:rPr>
              <w:t>及</w:t>
            </w:r>
            <w:r>
              <w:rPr>
                <w:rFonts w:hint="eastAsia"/>
                <w:color w:val="auto"/>
                <w:sz w:val="24"/>
                <w:szCs w:val="24"/>
                <w:lang w:val="en-US" w:eastAsia="zh-CN"/>
              </w:rPr>
              <w:t>《关于丹凤县建筑垃圾处置场扩容工程项目可行性研究报告的批复》（丹行政审批发〔2021〕88号）</w:t>
            </w:r>
            <w:r>
              <w:rPr>
                <w:color w:val="auto"/>
                <w:sz w:val="24"/>
                <w:szCs w:val="24"/>
              </w:rPr>
              <w:t>，随着社会经济的发展，对建筑垃圾的资源回收利用率将逐年提高，</w:t>
            </w:r>
            <w:r>
              <w:rPr>
                <w:sz w:val="24"/>
                <w:szCs w:val="24"/>
              </w:rPr>
              <w:t>将较大程度的减少建筑垃圾堆填量。丹凤县近几年建筑垃圾年平均堆填为4000吨左右，波动系数按1.5倍计，则年堆填量为6500吨。经项目主管单位要求及项目建议书批复情况，本工程堆填区库容须满足丹凤县未来8年建筑垃圾堆填发展需求。</w:t>
            </w:r>
          </w:p>
          <w:p>
            <w:pPr>
              <w:autoSpaceDE w:val="0"/>
              <w:autoSpaceDN w:val="0"/>
              <w:spacing w:line="360" w:lineRule="auto"/>
              <w:ind w:firstLine="480" w:firstLineChars="200"/>
              <w:contextualSpacing/>
              <w:rPr>
                <w:rFonts w:hint="eastAsia" w:eastAsia="宋体"/>
                <w:sz w:val="24"/>
                <w:szCs w:val="24"/>
                <w:lang w:eastAsia="zh-CN"/>
              </w:rPr>
            </w:pPr>
            <w:r>
              <w:rPr>
                <w:sz w:val="24"/>
                <w:szCs w:val="24"/>
              </w:rPr>
              <w:t>本</w:t>
            </w:r>
            <w:r>
              <w:rPr>
                <w:rFonts w:hint="eastAsia"/>
                <w:sz w:val="24"/>
                <w:szCs w:val="24"/>
                <w:lang w:eastAsia="zh-CN"/>
              </w:rPr>
              <w:t>工程</w:t>
            </w:r>
            <w:r>
              <w:rPr>
                <w:sz w:val="24"/>
                <w:szCs w:val="24"/>
              </w:rPr>
              <w:t>建筑垃圾产量为6500t/a，建筑垃圾压实密度取2.0g/cm</w:t>
            </w:r>
            <w:r>
              <w:rPr>
                <w:sz w:val="24"/>
                <w:szCs w:val="24"/>
                <w:vertAlign w:val="superscript"/>
              </w:rPr>
              <w:t>3</w:t>
            </w:r>
            <w:r>
              <w:rPr>
                <w:sz w:val="24"/>
                <w:szCs w:val="24"/>
              </w:rPr>
              <w:t>，据此估算建筑垃圾每年所需库容为0.325万m</w:t>
            </w:r>
            <w:r>
              <w:rPr>
                <w:sz w:val="24"/>
                <w:szCs w:val="24"/>
                <w:vertAlign w:val="superscript"/>
              </w:rPr>
              <w:t>3</w:t>
            </w:r>
            <w:r>
              <w:rPr>
                <w:sz w:val="24"/>
                <w:szCs w:val="24"/>
              </w:rPr>
              <w:t>，由使用年限为8年，则建筑垃圾处置场的库容约为2.6万m</w:t>
            </w:r>
            <w:r>
              <w:rPr>
                <w:sz w:val="24"/>
                <w:szCs w:val="24"/>
                <w:vertAlign w:val="superscript"/>
              </w:rPr>
              <w:t>3</w:t>
            </w:r>
            <w:r>
              <w:rPr>
                <w:sz w:val="24"/>
                <w:szCs w:val="24"/>
              </w:rPr>
              <w:t>。综上，本</w:t>
            </w:r>
            <w:r>
              <w:rPr>
                <w:rFonts w:hint="eastAsia"/>
                <w:sz w:val="24"/>
                <w:szCs w:val="24"/>
                <w:lang w:eastAsia="zh-CN"/>
              </w:rPr>
              <w:t>工程</w:t>
            </w:r>
            <w:r>
              <w:rPr>
                <w:sz w:val="24"/>
                <w:szCs w:val="24"/>
              </w:rPr>
              <w:t>堆填场总库容2.6万m</w:t>
            </w:r>
            <w:r>
              <w:rPr>
                <w:sz w:val="24"/>
                <w:szCs w:val="24"/>
                <w:vertAlign w:val="superscript"/>
              </w:rPr>
              <w:t>3</w:t>
            </w:r>
            <w:r>
              <w:rPr>
                <w:sz w:val="24"/>
                <w:szCs w:val="24"/>
              </w:rPr>
              <w:t>设置处置规模合理可行</w:t>
            </w:r>
            <w:r>
              <w:rPr>
                <w:rFonts w:hint="eastAsia"/>
                <w:sz w:val="24"/>
                <w:szCs w:val="24"/>
                <w:lang w:eastAsia="zh-CN"/>
              </w:rPr>
              <w:t>。</w:t>
            </w:r>
          </w:p>
          <w:p>
            <w:pPr>
              <w:autoSpaceDE w:val="0"/>
              <w:autoSpaceDN w:val="0"/>
              <w:spacing w:line="360" w:lineRule="auto"/>
              <w:ind w:firstLine="480" w:firstLineChars="200"/>
              <w:contextualSpacing/>
              <w:rPr>
                <w:sz w:val="24"/>
                <w:szCs w:val="24"/>
              </w:rPr>
            </w:pPr>
          </w:p>
          <w:p>
            <w:pPr>
              <w:autoSpaceDE w:val="0"/>
              <w:autoSpaceDN w:val="0"/>
              <w:spacing w:line="360" w:lineRule="auto"/>
              <w:ind w:firstLine="420" w:firstLineChars="200"/>
              <w:contextualSpacing/>
              <w:rPr>
                <w:kern w:val="0"/>
                <w:szCs w:val="21"/>
              </w:rPr>
            </w:pPr>
          </w:p>
        </w:tc>
      </w:tr>
    </w:tbl>
    <w:p>
      <w:pPr>
        <w:spacing w:line="360" w:lineRule="auto"/>
        <w:outlineLvl w:val="0"/>
        <w:rPr>
          <w:rFonts w:eastAsia="黑体"/>
          <w:sz w:val="30"/>
        </w:rPr>
        <w:sectPr>
          <w:pgSz w:w="11906" w:h="16838"/>
          <w:pgMar w:top="1701" w:right="1531" w:bottom="1701" w:left="1531" w:header="851" w:footer="1077" w:gutter="0"/>
          <w:cols w:space="720" w:num="1"/>
          <w:docGrid w:linePitch="312" w:charSpace="0"/>
        </w:sectPr>
      </w:pPr>
    </w:p>
    <w:p>
      <w:pPr>
        <w:pStyle w:val="18"/>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黑体"/>
          <w:snapToGrid w:val="0"/>
          <w:sz w:val="30"/>
          <w:szCs w:val="30"/>
        </w:rPr>
      </w:pPr>
      <w:r>
        <w:rPr>
          <w:rFonts w:ascii="Times New Roman" w:hAnsi="Times New Roman" w:eastAsia="黑体"/>
          <w:snapToGrid w:val="0"/>
          <w:sz w:val="30"/>
          <w:szCs w:val="30"/>
        </w:rPr>
        <w:t>二、建设内容</w:t>
      </w:r>
    </w:p>
    <w:tbl>
      <w:tblPr>
        <w:tblStyle w:val="23"/>
        <w:tblW w:w="90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10" w:type="dxa"/>
            <w:vAlign w:val="center"/>
          </w:tcPr>
          <w:p>
            <w:pPr>
              <w:adjustRightInd w:val="0"/>
              <w:snapToGrid w:val="0"/>
              <w:jc w:val="center"/>
              <w:rPr>
                <w:kern w:val="0"/>
                <w:sz w:val="24"/>
                <w:szCs w:val="24"/>
              </w:rPr>
            </w:pPr>
            <w:r>
              <w:rPr>
                <w:kern w:val="0"/>
                <w:sz w:val="24"/>
                <w:szCs w:val="24"/>
              </w:rPr>
              <w:t>地理位置</w:t>
            </w:r>
          </w:p>
        </w:tc>
        <w:tc>
          <w:tcPr>
            <w:tcW w:w="8380" w:type="dxa"/>
            <w:vAlign w:val="center"/>
          </w:tcPr>
          <w:p>
            <w:pPr>
              <w:adjustRightInd w:val="0"/>
              <w:snapToGrid w:val="0"/>
              <w:spacing w:line="360" w:lineRule="auto"/>
              <w:ind w:firstLine="482" w:firstLineChars="200"/>
              <w:jc w:val="left"/>
              <w:rPr>
                <w:kern w:val="0"/>
                <w:sz w:val="24"/>
                <w:szCs w:val="24"/>
              </w:rPr>
            </w:pPr>
            <w:r>
              <w:rPr>
                <w:b/>
                <w:kern w:val="0"/>
                <w:sz w:val="24"/>
                <w:szCs w:val="24"/>
              </w:rPr>
              <w:t>本工程地理位置</w:t>
            </w:r>
            <w:r>
              <w:rPr>
                <w:kern w:val="0"/>
                <w:sz w:val="24"/>
                <w:szCs w:val="24"/>
              </w:rPr>
              <w:t>：</w:t>
            </w:r>
            <w:r>
              <w:rPr>
                <w:sz w:val="24"/>
                <w:szCs w:val="24"/>
              </w:rPr>
              <w:t>陕西省商洛市丹凤县龙驹寨街道</w:t>
            </w:r>
            <w:r>
              <w:rPr>
                <w:rFonts w:hint="eastAsia"/>
                <w:sz w:val="24"/>
                <w:szCs w:val="24"/>
                <w:lang w:eastAsia="zh-CN"/>
              </w:rPr>
              <w:t>办凤麓</w:t>
            </w:r>
            <w:r>
              <w:rPr>
                <w:sz w:val="24"/>
                <w:szCs w:val="24"/>
              </w:rPr>
              <w:t>社区椒树洼组，中心点坐标为</w:t>
            </w:r>
            <w:r>
              <w:rPr>
                <w:sz w:val="24"/>
                <w:szCs w:val="24"/>
                <w:lang w:val="zh-CN"/>
              </w:rPr>
              <w:t>E110º20ˊ31.726"</w:t>
            </w:r>
            <w:r>
              <w:rPr>
                <w:rFonts w:hAnsi="宋体"/>
                <w:sz w:val="24"/>
                <w:szCs w:val="24"/>
                <w:lang w:val="zh-CN"/>
              </w:rPr>
              <w:t>，</w:t>
            </w:r>
            <w:r>
              <w:rPr>
                <w:sz w:val="24"/>
                <w:szCs w:val="24"/>
                <w:lang w:val="zh-CN"/>
              </w:rPr>
              <w:t>N33º42ˊ5.652"，占地面积为</w:t>
            </w:r>
            <w:r>
              <w:rPr>
                <w:rFonts w:hint="eastAsia"/>
                <w:sz w:val="24"/>
                <w:szCs w:val="24"/>
              </w:rPr>
              <w:t>23169.38</w:t>
            </w:r>
            <w:r>
              <w:rPr>
                <w:sz w:val="24"/>
                <w:szCs w:val="24"/>
              </w:rPr>
              <w:t>m</w:t>
            </w:r>
            <w:r>
              <w:rPr>
                <w:sz w:val="24"/>
                <w:szCs w:val="24"/>
                <w:vertAlign w:val="superscript"/>
              </w:rPr>
              <w:t>2</w:t>
            </w:r>
            <w:r>
              <w:rPr>
                <w:sz w:val="24"/>
                <w:szCs w:val="24"/>
              </w:rPr>
              <w:t>。具体见附图</w:t>
            </w:r>
            <w:r>
              <w:rPr>
                <w:rFonts w:hint="eastAsia"/>
                <w:sz w:val="24"/>
                <w:szCs w:val="24"/>
              </w:rPr>
              <w:t>5</w:t>
            </w:r>
            <w:r>
              <w:rPr>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710" w:type="dxa"/>
            <w:vAlign w:val="center"/>
          </w:tcPr>
          <w:p>
            <w:pPr>
              <w:adjustRightInd w:val="0"/>
              <w:snapToGrid w:val="0"/>
              <w:jc w:val="center"/>
              <w:rPr>
                <w:kern w:val="0"/>
                <w:szCs w:val="21"/>
              </w:rPr>
            </w:pPr>
            <w:r>
              <w:rPr>
                <w:kern w:val="0"/>
                <w:sz w:val="24"/>
                <w:szCs w:val="24"/>
              </w:rPr>
              <w:t>项目组成及规模</w:t>
            </w:r>
          </w:p>
        </w:tc>
        <w:tc>
          <w:tcPr>
            <w:tcW w:w="8380" w:type="dxa"/>
            <w:vAlign w:val="center"/>
          </w:tcPr>
          <w:p>
            <w:pPr>
              <w:numPr>
                <w:ilvl w:val="0"/>
                <w:numId w:val="1"/>
              </w:numPr>
              <w:adjustRightInd w:val="0"/>
              <w:snapToGrid w:val="0"/>
              <w:spacing w:line="360" w:lineRule="auto"/>
              <w:ind w:firstLine="482" w:firstLineChars="200"/>
              <w:jc w:val="left"/>
              <w:rPr>
                <w:rFonts w:hint="eastAsia"/>
                <w:b/>
                <w:color w:val="auto"/>
                <w:kern w:val="0"/>
                <w:sz w:val="24"/>
                <w:szCs w:val="24"/>
                <w:lang w:val="en-US" w:eastAsia="zh-CN"/>
              </w:rPr>
            </w:pPr>
            <w:r>
              <w:rPr>
                <w:rFonts w:hint="eastAsia"/>
                <w:b/>
                <w:color w:val="auto"/>
                <w:kern w:val="0"/>
                <w:sz w:val="24"/>
                <w:szCs w:val="24"/>
                <w:lang w:val="en-US" w:eastAsia="zh-CN"/>
              </w:rPr>
              <w:t>项目简介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目前</w:t>
            </w:r>
            <w:r>
              <w:rPr>
                <w:rFonts w:hint="eastAsia" w:ascii="Times New Roman" w:hAnsi="Times New Roman" w:eastAsia="宋体" w:cs="Times New Roman"/>
                <w:color w:val="auto"/>
                <w:sz w:val="24"/>
                <w:szCs w:val="24"/>
                <w:lang w:val="en-US" w:eastAsia="zh-CN"/>
              </w:rPr>
              <w:t>，丹凤县内已建</w:t>
            </w:r>
            <w:r>
              <w:rPr>
                <w:rFonts w:hint="default" w:ascii="Times New Roman" w:hAnsi="Times New Roman" w:eastAsia="宋体" w:cs="Times New Roman"/>
                <w:color w:val="auto"/>
                <w:sz w:val="24"/>
                <w:szCs w:val="24"/>
                <w:lang w:val="en-US" w:eastAsia="zh-CN"/>
              </w:rPr>
              <w:t>有一</w:t>
            </w:r>
            <w:r>
              <w:rPr>
                <w:rFonts w:hint="eastAsia" w:ascii="Times New Roman" w:hAnsi="Times New Roman" w:eastAsia="宋体" w:cs="Times New Roman"/>
                <w:color w:val="auto"/>
                <w:sz w:val="24"/>
                <w:szCs w:val="24"/>
                <w:lang w:val="en-US" w:eastAsia="zh-CN"/>
              </w:rPr>
              <w:t>座</w:t>
            </w:r>
            <w:r>
              <w:rPr>
                <w:rFonts w:hint="default" w:ascii="Times New Roman" w:hAnsi="Times New Roman" w:eastAsia="宋体" w:cs="Times New Roman"/>
                <w:color w:val="auto"/>
                <w:sz w:val="24"/>
                <w:szCs w:val="24"/>
                <w:lang w:val="en-US" w:eastAsia="zh-CN"/>
              </w:rPr>
              <w:t>建筑垃圾</w:t>
            </w:r>
            <w:r>
              <w:rPr>
                <w:rFonts w:hint="eastAsia" w:ascii="Times New Roman" w:eastAsia="宋体" w:cs="Times New Roman"/>
                <w:color w:val="auto"/>
                <w:sz w:val="24"/>
                <w:szCs w:val="24"/>
                <w:lang w:val="en-US" w:eastAsia="zh-CN"/>
              </w:rPr>
              <w:t>堆填场</w:t>
            </w:r>
            <w:r>
              <w:rPr>
                <w:rFonts w:hint="default" w:ascii="Times New Roman" w:hAnsi="Times New Roman" w:eastAsia="宋体" w:cs="Times New Roman"/>
                <w:color w:val="auto"/>
                <w:sz w:val="24"/>
                <w:szCs w:val="24"/>
                <w:lang w:val="en-US" w:eastAsia="zh-CN"/>
              </w:rPr>
              <w:t>，位于龙驹街办丹庾公路1公里处</w:t>
            </w:r>
            <w:r>
              <w:rPr>
                <w:rFonts w:hint="eastAsia" w:ascii="Times New Roman" w:hAnsi="Times New Roman" w:eastAsia="宋体" w:cs="Times New Roman"/>
                <w:color w:val="auto"/>
                <w:sz w:val="24"/>
                <w:szCs w:val="24"/>
                <w:lang w:val="en-US" w:eastAsia="zh-CN"/>
              </w:rPr>
              <w:t>，该</w:t>
            </w:r>
            <w:r>
              <w:rPr>
                <w:rFonts w:hint="eastAsia" w:ascii="Times New Roman" w:eastAsia="宋体" w:cs="Times New Roman"/>
                <w:color w:val="auto"/>
                <w:sz w:val="24"/>
                <w:szCs w:val="24"/>
                <w:lang w:val="en-US" w:eastAsia="zh-CN"/>
              </w:rPr>
              <w:t>堆填场</w:t>
            </w:r>
            <w:r>
              <w:rPr>
                <w:rFonts w:hint="eastAsia" w:ascii="Times New Roman" w:hAnsi="Times New Roman" w:eastAsia="宋体" w:cs="Times New Roman"/>
                <w:color w:val="auto"/>
                <w:sz w:val="24"/>
                <w:szCs w:val="24"/>
                <w:lang w:val="en-US" w:eastAsia="zh-CN"/>
              </w:rPr>
              <w:t>主要服务于丹凤县龙驹寨主城区。现</w:t>
            </w:r>
            <w:r>
              <w:rPr>
                <w:rFonts w:hint="default" w:ascii="Times New Roman" w:hAnsi="Times New Roman" w:eastAsia="宋体" w:cs="Times New Roman"/>
                <w:color w:val="auto"/>
                <w:sz w:val="24"/>
                <w:szCs w:val="24"/>
                <w:lang w:val="en-US" w:eastAsia="zh-CN"/>
              </w:rPr>
              <w:t>有生活垃圾</w:t>
            </w:r>
            <w:r>
              <w:rPr>
                <w:rFonts w:hint="eastAsia" w:ascii="Times New Roman" w:eastAsia="宋体" w:cs="Times New Roman"/>
                <w:color w:val="auto"/>
                <w:sz w:val="24"/>
                <w:szCs w:val="24"/>
                <w:lang w:val="en-US" w:eastAsia="zh-CN"/>
              </w:rPr>
              <w:t>堆填场</w:t>
            </w:r>
            <w:r>
              <w:rPr>
                <w:rFonts w:hint="default" w:ascii="Times New Roman" w:hAnsi="Times New Roman" w:eastAsia="宋体" w:cs="Times New Roman"/>
                <w:color w:val="auto"/>
                <w:sz w:val="24"/>
                <w:szCs w:val="24"/>
                <w:lang w:val="en-US" w:eastAsia="zh-CN"/>
              </w:rPr>
              <w:t>于2000年2月投用，是一个利用自然坡沟进行倾倒垃圾的临时</w:t>
            </w:r>
            <w:r>
              <w:rPr>
                <w:rFonts w:hint="eastAsia" w:ascii="Times New Roman" w:eastAsia="宋体" w:cs="Times New Roman"/>
                <w:color w:val="auto"/>
                <w:sz w:val="24"/>
                <w:szCs w:val="24"/>
                <w:lang w:val="en-US" w:eastAsia="zh-CN"/>
              </w:rPr>
              <w:t>堆填场</w:t>
            </w:r>
            <w:r>
              <w:rPr>
                <w:rFonts w:hint="default" w:ascii="Times New Roman" w:hAnsi="Times New Roman" w:eastAsia="宋体" w:cs="Times New Roman"/>
                <w:color w:val="auto"/>
                <w:sz w:val="24"/>
                <w:szCs w:val="24"/>
                <w:lang w:val="en-US" w:eastAsia="zh-CN"/>
              </w:rPr>
              <w:t>，垃圾堆积量约有60万立方米。2012年3月，</w:t>
            </w:r>
            <w:r>
              <w:rPr>
                <w:rFonts w:hint="eastAsia" w:ascii="Times New Roman" w:hAnsi="Times New Roman" w:eastAsia="宋体" w:cs="Times New Roman"/>
                <w:color w:val="auto"/>
                <w:sz w:val="24"/>
                <w:szCs w:val="24"/>
                <w:lang w:val="en-US" w:eastAsia="zh-CN"/>
              </w:rPr>
              <w:t>对现</w:t>
            </w:r>
            <w:r>
              <w:rPr>
                <w:rFonts w:hint="default" w:ascii="Times New Roman" w:hAnsi="Times New Roman" w:eastAsia="宋体" w:cs="Times New Roman"/>
                <w:color w:val="auto"/>
                <w:sz w:val="24"/>
                <w:szCs w:val="24"/>
                <w:lang w:val="en-US" w:eastAsia="zh-CN"/>
              </w:rPr>
              <w:t>有生活垃圾</w:t>
            </w:r>
            <w:r>
              <w:rPr>
                <w:rFonts w:hint="eastAsia" w:ascii="Times New Roman" w:eastAsia="宋体" w:cs="Times New Roman"/>
                <w:color w:val="auto"/>
                <w:sz w:val="24"/>
                <w:szCs w:val="24"/>
                <w:lang w:val="en-US" w:eastAsia="zh-CN"/>
              </w:rPr>
              <w:t>堆填场</w:t>
            </w:r>
            <w:r>
              <w:rPr>
                <w:rFonts w:hint="default" w:ascii="Times New Roman" w:hAnsi="Times New Roman" w:eastAsia="宋体" w:cs="Times New Roman"/>
                <w:color w:val="auto"/>
                <w:sz w:val="24"/>
                <w:szCs w:val="24"/>
                <w:lang w:val="en-US" w:eastAsia="zh-CN"/>
              </w:rPr>
              <w:t>进行维修改造，修建梯形大坝1座、渗滤液沉淀池1个、地下水导流管3条450m，管理房1座70m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及相关附属配套设施，改建为建筑垃圾填埋场，改造后占地面积8594m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（合12.891亩），</w:t>
            </w:r>
            <w:r>
              <w:rPr>
                <w:rFonts w:hint="eastAsia" w:ascii="Times New Roman" w:hAnsi="Times New Roman" w:eastAsia="宋体" w:cs="Times New Roman"/>
                <w:color w:val="auto"/>
                <w:sz w:val="24"/>
                <w:szCs w:val="24"/>
                <w:lang w:val="en-US" w:eastAsia="zh-CN"/>
              </w:rPr>
              <w:t>并</w:t>
            </w:r>
            <w:r>
              <w:rPr>
                <w:rFonts w:hint="default" w:ascii="Times New Roman" w:hAnsi="Times New Roman" w:eastAsia="宋体" w:cs="Times New Roman"/>
                <w:color w:val="auto"/>
                <w:sz w:val="24"/>
                <w:szCs w:val="24"/>
                <w:lang w:val="en-US" w:eastAsia="zh-CN"/>
              </w:rPr>
              <w:t>于2014年全部建成并投入使用</w:t>
            </w:r>
            <w:r>
              <w:rPr>
                <w:rFonts w:hint="eastAsia" w:ascii="Times New Roman" w:hAnsi="Times New Roman" w:eastAsia="宋体" w:cs="Times New Roman"/>
                <w:color w:val="auto"/>
                <w:sz w:val="24"/>
                <w:szCs w:val="24"/>
                <w:lang w:val="en-US" w:eastAsia="zh-CN"/>
              </w:rPr>
              <w:t>。目前现有</w:t>
            </w:r>
            <w:r>
              <w:rPr>
                <w:rFonts w:hint="default" w:ascii="Times New Roman" w:hAnsi="Times New Roman" w:eastAsia="宋体" w:cs="Times New Roman"/>
                <w:color w:val="auto"/>
                <w:sz w:val="24"/>
                <w:szCs w:val="24"/>
                <w:lang w:val="en-US" w:eastAsia="zh-CN"/>
              </w:rPr>
              <w:t>生活垃圾</w:t>
            </w:r>
            <w:r>
              <w:rPr>
                <w:rFonts w:hint="eastAsia" w:ascii="Times New Roman" w:eastAsia="宋体" w:cs="Times New Roman"/>
                <w:color w:val="auto"/>
                <w:sz w:val="24"/>
                <w:szCs w:val="24"/>
                <w:lang w:val="en-US" w:eastAsia="zh-CN"/>
              </w:rPr>
              <w:t>堆填场</w:t>
            </w:r>
            <w:r>
              <w:rPr>
                <w:rFonts w:hint="default" w:ascii="Times New Roman" w:hAnsi="Times New Roman" w:eastAsia="宋体" w:cs="Times New Roman"/>
                <w:color w:val="auto"/>
                <w:sz w:val="24"/>
                <w:szCs w:val="24"/>
                <w:lang w:val="en-US" w:eastAsia="zh-CN"/>
              </w:rPr>
              <w:t>四周已达到征地边界，</w:t>
            </w:r>
            <w:r>
              <w:rPr>
                <w:rFonts w:hint="eastAsia" w:ascii="Times New Roman" w:hAnsi="Times New Roman" w:eastAsia="宋体" w:cs="Times New Roman"/>
                <w:color w:val="auto"/>
                <w:sz w:val="24"/>
                <w:szCs w:val="24"/>
                <w:lang w:val="en-US" w:eastAsia="zh-CN"/>
              </w:rPr>
              <w:t>将</w:t>
            </w:r>
            <w:r>
              <w:rPr>
                <w:rFonts w:hint="default" w:ascii="Times New Roman" w:hAnsi="Times New Roman" w:eastAsia="宋体" w:cs="Times New Roman"/>
                <w:color w:val="auto"/>
                <w:sz w:val="24"/>
                <w:szCs w:val="24"/>
                <w:lang w:val="en-US" w:eastAsia="zh-CN"/>
              </w:rPr>
              <w:t>无法再继续使用</w:t>
            </w:r>
            <w:r>
              <w:rPr>
                <w:rFonts w:hint="eastAsia" w:ascii="Times New Roman" w:hAnsi="Times New Roman" w:eastAsia="宋体" w:cs="Times New Roman"/>
                <w:color w:val="auto"/>
                <w:sz w:val="24"/>
                <w:szCs w:val="24"/>
                <w:lang w:val="en-US" w:eastAsia="zh-CN"/>
              </w:rPr>
              <w:t>，即将面临封场。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eastAsia="宋体" w:cs="Times New Roman"/>
                <w:color w:val="auto"/>
                <w:sz w:val="24"/>
                <w:szCs w:val="24"/>
                <w:lang w:val="en-US" w:eastAsia="zh-CN"/>
              </w:rPr>
              <w:t>本工程为丹凤县龙驹寨城区规划区内建筑垃圾处置的扩容工程，是丹凤县城市管理局在丹凤县龙驹寨城区内新建的一座建筑垃圾堆填场。本次评价内容为丹凤县建筑垃圾处置场扩容工程，不包括原有堆填场封场。</w:t>
            </w:r>
          </w:p>
          <w:p>
            <w:pPr>
              <w:adjustRightInd w:val="0"/>
              <w:snapToGrid w:val="0"/>
              <w:spacing w:line="360" w:lineRule="auto"/>
              <w:ind w:firstLine="482" w:firstLineChars="200"/>
              <w:jc w:val="left"/>
              <w:rPr>
                <w:b/>
                <w:kern w:val="0"/>
                <w:sz w:val="24"/>
                <w:szCs w:val="24"/>
              </w:rPr>
            </w:pPr>
            <w:r>
              <w:rPr>
                <w:rFonts w:hint="eastAsia"/>
                <w:b/>
                <w:kern w:val="0"/>
                <w:sz w:val="24"/>
                <w:szCs w:val="24"/>
                <w:lang w:val="en-US" w:eastAsia="zh-CN"/>
              </w:rPr>
              <w:t>2</w:t>
            </w:r>
            <w:r>
              <w:rPr>
                <w:b/>
                <w:kern w:val="0"/>
                <w:sz w:val="24"/>
                <w:szCs w:val="24"/>
              </w:rPr>
              <w:t>、服务范围</w:t>
            </w:r>
          </w:p>
          <w:p>
            <w:pPr>
              <w:adjustRightInd w:val="0"/>
              <w:snapToGrid w:val="0"/>
              <w:spacing w:line="360" w:lineRule="auto"/>
              <w:ind w:firstLine="480" w:firstLineChars="200"/>
              <w:jc w:val="left"/>
              <w:rPr>
                <w:kern w:val="0"/>
                <w:sz w:val="24"/>
                <w:szCs w:val="24"/>
              </w:rPr>
            </w:pPr>
            <w:r>
              <w:rPr>
                <w:kern w:val="0"/>
                <w:sz w:val="24"/>
                <w:szCs w:val="24"/>
              </w:rPr>
              <w:t>本工程服务范围为丹凤县龙驹寨城区规划区。</w:t>
            </w:r>
          </w:p>
          <w:p>
            <w:pPr>
              <w:adjustRightInd w:val="0"/>
              <w:snapToGrid w:val="0"/>
              <w:spacing w:line="360" w:lineRule="auto"/>
              <w:ind w:firstLine="482" w:firstLineChars="200"/>
              <w:jc w:val="left"/>
              <w:rPr>
                <w:b/>
                <w:kern w:val="0"/>
                <w:sz w:val="24"/>
                <w:szCs w:val="24"/>
              </w:rPr>
            </w:pPr>
            <w:r>
              <w:rPr>
                <w:rFonts w:hint="eastAsia"/>
                <w:b/>
                <w:kern w:val="0"/>
                <w:sz w:val="24"/>
                <w:szCs w:val="24"/>
                <w:lang w:val="en-US" w:eastAsia="zh-CN"/>
              </w:rPr>
              <w:t>3</w:t>
            </w:r>
            <w:r>
              <w:rPr>
                <w:b/>
                <w:kern w:val="0"/>
                <w:sz w:val="24"/>
                <w:szCs w:val="24"/>
              </w:rPr>
              <w:t>、项目规模</w:t>
            </w:r>
          </w:p>
          <w:p>
            <w:pPr>
              <w:adjustRightInd w:val="0"/>
              <w:snapToGrid w:val="0"/>
              <w:spacing w:line="360" w:lineRule="auto"/>
              <w:ind w:firstLine="480" w:firstLineChars="200"/>
              <w:jc w:val="left"/>
              <w:rPr>
                <w:kern w:val="0"/>
                <w:sz w:val="24"/>
                <w:szCs w:val="24"/>
              </w:rPr>
            </w:pPr>
            <w:r>
              <w:rPr>
                <w:kern w:val="0"/>
                <w:sz w:val="24"/>
                <w:szCs w:val="24"/>
              </w:rPr>
              <w:t>本工程建筑垃圾年堆填量为6500t/a，库容量2.6万m</w:t>
            </w:r>
            <w:r>
              <w:rPr>
                <w:kern w:val="0"/>
                <w:sz w:val="24"/>
                <w:szCs w:val="24"/>
                <w:vertAlign w:val="superscript"/>
              </w:rPr>
              <w:t>3</w:t>
            </w:r>
            <w:r>
              <w:rPr>
                <w:kern w:val="0"/>
                <w:sz w:val="24"/>
                <w:szCs w:val="24"/>
              </w:rPr>
              <w:t>（建筑垃圾压实密度取2.0g/cm</w:t>
            </w:r>
            <w:r>
              <w:rPr>
                <w:kern w:val="0"/>
                <w:sz w:val="24"/>
                <w:szCs w:val="24"/>
                <w:vertAlign w:val="superscript"/>
              </w:rPr>
              <w:t>3</w:t>
            </w:r>
            <w:r>
              <w:rPr>
                <w:kern w:val="0"/>
                <w:sz w:val="24"/>
                <w:szCs w:val="24"/>
              </w:rPr>
              <w:t>），按照《建筑垃圾处理技术标准》（CJJ/T134-2019），本工程规模属于</w:t>
            </w:r>
            <w:r>
              <w:rPr>
                <w:kern w:val="0"/>
                <w:sz w:val="24"/>
                <w:szCs w:val="24"/>
              </w:rPr>
              <w:fldChar w:fldCharType="begin"/>
            </w:r>
            <w:r>
              <w:rPr>
                <w:kern w:val="0"/>
                <w:sz w:val="24"/>
                <w:szCs w:val="24"/>
              </w:rPr>
              <w:instrText xml:space="preserve"> = 5 \* ROMAN </w:instrText>
            </w:r>
            <w:r>
              <w:rPr>
                <w:kern w:val="0"/>
                <w:sz w:val="24"/>
                <w:szCs w:val="24"/>
              </w:rPr>
              <w:fldChar w:fldCharType="separate"/>
            </w:r>
            <w:r>
              <w:rPr>
                <w:kern w:val="0"/>
                <w:sz w:val="24"/>
                <w:szCs w:val="24"/>
              </w:rPr>
              <w:t>V</w:t>
            </w:r>
            <w:r>
              <w:rPr>
                <w:kern w:val="0"/>
                <w:sz w:val="24"/>
                <w:szCs w:val="24"/>
              </w:rPr>
              <w:fldChar w:fldCharType="end"/>
            </w:r>
            <w:r>
              <w:rPr>
                <w:kern w:val="0"/>
                <w:sz w:val="24"/>
                <w:szCs w:val="24"/>
              </w:rPr>
              <w:t>类。</w:t>
            </w:r>
          </w:p>
          <w:p>
            <w:pPr>
              <w:adjustRightInd w:val="0"/>
              <w:snapToGrid w:val="0"/>
              <w:spacing w:line="360" w:lineRule="auto"/>
              <w:ind w:firstLine="482" w:firstLineChars="200"/>
              <w:jc w:val="left"/>
              <w:rPr>
                <w:b/>
                <w:kern w:val="0"/>
                <w:sz w:val="24"/>
                <w:szCs w:val="24"/>
              </w:rPr>
            </w:pPr>
            <w:r>
              <w:rPr>
                <w:rFonts w:hint="eastAsia"/>
                <w:b/>
                <w:kern w:val="0"/>
                <w:sz w:val="24"/>
                <w:szCs w:val="24"/>
                <w:lang w:val="en-US" w:eastAsia="zh-CN"/>
              </w:rPr>
              <w:t>4</w:t>
            </w:r>
            <w:r>
              <w:rPr>
                <w:b/>
                <w:kern w:val="0"/>
                <w:sz w:val="24"/>
                <w:szCs w:val="24"/>
              </w:rPr>
              <w:t>、项目组成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kern w:val="0"/>
                <w:szCs w:val="21"/>
              </w:rPr>
            </w:pPr>
            <w:r>
              <w:rPr>
                <w:kern w:val="0"/>
                <w:sz w:val="24"/>
                <w:szCs w:val="24"/>
              </w:rPr>
              <w:t>本工程建筑垃圾年堆填量为6500t/a，库容量2.6万m</w:t>
            </w:r>
            <w:r>
              <w:rPr>
                <w:kern w:val="0"/>
                <w:sz w:val="24"/>
                <w:szCs w:val="24"/>
                <w:vertAlign w:val="superscript"/>
              </w:rPr>
              <w:t>3</w:t>
            </w:r>
            <w:r>
              <w:rPr>
                <w:kern w:val="0"/>
                <w:sz w:val="24"/>
                <w:szCs w:val="24"/>
              </w:rPr>
              <w:t>，</w:t>
            </w:r>
            <w:r>
              <w:rPr>
                <w:sz w:val="24"/>
                <w:szCs w:val="24"/>
              </w:rPr>
              <w:t>服务年限为</w:t>
            </w:r>
            <w:r>
              <w:rPr>
                <w:rFonts w:hint="eastAsia"/>
                <w:sz w:val="24"/>
                <w:szCs w:val="24"/>
              </w:rPr>
              <w:t>8</w:t>
            </w:r>
            <w:r>
              <w:rPr>
                <w:sz w:val="24"/>
                <w:szCs w:val="24"/>
              </w:rPr>
              <w:t>年，</w:t>
            </w:r>
            <w:r>
              <w:rPr>
                <w:kern w:val="0"/>
                <w:sz w:val="24"/>
                <w:szCs w:val="24"/>
              </w:rPr>
              <w:t>包括堆填一区、堆填二区和生产管理区等工程内容，本工程组成见表2-1。具体见附图</w:t>
            </w:r>
            <w:r>
              <w:rPr>
                <w:rFonts w:hint="eastAsia"/>
                <w:kern w:val="0"/>
                <w:sz w:val="24"/>
                <w:szCs w:val="24"/>
                <w:lang w:val="en-US" w:eastAsia="zh-CN"/>
              </w:rPr>
              <w:t>4</w:t>
            </w:r>
            <w:r>
              <w:rPr>
                <w:kern w:val="0"/>
                <w:sz w:val="24"/>
                <w:szCs w:val="24"/>
              </w:rPr>
              <w:t>~</w:t>
            </w:r>
            <w:r>
              <w:rPr>
                <w:rFonts w:hint="eastAsia"/>
                <w:kern w:val="0"/>
                <w:sz w:val="24"/>
                <w:szCs w:val="24"/>
              </w:rPr>
              <w:t>1</w:t>
            </w:r>
            <w:r>
              <w:rPr>
                <w:rFonts w:hint="eastAsia"/>
                <w:kern w:val="0"/>
                <w:sz w:val="24"/>
                <w:szCs w:val="24"/>
                <w:lang w:val="en-US" w:eastAsia="zh-CN"/>
              </w:rPr>
              <w:t>4</w:t>
            </w:r>
            <w:r>
              <w:rPr>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kern w:val="0"/>
                <w:szCs w:val="21"/>
              </w:rPr>
            </w:pPr>
            <w:r>
              <w:rPr>
                <w:kern w:val="0"/>
                <w:szCs w:val="21"/>
              </w:rPr>
              <w:t>表2-1工程组成一览表</w:t>
            </w:r>
          </w:p>
          <w:tbl>
            <w:tblPr>
              <w:tblStyle w:val="23"/>
              <w:tblW w:w="8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01"/>
              <w:gridCol w:w="703"/>
              <w:gridCol w:w="1133"/>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序号</w:t>
                  </w:r>
                </w:p>
              </w:tc>
              <w:tc>
                <w:tcPr>
                  <w:tcW w:w="253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工程内容</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建设规模及主要工程参数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w:t>
                  </w:r>
                </w:p>
              </w:tc>
              <w:tc>
                <w:tcPr>
                  <w:tcW w:w="70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主体工程</w:t>
                  </w: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堆填一区</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堆填一区</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堆填一区位于场区的</w:t>
                  </w:r>
                  <w:r>
                    <w:rPr>
                      <w:rFonts w:hint="eastAsia"/>
                      <w:kern w:val="0"/>
                      <w:szCs w:val="21"/>
                      <w:lang w:eastAsia="zh-CN"/>
                    </w:rPr>
                    <w:t>西</w:t>
                  </w:r>
                  <w:r>
                    <w:rPr>
                      <w:kern w:val="0"/>
                      <w:szCs w:val="21"/>
                    </w:rPr>
                    <w:t>部，年堆填量为6500t/a，库容量为1.0321万m</w:t>
                  </w:r>
                  <w:r>
                    <w:rPr>
                      <w:kern w:val="0"/>
                      <w:szCs w:val="21"/>
                      <w:vertAlign w:val="superscript"/>
                    </w:rPr>
                    <w:t>3</w:t>
                  </w:r>
                  <w:r>
                    <w:rPr>
                      <w:kern w:val="0"/>
                      <w:szCs w:val="21"/>
                    </w:rPr>
                    <w:t>，服务年限为3.19年，占地面积约为3059</w:t>
                  </w: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坝体工程</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一区利用上游及两侧自然山体与下游沟口处修建垃圾坝形成独立的堆填区域。垃圾坝结构为土石坝，坝顶标高625m，坝中心高5m，坝顶宽4m，坝中心轴线长32.3m，坝体内外坡设计边坡为1：2，外侧坝坡采用三维固土网格植草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地下水导排系统</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rFonts w:hint="eastAsia"/>
                      <w:kern w:val="0"/>
                      <w:szCs w:val="21"/>
                      <w:lang w:eastAsia="zh-CN"/>
                    </w:rPr>
                    <w:t>包括盲沟、导流管和沉淀池。</w:t>
                  </w:r>
                  <w:r>
                    <w:rPr>
                      <w:kern w:val="0"/>
                      <w:szCs w:val="21"/>
                    </w:rPr>
                    <w:t>盲沟为矩形断面，底宽0.7m，沟深0.6m</w:t>
                  </w:r>
                  <w:r>
                    <w:rPr>
                      <w:rFonts w:hint="eastAsia"/>
                      <w:kern w:val="0"/>
                      <w:szCs w:val="21"/>
                      <w:lang w:eastAsia="zh-CN"/>
                    </w:rPr>
                    <w:t>；渗出水</w:t>
                  </w:r>
                  <w:r>
                    <w:rPr>
                      <w:kern w:val="0"/>
                      <w:szCs w:val="21"/>
                    </w:rPr>
                    <w:t>通过DN355mm的HDPE导流管穿坝后经过坝下游的</w:t>
                  </w:r>
                  <w:r>
                    <w:rPr>
                      <w:rFonts w:hint="eastAsia"/>
                      <w:kern w:val="0"/>
                      <w:szCs w:val="21"/>
                      <w:lang w:eastAsia="zh-CN"/>
                    </w:rPr>
                    <w:t>一座</w:t>
                  </w:r>
                  <w:r>
                    <w:t>125m</w:t>
                  </w:r>
                  <w:r>
                    <w:rPr>
                      <w:vertAlign w:val="superscript"/>
                    </w:rPr>
                    <w:t>3</w:t>
                  </w:r>
                  <w:r>
                    <w:rPr>
                      <w:kern w:val="0"/>
                      <w:szCs w:val="21"/>
                    </w:rPr>
                    <w:t>沉淀池处理后，</w:t>
                  </w:r>
                  <w:r>
                    <w:rPr>
                      <w:szCs w:val="21"/>
                    </w:rPr>
                    <w:t>用于场区洒水降尘，不外排</w:t>
                  </w:r>
                  <w:bookmarkStart w:id="3" w:name="_Hlk10627726"/>
                  <w:r>
                    <w:rPr>
                      <w:szCs w:val="21"/>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地表水导排系统</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堆填一区周边设置截洪沟</w:t>
                  </w:r>
                  <w:r>
                    <w:rPr>
                      <w:rFonts w:hint="eastAsia"/>
                      <w:kern w:val="0"/>
                      <w:szCs w:val="21"/>
                      <w:lang w:eastAsia="zh-CN"/>
                    </w:rPr>
                    <w:t>和堆体表面设排水沟</w:t>
                  </w:r>
                  <w:r>
                    <w:rPr>
                      <w:kern w:val="0"/>
                      <w:szCs w:val="21"/>
                    </w:rPr>
                    <w:t>。截洪沟沿堆填一区周边布置，截洪沟采用梯形断面，底宽为0.6m，上口宽0.8m，深度为0.6m，两侧截洪沟的纵向坡度不小于1%</w:t>
                  </w:r>
                  <w:r>
                    <w:rPr>
                      <w:rFonts w:hint="eastAsia"/>
                      <w:kern w:val="0"/>
                      <w:szCs w:val="21"/>
                      <w:lang w:eastAsia="zh-CN"/>
                    </w:rPr>
                    <w:t>；</w:t>
                  </w:r>
                  <w:r>
                    <w:rPr>
                      <w:kern w:val="0"/>
                      <w:szCs w:val="21"/>
                    </w:rPr>
                    <w:t>在最终的垃圾堆体表面5m宽的平台上设置表面排水沟，排入环场的永久截洪沟内。表面排水沟采用砖砌结构，断面为0.6m×0.5m。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2</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堆填二区</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堆填二区</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堆填二区位于场区的东部，年堆填量为6500t/a，库容量为1.531万m</w:t>
                  </w:r>
                  <w:r>
                    <w:rPr>
                      <w:kern w:val="0"/>
                      <w:szCs w:val="21"/>
                      <w:vertAlign w:val="superscript"/>
                    </w:rPr>
                    <w:t>3</w:t>
                  </w:r>
                  <w:r>
                    <w:rPr>
                      <w:kern w:val="0"/>
                      <w:szCs w:val="21"/>
                    </w:rPr>
                    <w:t>，服务年限为4.71年，占地面积3213.74</w:t>
                  </w: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坝体工程</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二区利用上游及两侧自然山体与下游沟口处修建垃圾坝形成独立的垃圾堆填区域。垃圾坝结构为土石坝，坝顶标高595m，坝中心高5m，坝顶宽4m，坝中心轴线长25.2m，坝体内外坡设计边坡为1：2，外侧坝坡采用三维固土网格植草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地下水导排系统</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lang w:val="en-US" w:eastAsia="zh-CN" w:bidi="ar-SA"/>
                    </w:rPr>
                  </w:pPr>
                  <w:r>
                    <w:rPr>
                      <w:rFonts w:hint="eastAsia"/>
                      <w:kern w:val="0"/>
                      <w:szCs w:val="21"/>
                      <w:lang w:eastAsia="zh-CN"/>
                    </w:rPr>
                    <w:t>包括盲沟、导流管和沉淀池。</w:t>
                  </w:r>
                  <w:r>
                    <w:rPr>
                      <w:kern w:val="0"/>
                      <w:szCs w:val="21"/>
                    </w:rPr>
                    <w:t>盲沟为矩形断面，底宽0.7m，沟深0.6m</w:t>
                  </w:r>
                  <w:r>
                    <w:rPr>
                      <w:rFonts w:hint="eastAsia"/>
                      <w:kern w:val="0"/>
                      <w:szCs w:val="21"/>
                      <w:lang w:eastAsia="zh-CN"/>
                    </w:rPr>
                    <w:t>；渗出水</w:t>
                  </w:r>
                  <w:r>
                    <w:rPr>
                      <w:kern w:val="0"/>
                      <w:szCs w:val="21"/>
                    </w:rPr>
                    <w:t>通过DN355mm的HDPE导流管穿坝后经过坝下游的</w:t>
                  </w:r>
                  <w:r>
                    <w:rPr>
                      <w:rFonts w:hint="eastAsia"/>
                      <w:kern w:val="0"/>
                      <w:szCs w:val="21"/>
                      <w:lang w:eastAsia="zh-CN"/>
                    </w:rPr>
                    <w:t>一座</w:t>
                  </w:r>
                  <w:r>
                    <w:t>125m</w:t>
                  </w:r>
                  <w:r>
                    <w:rPr>
                      <w:vertAlign w:val="superscript"/>
                    </w:rPr>
                    <w:t>3</w:t>
                  </w:r>
                  <w:r>
                    <w:rPr>
                      <w:kern w:val="0"/>
                      <w:szCs w:val="21"/>
                    </w:rPr>
                    <w:t>沉淀池处理后，</w:t>
                  </w:r>
                  <w:r>
                    <w:rPr>
                      <w:szCs w:val="21"/>
                    </w:rPr>
                    <w:t>用于场区洒水降尘，不外排。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地表水导排系统</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0"/>
                      <w:sz w:val="21"/>
                      <w:szCs w:val="21"/>
                      <w:lang w:val="en-US" w:eastAsia="zh-CN" w:bidi="ar-SA"/>
                    </w:rPr>
                  </w:pPr>
                  <w:r>
                    <w:rPr>
                      <w:kern w:val="0"/>
                      <w:szCs w:val="21"/>
                    </w:rPr>
                    <w:t>堆填一区周边设置截洪沟</w:t>
                  </w:r>
                  <w:r>
                    <w:rPr>
                      <w:rFonts w:hint="eastAsia"/>
                      <w:kern w:val="0"/>
                      <w:szCs w:val="21"/>
                      <w:lang w:eastAsia="zh-CN"/>
                    </w:rPr>
                    <w:t>和堆体表面设排水沟</w:t>
                  </w:r>
                  <w:r>
                    <w:rPr>
                      <w:kern w:val="0"/>
                      <w:szCs w:val="21"/>
                    </w:rPr>
                    <w:t>。截洪沟沿堆填一区周边布置，截洪沟采用梯形断面，底宽为0.6m，上口宽0.8m，深度为0.6m，两侧截洪沟的纵向坡度不小于1%</w:t>
                  </w:r>
                  <w:r>
                    <w:rPr>
                      <w:rFonts w:hint="eastAsia"/>
                      <w:kern w:val="0"/>
                      <w:szCs w:val="21"/>
                      <w:lang w:eastAsia="zh-CN"/>
                    </w:rPr>
                    <w:t>；</w:t>
                  </w:r>
                  <w:r>
                    <w:rPr>
                      <w:kern w:val="0"/>
                      <w:szCs w:val="21"/>
                    </w:rPr>
                    <w:t>在最终的垃圾堆体表面5m宽的平台上设置表面排水沟，排入环场的永久截洪沟内。表面排水沟采用砖砌结构，断面为0.6m×0.5m。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3</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封场</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覆盖层采用如下结构（从下至上）：垃圾堆填物+土工布200g/m</w:t>
                  </w:r>
                  <w:r>
                    <w:rPr>
                      <w:vertAlign w:val="superscript"/>
                    </w:rPr>
                    <w:t>2</w:t>
                  </w:r>
                  <w:r>
                    <w:t>+碎石排气层300mm+防渗压实粘土层300mm+粗砂石排水层300mm+植被覆盖支持土层500mm+营养土植被层200mm。</w:t>
                  </w:r>
                </w:p>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t>堆体整形顶面应具有不小于5%的坡度，由中心坡向四周。对实行终场覆盖的区域，及时进行绿化。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4</w:t>
                  </w:r>
                </w:p>
              </w:tc>
              <w:tc>
                <w:tcPr>
                  <w:tcW w:w="70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辅助工程</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卸料平台</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卸料平台位于堆填一区的西侧，占地面积约为130m</w:t>
                  </w:r>
                  <w:r>
                    <w:rPr>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5</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堆填区道路</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进场道路</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新建进场道路宽度4.5m，设计全长64.7m，与丹庾公路相连，占地面积292m</w:t>
                  </w:r>
                  <w:r>
                    <w:rPr>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场内道路</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新建场内道路道路宽度4.5m，总长度约为383.42m，混凝土路面。道路坡度随场区地形设计，最大坡度控制在9%以内。主要运输作业道路转弯半径均大于9.0m，其他辅助道路转弯半径均大于6.0m。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作业道路</w:t>
                  </w:r>
                </w:p>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作业道路为车辆进入堆填区作业面的临时作业马道和当堆体高出库区上边界时的盘山道。初期作业道路长度约为171.48m，设计标准为泥结碎石路面，坡度不大于10%。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地磅</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占地面积约为25m</w:t>
                  </w:r>
                  <w:r>
                    <w:rPr>
                      <w:kern w:val="0"/>
                      <w:szCs w:val="21"/>
                      <w:vertAlign w:val="superscript"/>
                    </w:rPr>
                    <w:t>2</w:t>
                  </w:r>
                  <w:r>
                    <w:rPr>
                      <w:kern w:val="0"/>
                      <w:szCs w:val="21"/>
                    </w:rPr>
                    <w:t>，</w:t>
                  </w:r>
                  <w:r>
                    <w:t>布置在生产管理区入口道路，用于对进场建筑垃圾运输车辆的称重计量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6</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生产管理区</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kern w:val="0"/>
                      <w:szCs w:val="21"/>
                    </w:rPr>
                  </w:pPr>
                  <w:r>
                    <w:rPr>
                      <w:kern w:val="0"/>
                      <w:szCs w:val="21"/>
                    </w:rPr>
                    <w:t>管理区位于处置场西部，占地面积约为334m</w:t>
                  </w:r>
                  <w:r>
                    <w:rPr>
                      <w:kern w:val="0"/>
                      <w:szCs w:val="21"/>
                      <w:vertAlign w:val="superscript"/>
                    </w:rPr>
                    <w:t>2</w:t>
                  </w:r>
                  <w:r>
                    <w:rPr>
                      <w:kern w:val="0"/>
                      <w:szCs w:val="21"/>
                    </w:rPr>
                    <w:t>，包括办公楼、洗车平台和绿化。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办公楼</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1座，占地面积为200m</w:t>
                  </w:r>
                  <w:r>
                    <w:rPr>
                      <w:kern w:val="0"/>
                      <w:szCs w:val="21"/>
                      <w:vertAlign w:val="superscript"/>
                    </w:rPr>
                    <w:t>2</w:t>
                  </w:r>
                  <w:r>
                    <w:rPr>
                      <w:kern w:val="0"/>
                      <w:szCs w:val="21"/>
                    </w:rPr>
                    <w:t>，</w:t>
                  </w:r>
                  <w:r>
                    <w:rPr>
                      <w:szCs w:val="21"/>
                    </w:rPr>
                    <w:t>砌构二层用房，主要用于办公管理和餐厅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洗车平台</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t>1座，布置在生产管理区出口，</w:t>
                  </w:r>
                  <w:r>
                    <w:rPr>
                      <w:kern w:val="0"/>
                      <w:szCs w:val="21"/>
                    </w:rPr>
                    <w:t>占地面积约为20m</w:t>
                  </w:r>
                  <w:r>
                    <w:rPr>
                      <w:kern w:val="0"/>
                      <w:szCs w:val="21"/>
                      <w:vertAlign w:val="superscript"/>
                    </w:rPr>
                    <w:t>2</w:t>
                  </w:r>
                  <w:r>
                    <w:rPr>
                      <w:kern w:val="0"/>
                      <w:szCs w:val="21"/>
                    </w:rPr>
                    <w:t>，</w:t>
                  </w:r>
                  <w:r>
                    <w:t>主要对出场运输车辆的轮胎、底座等进行冲洗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危险废物暂存间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lang w:val="en-US" w:eastAsia="zh-CN"/>
                    </w:rPr>
                    <w:t>1座，</w:t>
                  </w:r>
                  <w:r>
                    <w:t>位于</w:t>
                  </w:r>
                  <w:r>
                    <w:rPr>
                      <w:kern w:val="0"/>
                      <w:szCs w:val="21"/>
                    </w:rPr>
                    <w:t>东南角，占地面积约为12m</w:t>
                  </w:r>
                  <w:r>
                    <w:rPr>
                      <w:kern w:val="0"/>
                      <w:szCs w:val="21"/>
                      <w:vertAlign w:val="superscript"/>
                    </w:rPr>
                    <w:t>2</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管理区绿化</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沿道路和管理区四周进行绿化，绿化面积约为76.49m</w:t>
                  </w:r>
                  <w:r>
                    <w:rPr>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7</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覆土场</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位于</w:t>
                  </w:r>
                  <w:r>
                    <w:rPr>
                      <w:kern w:val="0"/>
                      <w:szCs w:val="21"/>
                    </w:rPr>
                    <w:t>堆填一区</w:t>
                  </w:r>
                  <w:r>
                    <w:t>和</w:t>
                  </w:r>
                  <w:r>
                    <w:rPr>
                      <w:kern w:val="0"/>
                      <w:szCs w:val="21"/>
                    </w:rPr>
                    <w:t>堆填二区</w:t>
                  </w:r>
                  <w:r>
                    <w:t>之间，占地面积约为700m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8</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t>围栏</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t>沿堆填场库区周边设2.5m高钢丝网围栏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9</w:t>
                  </w:r>
                </w:p>
              </w:tc>
              <w:tc>
                <w:tcPr>
                  <w:tcW w:w="70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公用工程</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供水</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依托龙驹寨街道办凤麓社区椒树洼组自来水管道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10</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供电</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依托公路边10kV电源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11</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供暖</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采用空调供暖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12</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排水</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雨水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t>场内雨污分流，场区设有截洪沟</w:t>
                  </w:r>
                  <w:r>
                    <w:rPr>
                      <w:rFonts w:hint="eastAsia"/>
                      <w:lang w:eastAsia="zh-CN"/>
                    </w:rPr>
                    <w:t>和排水沟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生活污水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1座10m</w:t>
                  </w:r>
                  <w:r>
                    <w:rPr>
                      <w:vertAlign w:val="superscript"/>
                    </w:rPr>
                    <w:t>3</w:t>
                  </w:r>
                  <w:r>
                    <w:t>化粪池后，定期委托清掏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生产废水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车辆清洗废水经6m</w:t>
                  </w:r>
                  <w:r>
                    <w:rPr>
                      <w:vertAlign w:val="superscript"/>
                    </w:rPr>
                    <w:t>3</w:t>
                  </w:r>
                  <w:r>
                    <w:rPr>
                      <w:rFonts w:hint="eastAsia"/>
                      <w:vertAlign w:val="baseline"/>
                      <w:lang w:eastAsia="zh-CN"/>
                    </w:rPr>
                    <w:t>三级</w:t>
                  </w:r>
                  <w:r>
                    <w:t>沉淀池处理后循环使用，不外排；堆填一区渗出水经1座125m</w:t>
                  </w:r>
                  <w:r>
                    <w:rPr>
                      <w:vertAlign w:val="superscript"/>
                    </w:rPr>
                    <w:t>3</w:t>
                  </w:r>
                  <w:r>
                    <w:t>沉淀池1处理后，用于作业洒水抑尘，不外排。堆填二区渗出水经1座125m</w:t>
                  </w:r>
                  <w:r>
                    <w:rPr>
                      <w:vertAlign w:val="superscript"/>
                    </w:rPr>
                    <w:t>3</w:t>
                  </w:r>
                  <w:r>
                    <w:t>沉淀池2处理后，用于作业洒水抑尘，不外排。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13</w:t>
                  </w:r>
                </w:p>
              </w:tc>
              <w:tc>
                <w:tcPr>
                  <w:tcW w:w="70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环保工程</w:t>
                  </w: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废气</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堆填区扬尘</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堆填区内采取压实并作业表面及时覆盖；种植绿化隔离带，控制飞尘扩散；对正在进行业区的四周设置3米高的防风抑尘网，控制轻薄垃圾飞扬；定期洒水降尘等措施。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运输道路扬尘</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道路路面硬化；道路定时清扫、洒水；道路两侧绿化，控制飞尘扩散。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14</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废水</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生活污水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1座10m</w:t>
                  </w:r>
                  <w:r>
                    <w:rPr>
                      <w:vertAlign w:val="superscript"/>
                    </w:rPr>
                    <w:t>3</w:t>
                  </w:r>
                  <w:r>
                    <w:t>化粪池后，定期委托清掏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车辆清洗废水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经6m</w:t>
                  </w:r>
                  <w:r>
                    <w:rPr>
                      <w:vertAlign w:val="superscript"/>
                    </w:rPr>
                    <w:t>3</w:t>
                  </w:r>
                  <w:r>
                    <w:rPr>
                      <w:rFonts w:hint="eastAsia"/>
                      <w:vertAlign w:val="baseline"/>
                      <w:lang w:eastAsia="zh-CN"/>
                    </w:rPr>
                    <w:t>三级</w:t>
                  </w:r>
                  <w:r>
                    <w:t>沉淀池处理后循环使用，不外排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堆填一区渗出水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经沉淀池1处理后，用于作业洒水抑尘，不外排。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堆填二区渗出水</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经沉淀池2处理后，用于作业洒水抑尘，不外排。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15</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噪声</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选用低噪声设备，种植绿化带，合理安排作业时间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16</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固废</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生活垃圾</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设置分类垃圾桶，统一收集后定期运至环卫部门指定地点处置。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沉淀池泥沙</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晾干后进入本</w:t>
                  </w:r>
                  <w:r>
                    <w:rPr>
                      <w:rFonts w:hint="eastAsia"/>
                      <w:lang w:eastAsia="zh-CN"/>
                    </w:rPr>
                    <w:t>工程</w:t>
                  </w:r>
                  <w:r>
                    <w:t>堆填区堆填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废机油</w:t>
                  </w:r>
                </w:p>
              </w:tc>
              <w:tc>
                <w:tcPr>
                  <w:tcW w:w="49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设置1间12m</w:t>
                  </w:r>
                  <w:r>
                    <w:rPr>
                      <w:vertAlign w:val="superscript"/>
                    </w:rPr>
                    <w:t>2</w:t>
                  </w:r>
                  <w:r>
                    <w:t>危废暂存间，危废暂存后委托资质单位处置。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17</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生态</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kern w:val="0"/>
                      <w:szCs w:val="21"/>
                    </w:rPr>
                    <w:t>生产管理区</w:t>
                  </w:r>
                  <w:r>
                    <w:t>进行绿化，堆填区周围设置5m宽绿化隔离带，封场后对整个堆填区进行覆土绿化。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18</w:t>
                  </w:r>
                </w:p>
              </w:tc>
              <w:tc>
                <w:tcPr>
                  <w:tcW w:w="70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t>地下水</w:t>
                  </w:r>
                </w:p>
              </w:tc>
              <w:tc>
                <w:tcPr>
                  <w:tcW w:w="605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kern w:val="0"/>
                      <w:szCs w:val="21"/>
                    </w:rPr>
                  </w:pPr>
                  <w:r>
                    <w:rPr>
                      <w:kern w:val="0"/>
                      <w:szCs w:val="21"/>
                    </w:rPr>
                    <w:t>本</w:t>
                  </w:r>
                  <w:r>
                    <w:rPr>
                      <w:rFonts w:hint="eastAsia"/>
                      <w:kern w:val="0"/>
                      <w:szCs w:val="21"/>
                      <w:lang w:eastAsia="zh-CN"/>
                    </w:rPr>
                    <w:t>工程</w:t>
                  </w:r>
                  <w:r>
                    <w:rPr>
                      <w:kern w:val="0"/>
                      <w:szCs w:val="21"/>
                    </w:rPr>
                    <w:t>在堆填一区设置1座地下水上游背景监测井和1座场地内地下水污染监测井；在堆填二区设置1座地下水上游背景监测井和1座场地内地下水污染监测井；拟依托丹凤县</w:t>
                  </w:r>
                  <w:r>
                    <w:rPr>
                      <w:szCs w:val="21"/>
                    </w:rPr>
                    <w:t>椒术洼组村井作为污染扩散监测井。</w:t>
                  </w:r>
                </w:p>
              </w:tc>
            </w:tr>
          </w:tbl>
          <w:p>
            <w:pPr>
              <w:adjustRightInd w:val="0"/>
              <w:snapToGrid w:val="0"/>
              <w:spacing w:line="360" w:lineRule="auto"/>
              <w:ind w:firstLine="482" w:firstLineChars="200"/>
              <w:jc w:val="left"/>
              <w:rPr>
                <w:b/>
                <w:kern w:val="0"/>
                <w:sz w:val="24"/>
                <w:szCs w:val="24"/>
              </w:rPr>
            </w:pPr>
            <w:r>
              <w:rPr>
                <w:rFonts w:hint="eastAsia"/>
                <w:b/>
                <w:kern w:val="0"/>
                <w:sz w:val="24"/>
                <w:szCs w:val="24"/>
                <w:lang w:val="en-US" w:eastAsia="zh-CN"/>
              </w:rPr>
              <w:t>5</w:t>
            </w:r>
            <w:r>
              <w:rPr>
                <w:b/>
                <w:kern w:val="0"/>
                <w:sz w:val="24"/>
                <w:szCs w:val="24"/>
              </w:rPr>
              <w:t>、入场要求</w:t>
            </w:r>
          </w:p>
          <w:p>
            <w:pPr>
              <w:adjustRightInd w:val="0"/>
              <w:snapToGrid w:val="0"/>
              <w:spacing w:line="360" w:lineRule="auto"/>
              <w:ind w:firstLine="480" w:firstLineChars="200"/>
              <w:jc w:val="left"/>
              <w:rPr>
                <w:kern w:val="0"/>
                <w:sz w:val="24"/>
                <w:szCs w:val="24"/>
              </w:rPr>
            </w:pPr>
            <w:r>
              <w:rPr>
                <w:kern w:val="0"/>
                <w:sz w:val="24"/>
                <w:szCs w:val="24"/>
              </w:rPr>
              <w:t>本工程具体进场要求如下：</w:t>
            </w:r>
          </w:p>
          <w:p>
            <w:pPr>
              <w:adjustRightInd w:val="0"/>
              <w:snapToGrid w:val="0"/>
              <w:spacing w:line="360" w:lineRule="auto"/>
              <w:ind w:firstLine="480" w:firstLineChars="200"/>
              <w:jc w:val="left"/>
              <w:rPr>
                <w:sz w:val="24"/>
                <w:szCs w:val="24"/>
              </w:rPr>
            </w:pPr>
            <w:r>
              <w:rPr>
                <w:kern w:val="0"/>
                <w:sz w:val="24"/>
                <w:szCs w:val="24"/>
              </w:rPr>
              <w:fldChar w:fldCharType="begin"/>
            </w:r>
            <w:r>
              <w:rPr>
                <w:kern w:val="0"/>
                <w:sz w:val="24"/>
                <w:szCs w:val="24"/>
              </w:rPr>
              <w:instrText xml:space="preserve"> = 1 \* GB3 </w:instrText>
            </w:r>
            <w:r>
              <w:rPr>
                <w:kern w:val="0"/>
                <w:sz w:val="24"/>
                <w:szCs w:val="24"/>
              </w:rPr>
              <w:fldChar w:fldCharType="separate"/>
            </w:r>
            <w:r>
              <w:rPr>
                <w:rFonts w:ascii="宋体"/>
                <w:kern w:val="0"/>
                <w:sz w:val="24"/>
                <w:szCs w:val="24"/>
              </w:rPr>
              <w:t>①</w:t>
            </w:r>
            <w:r>
              <w:rPr>
                <w:kern w:val="0"/>
                <w:sz w:val="24"/>
                <w:szCs w:val="24"/>
              </w:rPr>
              <w:fldChar w:fldCharType="end"/>
            </w:r>
            <w:r>
              <w:rPr>
                <w:sz w:val="24"/>
                <w:szCs w:val="24"/>
              </w:rPr>
              <w:t>可入场的建筑垃圾包括混凝土碎末、钢筋混凝土、块状混凝土、泥土、灰尘、石块、碎石、砖；</w:t>
            </w:r>
          </w:p>
          <w:p>
            <w:pPr>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进场物料中废沥青、废旧管材、废旧木材、金属、橡塑等的含量不大于5%时可进行堆填处理。</w:t>
            </w:r>
          </w:p>
          <w:p>
            <w:pPr>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进场物料粒径宜小于0.3m，大粒径物料宜先进行场外破碎预处理且级配合理方可入场，尖锐物宜进行打磨后堆填处置，且工程渣土与泥浆物料进场时含水率需小于40%；</w:t>
            </w:r>
          </w:p>
          <w:p>
            <w:pPr>
              <w:adjustRightInd w:val="0"/>
              <w:snapToGrid w:val="0"/>
              <w:spacing w:line="360" w:lineRule="auto"/>
              <w:ind w:firstLine="480" w:firstLineChars="200"/>
              <w:jc w:val="left"/>
              <w:rPr>
                <w:sz w:val="24"/>
                <w:szCs w:val="24"/>
              </w:rPr>
            </w:pPr>
            <w:r>
              <w:rPr>
                <w:kern w:val="0"/>
                <w:sz w:val="24"/>
                <w:szCs w:val="24"/>
              </w:rPr>
              <w:fldChar w:fldCharType="begin"/>
            </w:r>
            <w:r>
              <w:rPr>
                <w:kern w:val="0"/>
                <w:sz w:val="24"/>
                <w:szCs w:val="24"/>
              </w:rPr>
              <w:instrText xml:space="preserve"> = 4 \* GB3 </w:instrText>
            </w:r>
            <w:r>
              <w:rPr>
                <w:kern w:val="0"/>
                <w:sz w:val="24"/>
                <w:szCs w:val="24"/>
              </w:rPr>
              <w:fldChar w:fldCharType="separate"/>
            </w:r>
            <w:r>
              <w:rPr>
                <w:rFonts w:ascii="宋体"/>
                <w:kern w:val="0"/>
                <w:sz w:val="24"/>
                <w:szCs w:val="24"/>
              </w:rPr>
              <w:t>④</w:t>
            </w:r>
            <w:r>
              <w:rPr>
                <w:kern w:val="0"/>
                <w:sz w:val="24"/>
                <w:szCs w:val="24"/>
              </w:rPr>
              <w:fldChar w:fldCharType="end"/>
            </w:r>
            <w:r>
              <w:rPr>
                <w:sz w:val="24"/>
                <w:szCs w:val="24"/>
              </w:rPr>
              <w:t>建筑物装饰装修过程中产生的土、砂、石、砖、瓦、灰、水泥以及破损的木料、陶瓷、玻璃、石膏、塑料等固体废弃物可以进场堆填，废弃的油漆、涂料、腻子粉等含有有害物质的废弃物及其容器等按照有害垃圾进行处置，禁止入场；</w:t>
            </w:r>
          </w:p>
          <w:p>
            <w:pPr>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5 \* GB3 </w:instrText>
            </w:r>
            <w:r>
              <w:rPr>
                <w:sz w:val="24"/>
                <w:szCs w:val="24"/>
              </w:rPr>
              <w:fldChar w:fldCharType="separate"/>
            </w:r>
            <w:r>
              <w:rPr>
                <w:rFonts w:ascii="宋体"/>
                <w:sz w:val="24"/>
                <w:szCs w:val="24"/>
              </w:rPr>
              <w:t>⑤</w:t>
            </w:r>
            <w:r>
              <w:rPr>
                <w:rFonts w:ascii="宋体"/>
                <w:sz w:val="24"/>
                <w:szCs w:val="24"/>
              </w:rPr>
              <w:fldChar w:fldCharType="end"/>
            </w:r>
            <w:r>
              <w:rPr>
                <w:sz w:val="24"/>
                <w:szCs w:val="24"/>
              </w:rPr>
              <w:t>禁止建筑垃圾以外的所有工业固体废物入场；</w:t>
            </w:r>
          </w:p>
          <w:p>
            <w:pPr>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6 \* GB3 </w:instrText>
            </w:r>
            <w:r>
              <w:rPr>
                <w:sz w:val="24"/>
                <w:szCs w:val="24"/>
              </w:rPr>
              <w:fldChar w:fldCharType="separate"/>
            </w:r>
            <w:r>
              <w:rPr>
                <w:rFonts w:ascii="宋体"/>
                <w:sz w:val="24"/>
                <w:szCs w:val="24"/>
              </w:rPr>
              <w:t>⑥</w:t>
            </w:r>
            <w:r>
              <w:rPr>
                <w:rFonts w:ascii="宋体"/>
                <w:sz w:val="24"/>
                <w:szCs w:val="24"/>
              </w:rPr>
              <w:fldChar w:fldCharType="end"/>
            </w:r>
            <w:r>
              <w:rPr>
                <w:sz w:val="24"/>
                <w:szCs w:val="24"/>
              </w:rPr>
              <w:t>禁止生活垃圾入场；</w:t>
            </w:r>
          </w:p>
          <w:p>
            <w:pPr>
              <w:adjustRightInd w:val="0"/>
              <w:snapToGrid w:val="0"/>
              <w:spacing w:line="360" w:lineRule="auto"/>
              <w:ind w:firstLine="480" w:firstLineChars="200"/>
              <w:jc w:val="left"/>
              <w:rPr>
                <w:sz w:val="24"/>
                <w:szCs w:val="24"/>
              </w:rPr>
            </w:pPr>
            <w:r>
              <w:rPr>
                <w:sz w:val="24"/>
                <w:szCs w:val="24"/>
              </w:rPr>
              <w:fldChar w:fldCharType="begin"/>
            </w:r>
            <w:r>
              <w:rPr>
                <w:sz w:val="24"/>
                <w:szCs w:val="24"/>
              </w:rPr>
              <w:instrText xml:space="preserve"> = 7 \* GB3 </w:instrText>
            </w:r>
            <w:r>
              <w:rPr>
                <w:sz w:val="24"/>
                <w:szCs w:val="24"/>
              </w:rPr>
              <w:fldChar w:fldCharType="separate"/>
            </w:r>
            <w:r>
              <w:rPr>
                <w:rFonts w:ascii="宋体"/>
                <w:sz w:val="24"/>
                <w:szCs w:val="24"/>
              </w:rPr>
              <w:t>⑦</w:t>
            </w:r>
            <w:r>
              <w:rPr>
                <w:rFonts w:ascii="宋体"/>
                <w:sz w:val="24"/>
                <w:szCs w:val="24"/>
              </w:rPr>
              <w:fldChar w:fldCharType="end"/>
            </w:r>
            <w:r>
              <w:rPr>
                <w:sz w:val="24"/>
                <w:szCs w:val="24"/>
              </w:rPr>
              <w:t>禁止</w:t>
            </w:r>
            <w:r>
              <w:rPr>
                <w:rFonts w:hint="eastAsia"/>
                <w:sz w:val="24"/>
                <w:szCs w:val="24"/>
                <w:lang w:eastAsia="zh-CN"/>
              </w:rPr>
              <w:t>危险废物和医疗废物</w:t>
            </w:r>
            <w:r>
              <w:rPr>
                <w:sz w:val="24"/>
                <w:szCs w:val="24"/>
              </w:rPr>
              <w:t>入场；</w:t>
            </w:r>
          </w:p>
          <w:p>
            <w:pPr>
              <w:adjustRightInd w:val="0"/>
              <w:snapToGrid w:val="0"/>
              <w:spacing w:line="360" w:lineRule="auto"/>
              <w:ind w:left="422"/>
              <w:jc w:val="left"/>
              <w:rPr>
                <w:b/>
                <w:sz w:val="24"/>
                <w:szCs w:val="24"/>
              </w:rPr>
            </w:pPr>
            <w:r>
              <w:rPr>
                <w:rFonts w:hint="eastAsia"/>
                <w:b/>
                <w:sz w:val="24"/>
                <w:szCs w:val="24"/>
                <w:lang w:val="en-US" w:eastAsia="zh-CN"/>
              </w:rPr>
              <w:t>6</w:t>
            </w:r>
            <w:r>
              <w:rPr>
                <w:b/>
                <w:sz w:val="24"/>
                <w:szCs w:val="24"/>
              </w:rPr>
              <w:t>、运输要求</w:t>
            </w:r>
          </w:p>
          <w:p>
            <w:pPr>
              <w:adjustRightInd w:val="0"/>
              <w:snapToGrid w:val="0"/>
              <w:spacing w:line="360" w:lineRule="auto"/>
              <w:ind w:firstLine="480" w:firstLineChars="200"/>
              <w:jc w:val="left"/>
              <w:rPr>
                <w:sz w:val="24"/>
                <w:szCs w:val="24"/>
              </w:rPr>
            </w:pPr>
            <w:r>
              <w:rPr>
                <w:sz w:val="24"/>
                <w:szCs w:val="24"/>
              </w:rPr>
              <w:t>丹凤县各城区建筑垃圾产生单位将建筑垃圾分类收集，将符合入场要求的建筑垃圾运输至本</w:t>
            </w:r>
            <w:r>
              <w:rPr>
                <w:rFonts w:hint="eastAsia"/>
                <w:sz w:val="24"/>
                <w:szCs w:val="24"/>
                <w:lang w:eastAsia="zh-CN"/>
              </w:rPr>
              <w:t>工程</w:t>
            </w:r>
            <w:r>
              <w:rPr>
                <w:sz w:val="24"/>
                <w:szCs w:val="24"/>
              </w:rPr>
              <w:t>建筑垃圾堆填场处置。在运输中运输车辆应机械密闭，车辆上路前应对两侧、底盘、轮胎等进行全方位的冲洗，确保不带泥土上路。</w:t>
            </w:r>
          </w:p>
          <w:p>
            <w:pPr>
              <w:adjustRightInd w:val="0"/>
              <w:snapToGrid w:val="0"/>
              <w:spacing w:line="360" w:lineRule="auto"/>
              <w:ind w:firstLine="482" w:firstLineChars="200"/>
              <w:jc w:val="left"/>
              <w:rPr>
                <w:b/>
                <w:sz w:val="24"/>
                <w:szCs w:val="24"/>
              </w:rPr>
            </w:pPr>
            <w:r>
              <w:rPr>
                <w:rFonts w:hint="eastAsia"/>
                <w:b/>
                <w:sz w:val="24"/>
                <w:szCs w:val="24"/>
                <w:lang w:val="en-US" w:eastAsia="zh-CN"/>
              </w:rPr>
              <w:t>7</w:t>
            </w:r>
            <w:r>
              <w:rPr>
                <w:b/>
                <w:sz w:val="24"/>
                <w:szCs w:val="24"/>
              </w:rPr>
              <w:t>、工作制度</w:t>
            </w:r>
          </w:p>
          <w:p>
            <w:pPr>
              <w:adjustRightInd w:val="0"/>
              <w:snapToGrid w:val="0"/>
              <w:spacing w:line="360" w:lineRule="auto"/>
              <w:ind w:firstLine="480" w:firstLineChars="200"/>
              <w:jc w:val="left"/>
              <w:rPr>
                <w:rFonts w:hint="eastAsia" w:eastAsia="宋体"/>
                <w:color w:val="auto"/>
                <w:kern w:val="0"/>
                <w:sz w:val="24"/>
                <w:szCs w:val="24"/>
                <w:lang w:eastAsia="zh-CN"/>
              </w:rPr>
            </w:pPr>
            <w:r>
              <w:rPr>
                <w:kern w:val="0"/>
                <w:sz w:val="24"/>
                <w:szCs w:val="24"/>
              </w:rPr>
              <w:fldChar w:fldCharType="begin"/>
            </w:r>
            <w:r>
              <w:rPr>
                <w:kern w:val="0"/>
                <w:sz w:val="24"/>
                <w:szCs w:val="24"/>
              </w:rPr>
              <w:instrText xml:space="preserve"> = 1 \* GB3 </w:instrText>
            </w:r>
            <w:r>
              <w:rPr>
                <w:kern w:val="0"/>
                <w:sz w:val="24"/>
                <w:szCs w:val="24"/>
              </w:rPr>
              <w:fldChar w:fldCharType="separate"/>
            </w:r>
            <w:r>
              <w:rPr>
                <w:rFonts w:ascii="宋体"/>
                <w:kern w:val="0"/>
                <w:sz w:val="24"/>
                <w:szCs w:val="24"/>
              </w:rPr>
              <w:t>①</w:t>
            </w:r>
            <w:r>
              <w:rPr>
                <w:kern w:val="0"/>
                <w:sz w:val="24"/>
                <w:szCs w:val="24"/>
              </w:rPr>
              <w:fldChar w:fldCharType="end"/>
            </w:r>
            <w:r>
              <w:rPr>
                <w:kern w:val="0"/>
                <w:sz w:val="24"/>
                <w:szCs w:val="24"/>
              </w:rPr>
              <w:t>工作制度：堆填场主要工种实行两班制，生产天数为365天。职工工作时间为8小</w:t>
            </w:r>
            <w:r>
              <w:rPr>
                <w:color w:val="auto"/>
                <w:kern w:val="0"/>
                <w:sz w:val="24"/>
                <w:szCs w:val="24"/>
              </w:rPr>
              <w:t>时，实行轮休</w:t>
            </w:r>
            <w:r>
              <w:rPr>
                <w:rFonts w:hint="eastAsia"/>
                <w:color w:val="auto"/>
                <w:kern w:val="0"/>
                <w:sz w:val="24"/>
                <w:szCs w:val="24"/>
                <w:lang w:eastAsia="zh-CN"/>
              </w:rPr>
              <w:t>，本工程夜间（</w:t>
            </w:r>
            <w:r>
              <w:rPr>
                <w:rFonts w:hint="eastAsia"/>
                <w:color w:val="auto"/>
                <w:kern w:val="0"/>
                <w:sz w:val="24"/>
                <w:szCs w:val="24"/>
                <w:lang w:val="en-US" w:eastAsia="zh-CN"/>
              </w:rPr>
              <w:t>22:00~6:00</w:t>
            </w:r>
            <w:r>
              <w:rPr>
                <w:rFonts w:hint="eastAsia"/>
                <w:color w:val="auto"/>
                <w:kern w:val="0"/>
                <w:sz w:val="24"/>
                <w:szCs w:val="24"/>
                <w:lang w:eastAsia="zh-CN"/>
              </w:rPr>
              <w:t>）不生产。</w:t>
            </w:r>
          </w:p>
          <w:p>
            <w:pPr>
              <w:adjustRightInd w:val="0"/>
              <w:snapToGrid w:val="0"/>
              <w:spacing w:line="360" w:lineRule="auto"/>
              <w:ind w:firstLine="480" w:firstLineChars="200"/>
              <w:jc w:val="left"/>
              <w:rPr>
                <w:kern w:val="0"/>
                <w:sz w:val="24"/>
                <w:szCs w:val="24"/>
              </w:rPr>
            </w:pPr>
            <w:r>
              <w:rPr>
                <w:kern w:val="0"/>
                <w:sz w:val="24"/>
                <w:szCs w:val="24"/>
              </w:rPr>
              <w:fldChar w:fldCharType="begin"/>
            </w:r>
            <w:r>
              <w:rPr>
                <w:kern w:val="0"/>
                <w:sz w:val="24"/>
                <w:szCs w:val="24"/>
              </w:rPr>
              <w:instrText xml:space="preserve"> = 2 \* GB3 </w:instrText>
            </w:r>
            <w:r>
              <w:rPr>
                <w:kern w:val="0"/>
                <w:sz w:val="24"/>
                <w:szCs w:val="24"/>
              </w:rPr>
              <w:fldChar w:fldCharType="separate"/>
            </w:r>
            <w:r>
              <w:rPr>
                <w:rFonts w:ascii="宋体"/>
                <w:kern w:val="0"/>
                <w:sz w:val="24"/>
                <w:szCs w:val="24"/>
              </w:rPr>
              <w:t>②</w:t>
            </w:r>
            <w:r>
              <w:rPr>
                <w:kern w:val="0"/>
                <w:sz w:val="24"/>
                <w:szCs w:val="24"/>
              </w:rPr>
              <w:fldChar w:fldCharType="end"/>
            </w:r>
            <w:r>
              <w:rPr>
                <w:kern w:val="0"/>
                <w:sz w:val="24"/>
                <w:szCs w:val="24"/>
              </w:rPr>
              <w:t>劳动定员：堆填场投入运营后，在堆填作业区1人、地磅房配备工作人员2人。</w:t>
            </w:r>
          </w:p>
          <w:p>
            <w:pPr>
              <w:spacing w:line="360" w:lineRule="auto"/>
              <w:ind w:firstLine="482" w:firstLineChars="200"/>
              <w:rPr>
                <w:b/>
                <w:bCs/>
                <w:sz w:val="24"/>
                <w:szCs w:val="24"/>
              </w:rPr>
            </w:pPr>
            <w:r>
              <w:rPr>
                <w:rFonts w:hint="eastAsia"/>
                <w:b/>
                <w:bCs/>
                <w:sz w:val="24"/>
                <w:szCs w:val="24"/>
                <w:lang w:val="en-US" w:eastAsia="zh-CN"/>
              </w:rPr>
              <w:t>8</w:t>
            </w:r>
            <w:r>
              <w:rPr>
                <w:b/>
                <w:bCs/>
                <w:sz w:val="24"/>
                <w:szCs w:val="24"/>
              </w:rPr>
              <w:t>、项目总投资及资金来源</w:t>
            </w:r>
          </w:p>
          <w:p>
            <w:pPr>
              <w:adjustRightInd w:val="0"/>
              <w:snapToGrid w:val="0"/>
              <w:spacing w:line="360" w:lineRule="auto"/>
              <w:ind w:firstLine="480" w:firstLineChars="200"/>
              <w:jc w:val="left"/>
              <w:rPr>
                <w:kern w:val="0"/>
                <w:szCs w:val="21"/>
              </w:rPr>
            </w:pPr>
            <w:r>
              <w:rPr>
                <w:rFonts w:hint="eastAsia"/>
                <w:kern w:val="0"/>
                <w:sz w:val="24"/>
                <w:szCs w:val="24"/>
                <w:lang w:eastAsia="zh-CN"/>
              </w:rPr>
              <w:t>本工程</w:t>
            </w:r>
            <w:r>
              <w:rPr>
                <w:kern w:val="0"/>
                <w:sz w:val="24"/>
                <w:szCs w:val="24"/>
              </w:rPr>
              <w:t>投入总资金660.98万元，通过申请中央专项资金和地方配套资金解决。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74" w:hRule="atLeast"/>
          <w:jc w:val="center"/>
        </w:trPr>
        <w:tc>
          <w:tcPr>
            <w:tcW w:w="710" w:type="dxa"/>
            <w:vAlign w:val="center"/>
          </w:tcPr>
          <w:p>
            <w:pPr>
              <w:adjustRightInd w:val="0"/>
              <w:snapToGrid w:val="0"/>
              <w:jc w:val="center"/>
              <w:rPr>
                <w:kern w:val="0"/>
                <w:sz w:val="24"/>
                <w:szCs w:val="24"/>
              </w:rPr>
            </w:pPr>
            <w:r>
              <w:rPr>
                <w:kern w:val="0"/>
                <w:sz w:val="24"/>
                <w:szCs w:val="24"/>
              </w:rPr>
              <w:t>总平面及现场布置</w:t>
            </w:r>
          </w:p>
        </w:tc>
        <w:tc>
          <w:tcPr>
            <w:tcW w:w="8380" w:type="dxa"/>
            <w:vAlign w:val="center"/>
          </w:tcPr>
          <w:p>
            <w:pPr>
              <w:adjustRightInd w:val="0"/>
              <w:snapToGrid w:val="0"/>
              <w:spacing w:line="360" w:lineRule="auto"/>
              <w:ind w:firstLine="480" w:firstLineChars="200"/>
              <w:rPr>
                <w:rFonts w:hint="eastAsia" w:eastAsia="宋体"/>
                <w:kern w:val="0"/>
                <w:sz w:val="24"/>
                <w:szCs w:val="24"/>
                <w:lang w:eastAsia="zh-CN"/>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r>
              <w:rPr>
                <w:kern w:val="0"/>
                <w:sz w:val="24"/>
                <w:szCs w:val="24"/>
              </w:rPr>
              <w:t>整个垃圾堆填场平面布置从东向西分别为生产管理区和堆填区，总用地面积</w:t>
            </w:r>
            <w:r>
              <w:rPr>
                <w:sz w:val="24"/>
                <w:szCs w:val="24"/>
              </w:rPr>
              <w:t>23169.38m</w:t>
            </w:r>
            <w:r>
              <w:rPr>
                <w:sz w:val="24"/>
                <w:szCs w:val="24"/>
                <w:vertAlign w:val="superscript"/>
              </w:rPr>
              <w:t>2</w:t>
            </w:r>
            <w:r>
              <w:rPr>
                <w:kern w:val="0"/>
                <w:sz w:val="24"/>
                <w:szCs w:val="24"/>
              </w:rPr>
              <w:t>，具体见附图1</w:t>
            </w:r>
            <w:r>
              <w:rPr>
                <w:rFonts w:hint="eastAsia"/>
                <w:kern w:val="0"/>
                <w:sz w:val="24"/>
                <w:szCs w:val="24"/>
              </w:rPr>
              <w:t>4</w:t>
            </w:r>
            <w:r>
              <w:rPr>
                <w:kern w:val="0"/>
                <w:sz w:val="24"/>
                <w:szCs w:val="24"/>
              </w:rPr>
              <w:t>。</w:t>
            </w:r>
          </w:p>
          <w:p>
            <w:pPr>
              <w:adjustRightInd w:val="0"/>
              <w:snapToGrid w:val="0"/>
              <w:spacing w:line="360" w:lineRule="auto"/>
              <w:ind w:firstLine="480" w:firstLineChars="200"/>
              <w:rPr>
                <w:kern w:val="0"/>
                <w:sz w:val="24"/>
                <w:szCs w:val="24"/>
              </w:rPr>
            </w:pPr>
            <w:r>
              <w:rPr>
                <w:kern w:val="0"/>
                <w:sz w:val="24"/>
                <w:szCs w:val="24"/>
              </w:rPr>
              <w:t>1、生产管理区占地面积约为334m</w:t>
            </w:r>
            <w:r>
              <w:rPr>
                <w:kern w:val="0"/>
                <w:sz w:val="24"/>
                <w:szCs w:val="24"/>
                <w:vertAlign w:val="superscript"/>
              </w:rPr>
              <w:t>2</w:t>
            </w:r>
            <w:r>
              <w:rPr>
                <w:kern w:val="0"/>
                <w:sz w:val="24"/>
                <w:szCs w:val="24"/>
              </w:rPr>
              <w:t>，南侧为办公楼，北侧为洗车平台，东南角为危废暂存间。</w:t>
            </w:r>
          </w:p>
          <w:p>
            <w:pPr>
              <w:adjustRightInd w:val="0"/>
              <w:snapToGrid w:val="0"/>
              <w:spacing w:line="360" w:lineRule="auto"/>
              <w:ind w:firstLine="480" w:firstLineChars="200"/>
              <w:rPr>
                <w:kern w:val="0"/>
                <w:sz w:val="24"/>
                <w:szCs w:val="24"/>
              </w:rPr>
            </w:pPr>
            <w:r>
              <w:rPr>
                <w:kern w:val="0"/>
                <w:sz w:val="24"/>
                <w:szCs w:val="24"/>
              </w:rPr>
              <w:t>2、堆填区总占地面积约为7102.74m</w:t>
            </w:r>
            <w:r>
              <w:rPr>
                <w:kern w:val="0"/>
                <w:sz w:val="24"/>
                <w:szCs w:val="24"/>
                <w:vertAlign w:val="superscript"/>
              </w:rPr>
              <w:t>2</w:t>
            </w:r>
            <w:r>
              <w:rPr>
                <w:kern w:val="0"/>
                <w:sz w:val="24"/>
                <w:szCs w:val="24"/>
              </w:rPr>
              <w:t>，由西向东为卸料平台、堆填一区、覆土区和堆填二区等</w:t>
            </w:r>
            <w:r>
              <w:rPr>
                <w:rFonts w:hint="eastAsia"/>
                <w:kern w:val="0"/>
                <w:sz w:val="24"/>
                <w:szCs w:val="24"/>
                <w:lang w:eastAsia="zh-CN"/>
              </w:rPr>
              <w:t>。</w:t>
            </w: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p>
            <w:pPr>
              <w:adjustRightInd w:val="0"/>
              <w:snapToGrid w:val="0"/>
              <w:spacing w:line="360" w:lineRule="auto"/>
              <w:ind w:firstLine="480" w:firstLineChars="200"/>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2" w:hRule="atLeast"/>
          <w:jc w:val="center"/>
        </w:trPr>
        <w:tc>
          <w:tcPr>
            <w:tcW w:w="710" w:type="dxa"/>
            <w:vAlign w:val="center"/>
          </w:tcPr>
          <w:p>
            <w:pPr>
              <w:adjustRightInd w:val="0"/>
              <w:snapToGrid w:val="0"/>
              <w:jc w:val="center"/>
              <w:rPr>
                <w:kern w:val="0"/>
                <w:szCs w:val="21"/>
              </w:rPr>
            </w:pPr>
            <w:r>
              <w:rPr>
                <w:kern w:val="0"/>
                <w:sz w:val="24"/>
                <w:szCs w:val="24"/>
              </w:rPr>
              <w:t>施工方案</w:t>
            </w:r>
          </w:p>
        </w:tc>
        <w:tc>
          <w:tcPr>
            <w:tcW w:w="8380" w:type="dxa"/>
            <w:vAlign w:val="center"/>
          </w:tcPr>
          <w:p>
            <w:pPr>
              <w:adjustRightInd w:val="0"/>
              <w:snapToGrid w:val="0"/>
              <w:spacing w:line="360" w:lineRule="auto"/>
              <w:ind w:firstLine="422"/>
              <w:rPr>
                <w:b/>
                <w:kern w:val="0"/>
                <w:sz w:val="24"/>
                <w:szCs w:val="24"/>
              </w:rPr>
            </w:pPr>
            <w:r>
              <w:rPr>
                <w:b/>
                <w:kern w:val="0"/>
                <w:sz w:val="24"/>
                <w:szCs w:val="24"/>
              </w:rPr>
              <w:t>1、施工期施工方案</w:t>
            </w:r>
          </w:p>
          <w:p>
            <w:pPr>
              <w:adjustRightInd w:val="0"/>
              <w:snapToGrid w:val="0"/>
              <w:spacing w:line="360" w:lineRule="auto"/>
              <w:ind w:firstLine="422"/>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场地整治方案</w:t>
            </w:r>
          </w:p>
          <w:p>
            <w:pPr>
              <w:adjustRightInd w:val="0"/>
              <w:snapToGrid w:val="0"/>
              <w:spacing w:line="360" w:lineRule="auto"/>
              <w:ind w:firstLine="422"/>
              <w:rPr>
                <w:sz w:val="24"/>
                <w:szCs w:val="24"/>
              </w:rPr>
            </w:pPr>
            <w:r>
              <w:rPr>
                <w:sz w:val="24"/>
                <w:szCs w:val="24"/>
              </w:rPr>
              <w:t>堆填前应清除基底的垃圾、树根等杂物，抽除坑穴积水、淤泥，验收基底标高。如在耕植土或松土上填方，应在基底压实后再进行。基础压实程度不应小于93%。</w:t>
            </w:r>
          </w:p>
          <w:p>
            <w:pPr>
              <w:adjustRightInd w:val="0"/>
              <w:snapToGrid w:val="0"/>
              <w:spacing w:line="360" w:lineRule="auto"/>
              <w:ind w:firstLine="422"/>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坝体工程施工方案</w:t>
            </w:r>
          </w:p>
          <w:p>
            <w:pPr>
              <w:adjustRightInd w:val="0"/>
              <w:snapToGrid w:val="0"/>
              <w:spacing w:line="360" w:lineRule="auto"/>
              <w:ind w:firstLine="422"/>
              <w:rPr>
                <w:sz w:val="24"/>
                <w:szCs w:val="24"/>
              </w:rPr>
            </w:pPr>
            <w:r>
              <w:rPr>
                <w:sz w:val="24"/>
                <w:szCs w:val="24"/>
              </w:rPr>
              <w:t>本</w:t>
            </w:r>
            <w:r>
              <w:rPr>
                <w:rFonts w:hint="eastAsia"/>
                <w:sz w:val="24"/>
                <w:szCs w:val="24"/>
                <w:lang w:eastAsia="zh-CN"/>
              </w:rPr>
              <w:t>工程</w:t>
            </w:r>
            <w:r>
              <w:rPr>
                <w:sz w:val="24"/>
                <w:szCs w:val="24"/>
              </w:rPr>
              <w:t>参照《碾压式土石坝设计规范》（SL274-2001）及《堤防工程设计规范》（GB50286-1998），垃圾坝拟定土石坝，坝体主要由开挖的土方填筑碾压而成。</w:t>
            </w:r>
            <w:r>
              <w:rPr>
                <w:rFonts w:hint="eastAsia"/>
                <w:sz w:val="24"/>
                <w:szCs w:val="24"/>
                <w:lang w:eastAsia="zh-CN"/>
              </w:rPr>
              <w:t>工程</w:t>
            </w:r>
            <w:r>
              <w:rPr>
                <w:sz w:val="24"/>
                <w:szCs w:val="24"/>
              </w:rPr>
              <w:t>坝体工程填筑标准为：压实度不小于0.96。为满足堆填作业的需要，垃圾坝内、外放坡均为1:2。坝外坡坡面采用草皮护坡，防止坡表面被雨水冲刷。</w:t>
            </w:r>
          </w:p>
          <w:p>
            <w:pPr>
              <w:adjustRightInd w:val="0"/>
              <w:snapToGrid w:val="0"/>
              <w:spacing w:line="360" w:lineRule="auto"/>
              <w:ind w:firstLine="422"/>
              <w:rPr>
                <w:sz w:val="24"/>
                <w:szCs w:val="24"/>
              </w:rPr>
            </w:pPr>
            <w:r>
              <w:rPr>
                <w:sz w:val="24"/>
                <w:szCs w:val="24"/>
              </w:rPr>
              <w:t>堆填一区下游坝坝顶标高625m，坝中心高5m，坝顶宽4m，坝中心轴线长32.3m，两侧坝面坡度均为1:2；堆填二区下游坝坝顶标高595m，坝中心高5m，坝顶宽4m，坝中心轴线长25.2m，两侧坝面坡度均为1:2。</w:t>
            </w:r>
          </w:p>
          <w:p>
            <w:pPr>
              <w:adjustRightInd w:val="0"/>
              <w:snapToGrid w:val="0"/>
              <w:spacing w:line="360" w:lineRule="auto"/>
              <w:ind w:firstLine="422"/>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截洪沟工程施工方案</w:t>
            </w:r>
          </w:p>
          <w:p>
            <w:pPr>
              <w:adjustRightInd w:val="0"/>
              <w:snapToGrid w:val="0"/>
              <w:spacing w:line="360" w:lineRule="auto"/>
              <w:ind w:firstLine="422"/>
              <w:rPr>
                <w:sz w:val="24"/>
                <w:szCs w:val="24"/>
              </w:rPr>
            </w:pPr>
            <w:r>
              <w:rPr>
                <w:sz w:val="24"/>
                <w:szCs w:val="24"/>
              </w:rPr>
              <w:t>截洪沟纵剖面应沿其平面走向切取。按规范要求，当纵坡大于1:40时，应采用跌水，当纵坡为1:40-1:20时应采用陡坡；当纵坡小于1:20时，可视为平直段，所以，应视截洪沟的纵向坡度，设计不同的泄水渠道，两侧截洪沟的纵向坡度不小于1%。截洪沟采用梯形断面，底宽为0.6m，上口宽0.8m，深度为0.6m。</w:t>
            </w:r>
          </w:p>
          <w:p>
            <w:pPr>
              <w:adjustRightInd w:val="0"/>
              <w:snapToGrid w:val="0"/>
              <w:spacing w:line="360" w:lineRule="auto"/>
              <w:ind w:firstLine="422"/>
              <w:rPr>
                <w:sz w:val="24"/>
                <w:szCs w:val="24"/>
              </w:rPr>
            </w:pPr>
            <w:r>
              <w:rPr>
                <w:sz w:val="24"/>
                <w:szCs w:val="24"/>
              </w:rPr>
              <w:t>根据地形实际情况，截洪沟各段要尽量顺接，在截洪沟的出口断面处，设置消力池。截洪沟上部采用M7.5水泥砂浆砌MU30块石，底部采用C15混凝土垫层，并用水泥砂浆抹面和勾缝。截洪沟每间隔10~15m，设置一齿槽，主要用于防止不均匀沉降和设置截洪沟伸缩缝。</w:t>
            </w:r>
          </w:p>
          <w:p>
            <w:pPr>
              <w:adjustRightInd w:val="0"/>
              <w:snapToGrid w:val="0"/>
              <w:spacing w:line="360" w:lineRule="auto"/>
              <w:ind w:firstLine="422"/>
              <w:rPr>
                <w:sz w:val="24"/>
                <w:szCs w:val="24"/>
              </w:rPr>
            </w:pPr>
            <w:r>
              <w:rPr>
                <w:sz w:val="24"/>
                <w:szCs w:val="24"/>
              </w:rPr>
              <w:fldChar w:fldCharType="begin"/>
            </w:r>
            <w:r>
              <w:rPr>
                <w:sz w:val="24"/>
                <w:szCs w:val="24"/>
              </w:rPr>
              <w:instrText xml:space="preserve"> = 4 \* GB3 </w:instrText>
            </w:r>
            <w:r>
              <w:rPr>
                <w:sz w:val="24"/>
                <w:szCs w:val="24"/>
              </w:rPr>
              <w:fldChar w:fldCharType="separate"/>
            </w:r>
            <w:r>
              <w:rPr>
                <w:rFonts w:ascii="宋体"/>
                <w:sz w:val="24"/>
                <w:szCs w:val="24"/>
              </w:rPr>
              <w:t>④</w:t>
            </w:r>
            <w:r>
              <w:rPr>
                <w:rFonts w:ascii="宋体"/>
                <w:sz w:val="24"/>
                <w:szCs w:val="24"/>
              </w:rPr>
              <w:fldChar w:fldCharType="end"/>
            </w:r>
            <w:r>
              <w:rPr>
                <w:sz w:val="24"/>
                <w:szCs w:val="24"/>
              </w:rPr>
              <w:t>地下水导排工程施工方案</w:t>
            </w:r>
          </w:p>
          <w:p>
            <w:pPr>
              <w:adjustRightInd w:val="0"/>
              <w:snapToGrid w:val="0"/>
              <w:spacing w:line="360" w:lineRule="auto"/>
              <w:ind w:firstLine="480" w:firstLineChars="200"/>
              <w:rPr>
                <w:kern w:val="0"/>
                <w:sz w:val="24"/>
                <w:szCs w:val="24"/>
              </w:rPr>
            </w:pPr>
            <w:r>
              <w:rPr>
                <w:sz w:val="24"/>
                <w:szCs w:val="24"/>
              </w:rPr>
              <w:t>根据场址的具体情况，本工程在库区内设置污水导排盲沟来收集和导排库区内的雨水。污水导排盲沟为矩形断面，底宽0.7m，沟深0.6m，</w:t>
            </w:r>
            <w:r>
              <w:rPr>
                <w:kern w:val="0"/>
                <w:sz w:val="24"/>
                <w:szCs w:val="24"/>
              </w:rPr>
              <w:t>盲沟内埋设一根DN355HDPE穿孔花管，花管周围用卵石填充，盲沟用200g/m</w:t>
            </w:r>
            <w:r>
              <w:rPr>
                <w:kern w:val="0"/>
                <w:sz w:val="24"/>
                <w:szCs w:val="24"/>
                <w:vertAlign w:val="superscript"/>
              </w:rPr>
              <w:t>2</w:t>
            </w:r>
            <w:r>
              <w:rPr>
                <w:kern w:val="0"/>
                <w:sz w:val="24"/>
                <w:szCs w:val="24"/>
              </w:rPr>
              <w:t>的土工滤网包裹。</w:t>
            </w:r>
          </w:p>
          <w:p>
            <w:pPr>
              <w:adjustRightInd w:val="0"/>
              <w:snapToGrid w:val="0"/>
              <w:spacing w:line="360" w:lineRule="auto"/>
              <w:ind w:firstLine="482" w:firstLineChars="200"/>
              <w:rPr>
                <w:b/>
                <w:kern w:val="0"/>
                <w:sz w:val="24"/>
                <w:szCs w:val="24"/>
              </w:rPr>
            </w:pPr>
            <w:r>
              <w:rPr>
                <w:b/>
                <w:kern w:val="0"/>
                <w:sz w:val="24"/>
                <w:szCs w:val="24"/>
              </w:rPr>
              <w:t>2、运营期作业方案</w:t>
            </w:r>
          </w:p>
          <w:p>
            <w:pPr>
              <w:adjustRightInd w:val="0"/>
              <w:snapToGrid w:val="0"/>
              <w:spacing w:line="360" w:lineRule="auto"/>
              <w:ind w:firstLine="480" w:firstLineChars="200"/>
              <w:rPr>
                <w:kern w:val="0"/>
                <w:sz w:val="24"/>
                <w:szCs w:val="24"/>
              </w:rPr>
            </w:pPr>
            <w:r>
              <w:rPr>
                <w:kern w:val="0"/>
                <w:sz w:val="24"/>
                <w:szCs w:val="24"/>
              </w:rPr>
              <w:t>运营期主要是进行建筑垃圾的堆填作业，采用分单元堆填的方式进行，先对堆填二区进行堆填，再对堆填一区进行堆填。建筑垃圾采用车辆运入堆填场，经地磅计量称重后，由专门的运输车辆转移并倾倒在堆填作业区，进行分层摊铺、压实，每层废物摊铺厚度约为0.5m，压实机来回碾压四次，作业过程中洒水降尘；分层压面要求有1：20的坡度，以利于排水。且从作业单元的边坡底部到顶部摊铺，废物压实密度为2t/m</w:t>
            </w:r>
            <w:r>
              <w:rPr>
                <w:kern w:val="0"/>
                <w:sz w:val="24"/>
                <w:szCs w:val="24"/>
                <w:vertAlign w:val="superscript"/>
              </w:rPr>
              <w:t>3</w:t>
            </w:r>
            <w:r>
              <w:rPr>
                <w:kern w:val="0"/>
                <w:sz w:val="24"/>
                <w:szCs w:val="24"/>
              </w:rPr>
              <w:t>，压实度达0.93以上，堆满一层再堆第二层，如此循环进行，每一单元的废物高度为3m，单元作业面为15m</w:t>
            </w:r>
            <w:r>
              <w:rPr>
                <w:rFonts w:ascii="宋体"/>
                <w:kern w:val="0"/>
                <w:sz w:val="24"/>
                <w:szCs w:val="24"/>
              </w:rPr>
              <w:t>╳</w:t>
            </w:r>
            <w:r>
              <w:rPr>
                <w:kern w:val="0"/>
                <w:sz w:val="24"/>
                <w:szCs w:val="24"/>
              </w:rPr>
              <w:t>15m。当堆填单元到达封场高程时按照规范进行终场封场。</w:t>
            </w:r>
          </w:p>
          <w:p>
            <w:pPr>
              <w:adjustRightInd w:val="0"/>
              <w:snapToGrid w:val="0"/>
              <w:spacing w:line="360" w:lineRule="auto"/>
              <w:ind w:firstLine="480" w:firstLineChars="200"/>
              <w:rPr>
                <w:kern w:val="0"/>
                <w:sz w:val="24"/>
                <w:szCs w:val="24"/>
              </w:rPr>
            </w:pPr>
            <w:r>
              <w:rPr>
                <w:kern w:val="0"/>
                <w:sz w:val="24"/>
                <w:szCs w:val="24"/>
              </w:rPr>
              <w:t>压实可以有效的增加堆填场的消纳能力，减少堆填场的沉降量，增加堆积物边坡的稳定性，是堆填场作业中很重要的工序。堆填与压实机械采用履带式推土机和压路机进行推铺、碾压作业。</w:t>
            </w:r>
          </w:p>
          <w:p>
            <w:pPr>
              <w:adjustRightInd w:val="0"/>
              <w:snapToGrid w:val="0"/>
              <w:spacing w:line="360" w:lineRule="auto"/>
              <w:rPr>
                <w:kern w:val="0"/>
                <w:szCs w:val="21"/>
              </w:rPr>
            </w:pPr>
            <w:r>
              <w:rPr>
                <w:kern w:val="0"/>
                <w:szCs w:val="21"/>
              </w:rPr>
              <w:drawing>
                <wp:inline distT="0" distB="0" distL="0" distR="0">
                  <wp:extent cx="4895850" cy="2591435"/>
                  <wp:effectExtent l="0" t="0" r="0" b="18415"/>
                  <wp:docPr id="1" name="图片 1" descr="2-图纸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图纸_20"/>
                          <pic:cNvPicPr>
                            <a:picLocks noChangeAspect="1" noChangeArrowheads="1"/>
                          </pic:cNvPicPr>
                        </pic:nvPicPr>
                        <pic:blipFill>
                          <a:blip r:embed="rId6" cstate="print"/>
                          <a:srcRect l="5278"/>
                          <a:stretch>
                            <a:fillRect/>
                          </a:stretch>
                        </pic:blipFill>
                        <pic:spPr>
                          <a:xfrm>
                            <a:off x="0" y="0"/>
                            <a:ext cx="4895850" cy="259143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kern w:val="0"/>
                <w:szCs w:val="21"/>
              </w:rPr>
            </w:pPr>
            <w:r>
              <w:rPr>
                <w:kern w:val="0"/>
                <w:szCs w:val="21"/>
              </w:rPr>
              <w:t>图2-2作业工艺示意图</w:t>
            </w:r>
          </w:p>
          <w:p>
            <w:pPr>
              <w:adjustRightInd w:val="0"/>
              <w:snapToGrid w:val="0"/>
              <w:spacing w:line="360" w:lineRule="auto"/>
              <w:ind w:firstLine="482" w:firstLineChars="200"/>
              <w:jc w:val="left"/>
              <w:rPr>
                <w:b/>
                <w:kern w:val="0"/>
                <w:sz w:val="24"/>
                <w:szCs w:val="24"/>
              </w:rPr>
            </w:pPr>
            <w:r>
              <w:rPr>
                <w:b/>
                <w:kern w:val="0"/>
                <w:sz w:val="24"/>
                <w:szCs w:val="24"/>
              </w:rPr>
              <w:t>主要生产设备</w:t>
            </w:r>
          </w:p>
          <w:p>
            <w:pPr>
              <w:adjustRightInd w:val="0"/>
              <w:snapToGrid w:val="0"/>
              <w:spacing w:line="360" w:lineRule="auto"/>
              <w:ind w:firstLine="480" w:firstLineChars="200"/>
              <w:jc w:val="left"/>
              <w:rPr>
                <w:kern w:val="0"/>
                <w:sz w:val="24"/>
                <w:szCs w:val="24"/>
              </w:rPr>
            </w:pPr>
            <w:r>
              <w:rPr>
                <w:kern w:val="0"/>
                <w:sz w:val="24"/>
                <w:szCs w:val="24"/>
              </w:rPr>
              <w:t>本工程主要生产设备间表2-2。</w:t>
            </w:r>
          </w:p>
          <w:p>
            <w:pPr>
              <w:adjustRightInd w:val="0"/>
              <w:snapToGrid w:val="0"/>
              <w:ind w:firstLine="420" w:firstLineChars="200"/>
              <w:jc w:val="center"/>
              <w:rPr>
                <w:kern w:val="0"/>
                <w:szCs w:val="21"/>
              </w:rPr>
            </w:pPr>
            <w:r>
              <w:rPr>
                <w:kern w:val="0"/>
                <w:szCs w:val="21"/>
              </w:rPr>
              <w:t>表2-2主要生产设备一览表</w:t>
            </w:r>
          </w:p>
          <w:tbl>
            <w:tblPr>
              <w:tblStyle w:val="23"/>
              <w:tblW w:w="8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adjustRightInd w:val="0"/>
                    <w:snapToGrid w:val="0"/>
                    <w:jc w:val="center"/>
                    <w:rPr>
                      <w:kern w:val="0"/>
                      <w:szCs w:val="21"/>
                    </w:rPr>
                  </w:pPr>
                  <w:r>
                    <w:rPr>
                      <w:kern w:val="0"/>
                      <w:szCs w:val="21"/>
                    </w:rPr>
                    <w:t>序号</w:t>
                  </w:r>
                </w:p>
              </w:tc>
              <w:tc>
                <w:tcPr>
                  <w:tcW w:w="1630" w:type="dxa"/>
                  <w:vAlign w:val="center"/>
                </w:tcPr>
                <w:p>
                  <w:pPr>
                    <w:adjustRightInd w:val="0"/>
                    <w:snapToGrid w:val="0"/>
                    <w:jc w:val="center"/>
                    <w:rPr>
                      <w:kern w:val="0"/>
                      <w:szCs w:val="21"/>
                    </w:rPr>
                  </w:pPr>
                  <w:r>
                    <w:rPr>
                      <w:kern w:val="0"/>
                      <w:szCs w:val="21"/>
                    </w:rPr>
                    <w:t>设备名称</w:t>
                  </w:r>
                </w:p>
              </w:tc>
              <w:tc>
                <w:tcPr>
                  <w:tcW w:w="1630" w:type="dxa"/>
                  <w:vAlign w:val="center"/>
                </w:tcPr>
                <w:p>
                  <w:pPr>
                    <w:adjustRightInd w:val="0"/>
                    <w:snapToGrid w:val="0"/>
                    <w:jc w:val="center"/>
                    <w:rPr>
                      <w:kern w:val="0"/>
                      <w:szCs w:val="21"/>
                    </w:rPr>
                  </w:pPr>
                  <w:r>
                    <w:rPr>
                      <w:kern w:val="0"/>
                      <w:szCs w:val="21"/>
                    </w:rPr>
                    <w:t>规格</w:t>
                  </w:r>
                </w:p>
              </w:tc>
              <w:tc>
                <w:tcPr>
                  <w:tcW w:w="1630" w:type="dxa"/>
                  <w:vAlign w:val="center"/>
                </w:tcPr>
                <w:p>
                  <w:pPr>
                    <w:adjustRightInd w:val="0"/>
                    <w:snapToGrid w:val="0"/>
                    <w:jc w:val="center"/>
                    <w:rPr>
                      <w:kern w:val="0"/>
                      <w:szCs w:val="21"/>
                    </w:rPr>
                  </w:pPr>
                  <w:r>
                    <w:rPr>
                      <w:kern w:val="0"/>
                      <w:szCs w:val="21"/>
                    </w:rPr>
                    <w:t>单位</w:t>
                  </w:r>
                </w:p>
              </w:tc>
              <w:tc>
                <w:tcPr>
                  <w:tcW w:w="1630" w:type="dxa"/>
                  <w:vAlign w:val="center"/>
                </w:tcPr>
                <w:p>
                  <w:pPr>
                    <w:adjustRightInd w:val="0"/>
                    <w:snapToGrid w:val="0"/>
                    <w:jc w:val="center"/>
                    <w:rPr>
                      <w:kern w:val="0"/>
                      <w:szCs w:val="21"/>
                    </w:rPr>
                  </w:pPr>
                  <w:r>
                    <w:rPr>
                      <w:kern w:val="0"/>
                      <w:szCs w:val="21"/>
                    </w:rPr>
                    <w:t>数量</w:t>
                  </w:r>
                </w:p>
              </w:tc>
            </w:tr>
            <w:tr>
              <w:tblPrEx>
                <w:tblLayout w:type="fixed"/>
                <w:tblCellMar>
                  <w:top w:w="0" w:type="dxa"/>
                  <w:left w:w="108" w:type="dxa"/>
                  <w:bottom w:w="0" w:type="dxa"/>
                  <w:right w:w="108" w:type="dxa"/>
                </w:tblCellMar>
              </w:tblPrEx>
              <w:trPr>
                <w:trHeight w:val="217" w:hRule="atLeast"/>
              </w:trPr>
              <w:tc>
                <w:tcPr>
                  <w:tcW w:w="1629" w:type="dxa"/>
                  <w:vAlign w:val="center"/>
                </w:tcPr>
                <w:p>
                  <w:pPr>
                    <w:adjustRightInd w:val="0"/>
                    <w:snapToGrid w:val="0"/>
                    <w:jc w:val="center"/>
                    <w:rPr>
                      <w:kern w:val="0"/>
                      <w:szCs w:val="21"/>
                    </w:rPr>
                  </w:pPr>
                  <w:r>
                    <w:rPr>
                      <w:kern w:val="0"/>
                      <w:szCs w:val="21"/>
                    </w:rPr>
                    <w:t>1</w:t>
                  </w:r>
                </w:p>
              </w:tc>
              <w:tc>
                <w:tcPr>
                  <w:tcW w:w="1630" w:type="dxa"/>
                  <w:vAlign w:val="center"/>
                </w:tcPr>
                <w:p>
                  <w:pPr>
                    <w:adjustRightInd w:val="0"/>
                    <w:snapToGrid w:val="0"/>
                    <w:jc w:val="center"/>
                    <w:rPr>
                      <w:kern w:val="0"/>
                      <w:szCs w:val="21"/>
                    </w:rPr>
                  </w:pPr>
                  <w:r>
                    <w:rPr>
                      <w:kern w:val="0"/>
                      <w:szCs w:val="21"/>
                    </w:rPr>
                    <w:t>地磅</w:t>
                  </w:r>
                </w:p>
              </w:tc>
              <w:tc>
                <w:tcPr>
                  <w:tcW w:w="1630" w:type="dxa"/>
                  <w:vAlign w:val="center"/>
                </w:tcPr>
                <w:p>
                  <w:pPr>
                    <w:adjustRightInd w:val="0"/>
                    <w:snapToGrid w:val="0"/>
                    <w:jc w:val="center"/>
                    <w:rPr>
                      <w:kern w:val="0"/>
                      <w:szCs w:val="21"/>
                    </w:rPr>
                  </w:pPr>
                  <w:r>
                    <w:rPr>
                      <w:kern w:val="0"/>
                      <w:szCs w:val="21"/>
                    </w:rPr>
                    <w:t>50T</w:t>
                  </w:r>
                </w:p>
              </w:tc>
              <w:tc>
                <w:tcPr>
                  <w:tcW w:w="1630" w:type="dxa"/>
                  <w:vAlign w:val="center"/>
                </w:tcPr>
                <w:p>
                  <w:pPr>
                    <w:adjustRightInd w:val="0"/>
                    <w:snapToGrid w:val="0"/>
                    <w:jc w:val="center"/>
                    <w:rPr>
                      <w:kern w:val="0"/>
                      <w:szCs w:val="21"/>
                    </w:rPr>
                  </w:pPr>
                  <w:r>
                    <w:rPr>
                      <w:kern w:val="0"/>
                      <w:szCs w:val="21"/>
                    </w:rPr>
                    <w:t>台</w:t>
                  </w:r>
                </w:p>
              </w:tc>
              <w:tc>
                <w:tcPr>
                  <w:tcW w:w="1630" w:type="dxa"/>
                  <w:vAlign w:val="center"/>
                </w:tcPr>
                <w:p>
                  <w:pPr>
                    <w:adjustRightInd w:val="0"/>
                    <w:snapToGrid w:val="0"/>
                    <w:jc w:val="center"/>
                    <w:rPr>
                      <w:kern w:val="0"/>
                      <w:szCs w:val="21"/>
                    </w:rPr>
                  </w:pPr>
                  <w:r>
                    <w:rPr>
                      <w:kern w:val="0"/>
                      <w:szCs w:val="21"/>
                    </w:rPr>
                    <w:t>1</w:t>
                  </w:r>
                </w:p>
              </w:tc>
            </w:tr>
            <w:tr>
              <w:tblPrEx>
                <w:tblLayout w:type="fixed"/>
                <w:tblCellMar>
                  <w:top w:w="0" w:type="dxa"/>
                  <w:left w:w="108" w:type="dxa"/>
                  <w:bottom w:w="0" w:type="dxa"/>
                  <w:right w:w="108" w:type="dxa"/>
                </w:tblCellMar>
              </w:tblPrEx>
              <w:tc>
                <w:tcPr>
                  <w:tcW w:w="1629" w:type="dxa"/>
                  <w:vAlign w:val="center"/>
                </w:tcPr>
                <w:p>
                  <w:pPr>
                    <w:adjustRightInd w:val="0"/>
                    <w:snapToGrid w:val="0"/>
                    <w:jc w:val="center"/>
                    <w:rPr>
                      <w:kern w:val="0"/>
                      <w:szCs w:val="21"/>
                    </w:rPr>
                  </w:pPr>
                  <w:r>
                    <w:rPr>
                      <w:kern w:val="0"/>
                      <w:szCs w:val="21"/>
                    </w:rPr>
                    <w:t>2</w:t>
                  </w:r>
                </w:p>
              </w:tc>
              <w:tc>
                <w:tcPr>
                  <w:tcW w:w="1630" w:type="dxa"/>
                  <w:vAlign w:val="center"/>
                </w:tcPr>
                <w:p>
                  <w:pPr>
                    <w:adjustRightInd w:val="0"/>
                    <w:snapToGrid w:val="0"/>
                    <w:jc w:val="center"/>
                    <w:rPr>
                      <w:kern w:val="0"/>
                      <w:szCs w:val="21"/>
                    </w:rPr>
                  </w:pPr>
                  <w:r>
                    <w:rPr>
                      <w:kern w:val="0"/>
                      <w:szCs w:val="21"/>
                    </w:rPr>
                    <w:t>自卸车</w:t>
                  </w:r>
                </w:p>
              </w:tc>
              <w:tc>
                <w:tcPr>
                  <w:tcW w:w="1630"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V=0.8m</w:t>
                  </w:r>
                  <w:r>
                    <w:rPr>
                      <w:rFonts w:hint="eastAsia"/>
                      <w:kern w:val="0"/>
                      <w:szCs w:val="21"/>
                      <w:vertAlign w:val="superscript"/>
                      <w:lang w:val="en-US" w:eastAsia="zh-CN"/>
                    </w:rPr>
                    <w:t>3</w:t>
                  </w:r>
                </w:p>
              </w:tc>
              <w:tc>
                <w:tcPr>
                  <w:tcW w:w="1630" w:type="dxa"/>
                  <w:vAlign w:val="center"/>
                </w:tcPr>
                <w:p>
                  <w:pPr>
                    <w:adjustRightInd w:val="0"/>
                    <w:snapToGrid w:val="0"/>
                    <w:jc w:val="center"/>
                    <w:rPr>
                      <w:kern w:val="0"/>
                      <w:szCs w:val="21"/>
                    </w:rPr>
                  </w:pPr>
                  <w:r>
                    <w:rPr>
                      <w:kern w:val="0"/>
                      <w:szCs w:val="21"/>
                    </w:rPr>
                    <w:t>辆</w:t>
                  </w:r>
                </w:p>
              </w:tc>
              <w:tc>
                <w:tcPr>
                  <w:tcW w:w="1630" w:type="dxa"/>
                  <w:vAlign w:val="center"/>
                </w:tcPr>
                <w:p>
                  <w:pPr>
                    <w:adjustRightInd w:val="0"/>
                    <w:snapToGrid w:val="0"/>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adjustRightInd w:val="0"/>
                    <w:snapToGrid w:val="0"/>
                    <w:jc w:val="center"/>
                    <w:rPr>
                      <w:kern w:val="0"/>
                      <w:szCs w:val="21"/>
                    </w:rPr>
                  </w:pPr>
                  <w:r>
                    <w:rPr>
                      <w:kern w:val="0"/>
                      <w:szCs w:val="21"/>
                    </w:rPr>
                    <w:t>3</w:t>
                  </w:r>
                </w:p>
              </w:tc>
              <w:tc>
                <w:tcPr>
                  <w:tcW w:w="1630" w:type="dxa"/>
                  <w:vAlign w:val="center"/>
                </w:tcPr>
                <w:p>
                  <w:pPr>
                    <w:adjustRightInd w:val="0"/>
                    <w:snapToGrid w:val="0"/>
                    <w:jc w:val="center"/>
                    <w:rPr>
                      <w:kern w:val="0"/>
                      <w:szCs w:val="21"/>
                    </w:rPr>
                  </w:pPr>
                  <w:r>
                    <w:rPr>
                      <w:kern w:val="0"/>
                      <w:szCs w:val="21"/>
                    </w:rPr>
                    <w:t>推土机</w:t>
                  </w:r>
                </w:p>
              </w:tc>
              <w:tc>
                <w:tcPr>
                  <w:tcW w:w="1630"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220HP</w:t>
                  </w:r>
                </w:p>
              </w:tc>
              <w:tc>
                <w:tcPr>
                  <w:tcW w:w="1630" w:type="dxa"/>
                  <w:vAlign w:val="center"/>
                </w:tcPr>
                <w:p>
                  <w:pPr>
                    <w:adjustRightInd w:val="0"/>
                    <w:snapToGrid w:val="0"/>
                    <w:jc w:val="center"/>
                    <w:rPr>
                      <w:kern w:val="0"/>
                      <w:szCs w:val="21"/>
                    </w:rPr>
                  </w:pPr>
                  <w:r>
                    <w:rPr>
                      <w:kern w:val="0"/>
                      <w:szCs w:val="21"/>
                    </w:rPr>
                    <w:t>台</w:t>
                  </w:r>
                </w:p>
              </w:tc>
              <w:tc>
                <w:tcPr>
                  <w:tcW w:w="1630" w:type="dxa"/>
                  <w:vAlign w:val="center"/>
                </w:tcPr>
                <w:p>
                  <w:pPr>
                    <w:adjustRightInd w:val="0"/>
                    <w:snapToGrid w:val="0"/>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adjustRightInd w:val="0"/>
                    <w:snapToGrid w:val="0"/>
                    <w:jc w:val="center"/>
                    <w:rPr>
                      <w:kern w:val="0"/>
                      <w:szCs w:val="21"/>
                    </w:rPr>
                  </w:pPr>
                  <w:r>
                    <w:rPr>
                      <w:kern w:val="0"/>
                      <w:szCs w:val="21"/>
                    </w:rPr>
                    <w:t>4</w:t>
                  </w:r>
                </w:p>
              </w:tc>
              <w:tc>
                <w:tcPr>
                  <w:tcW w:w="1630" w:type="dxa"/>
                  <w:vAlign w:val="center"/>
                </w:tcPr>
                <w:p>
                  <w:pPr>
                    <w:adjustRightInd w:val="0"/>
                    <w:snapToGrid w:val="0"/>
                    <w:jc w:val="center"/>
                    <w:rPr>
                      <w:kern w:val="0"/>
                      <w:szCs w:val="21"/>
                    </w:rPr>
                  </w:pPr>
                  <w:r>
                    <w:rPr>
                      <w:kern w:val="0"/>
                      <w:szCs w:val="21"/>
                    </w:rPr>
                    <w:t>压路机</w:t>
                  </w:r>
                </w:p>
              </w:tc>
              <w:tc>
                <w:tcPr>
                  <w:tcW w:w="1630"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32T</w:t>
                  </w:r>
                </w:p>
              </w:tc>
              <w:tc>
                <w:tcPr>
                  <w:tcW w:w="1630" w:type="dxa"/>
                  <w:vAlign w:val="center"/>
                </w:tcPr>
                <w:p>
                  <w:pPr>
                    <w:adjustRightInd w:val="0"/>
                    <w:snapToGrid w:val="0"/>
                    <w:jc w:val="center"/>
                    <w:rPr>
                      <w:kern w:val="0"/>
                      <w:szCs w:val="21"/>
                    </w:rPr>
                  </w:pPr>
                  <w:r>
                    <w:rPr>
                      <w:kern w:val="0"/>
                      <w:szCs w:val="21"/>
                    </w:rPr>
                    <w:t>台</w:t>
                  </w:r>
                </w:p>
              </w:tc>
              <w:tc>
                <w:tcPr>
                  <w:tcW w:w="1630" w:type="dxa"/>
                  <w:vAlign w:val="center"/>
                </w:tcPr>
                <w:p>
                  <w:pPr>
                    <w:adjustRightInd w:val="0"/>
                    <w:snapToGrid w:val="0"/>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adjustRightInd w:val="0"/>
                    <w:snapToGrid w:val="0"/>
                    <w:jc w:val="center"/>
                    <w:rPr>
                      <w:kern w:val="0"/>
                      <w:szCs w:val="21"/>
                    </w:rPr>
                  </w:pPr>
                  <w:r>
                    <w:rPr>
                      <w:kern w:val="0"/>
                      <w:szCs w:val="21"/>
                    </w:rPr>
                    <w:t>5</w:t>
                  </w:r>
                </w:p>
              </w:tc>
              <w:tc>
                <w:tcPr>
                  <w:tcW w:w="1630" w:type="dxa"/>
                  <w:vAlign w:val="center"/>
                </w:tcPr>
                <w:p>
                  <w:pPr>
                    <w:adjustRightInd w:val="0"/>
                    <w:snapToGrid w:val="0"/>
                    <w:jc w:val="center"/>
                    <w:rPr>
                      <w:kern w:val="0"/>
                      <w:szCs w:val="21"/>
                    </w:rPr>
                  </w:pPr>
                  <w:r>
                    <w:rPr>
                      <w:kern w:val="0"/>
                      <w:szCs w:val="21"/>
                    </w:rPr>
                    <w:t>洒水车</w:t>
                  </w:r>
                </w:p>
              </w:tc>
              <w:tc>
                <w:tcPr>
                  <w:tcW w:w="1630" w:type="dxa"/>
                  <w:vAlign w:val="center"/>
                </w:tcPr>
                <w:p>
                  <w:pPr>
                    <w:adjustRightInd w:val="0"/>
                    <w:snapToGrid w:val="0"/>
                    <w:jc w:val="center"/>
                    <w:rPr>
                      <w:kern w:val="0"/>
                      <w:szCs w:val="21"/>
                    </w:rPr>
                  </w:pPr>
                  <w:r>
                    <w:rPr>
                      <w:rFonts w:hint="eastAsia"/>
                      <w:kern w:val="0"/>
                      <w:szCs w:val="21"/>
                      <w:lang w:val="en-US" w:eastAsia="zh-CN"/>
                    </w:rPr>
                    <w:t>V=1.0m</w:t>
                  </w:r>
                  <w:r>
                    <w:rPr>
                      <w:rFonts w:hint="eastAsia"/>
                      <w:kern w:val="0"/>
                      <w:szCs w:val="21"/>
                      <w:vertAlign w:val="superscript"/>
                      <w:lang w:val="en-US" w:eastAsia="zh-CN"/>
                    </w:rPr>
                    <w:t>3</w:t>
                  </w:r>
                </w:p>
              </w:tc>
              <w:tc>
                <w:tcPr>
                  <w:tcW w:w="1630" w:type="dxa"/>
                  <w:vAlign w:val="center"/>
                </w:tcPr>
                <w:p>
                  <w:pPr>
                    <w:adjustRightInd w:val="0"/>
                    <w:snapToGrid w:val="0"/>
                    <w:jc w:val="center"/>
                    <w:rPr>
                      <w:kern w:val="0"/>
                      <w:szCs w:val="21"/>
                    </w:rPr>
                  </w:pPr>
                  <w:r>
                    <w:rPr>
                      <w:kern w:val="0"/>
                      <w:szCs w:val="21"/>
                    </w:rPr>
                    <w:t>辆</w:t>
                  </w:r>
                </w:p>
              </w:tc>
              <w:tc>
                <w:tcPr>
                  <w:tcW w:w="1630" w:type="dxa"/>
                  <w:vAlign w:val="center"/>
                </w:tcPr>
                <w:p>
                  <w:pPr>
                    <w:adjustRightInd w:val="0"/>
                    <w:snapToGrid w:val="0"/>
                    <w:jc w:val="center"/>
                    <w:rPr>
                      <w:kern w:val="0"/>
                      <w:szCs w:val="21"/>
                    </w:rPr>
                  </w:pPr>
                  <w:r>
                    <w:rPr>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vAlign w:val="center"/>
                </w:tcPr>
                <w:p>
                  <w:pPr>
                    <w:adjustRightInd w:val="0"/>
                    <w:snapToGrid w:val="0"/>
                    <w:jc w:val="center"/>
                    <w:rPr>
                      <w:kern w:val="0"/>
                      <w:szCs w:val="21"/>
                    </w:rPr>
                  </w:pPr>
                  <w:r>
                    <w:rPr>
                      <w:kern w:val="0"/>
                      <w:szCs w:val="21"/>
                    </w:rPr>
                    <w:t>6</w:t>
                  </w:r>
                </w:p>
              </w:tc>
              <w:tc>
                <w:tcPr>
                  <w:tcW w:w="1630" w:type="dxa"/>
                  <w:vAlign w:val="center"/>
                </w:tcPr>
                <w:p>
                  <w:pPr>
                    <w:adjustRightInd w:val="0"/>
                    <w:snapToGrid w:val="0"/>
                    <w:jc w:val="center"/>
                    <w:rPr>
                      <w:kern w:val="0"/>
                      <w:szCs w:val="21"/>
                    </w:rPr>
                  </w:pPr>
                  <w:r>
                    <w:rPr>
                      <w:kern w:val="0"/>
                      <w:szCs w:val="21"/>
                    </w:rPr>
                    <w:t>潜水泵</w:t>
                  </w:r>
                </w:p>
              </w:tc>
              <w:tc>
                <w:tcPr>
                  <w:tcW w:w="1630"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Q=20m</w:t>
                  </w:r>
                  <w:r>
                    <w:rPr>
                      <w:rFonts w:hint="eastAsia"/>
                      <w:kern w:val="0"/>
                      <w:szCs w:val="21"/>
                      <w:vertAlign w:val="superscript"/>
                      <w:lang w:val="en-US" w:eastAsia="zh-CN"/>
                    </w:rPr>
                    <w:t>3</w:t>
                  </w:r>
                  <w:r>
                    <w:rPr>
                      <w:rFonts w:hint="eastAsia"/>
                      <w:kern w:val="0"/>
                      <w:szCs w:val="21"/>
                      <w:lang w:val="en-US" w:eastAsia="zh-CN"/>
                    </w:rPr>
                    <w:t>/h</w:t>
                  </w:r>
                </w:p>
              </w:tc>
              <w:tc>
                <w:tcPr>
                  <w:tcW w:w="1630" w:type="dxa"/>
                  <w:vAlign w:val="center"/>
                </w:tcPr>
                <w:p>
                  <w:pPr>
                    <w:adjustRightInd w:val="0"/>
                    <w:snapToGrid w:val="0"/>
                    <w:jc w:val="center"/>
                    <w:rPr>
                      <w:kern w:val="0"/>
                      <w:szCs w:val="21"/>
                    </w:rPr>
                  </w:pPr>
                  <w:r>
                    <w:rPr>
                      <w:kern w:val="0"/>
                      <w:szCs w:val="21"/>
                    </w:rPr>
                    <w:t>台</w:t>
                  </w:r>
                </w:p>
              </w:tc>
              <w:tc>
                <w:tcPr>
                  <w:tcW w:w="1630" w:type="dxa"/>
                  <w:vAlign w:val="center"/>
                </w:tcPr>
                <w:p>
                  <w:pPr>
                    <w:adjustRightInd w:val="0"/>
                    <w:snapToGrid w:val="0"/>
                    <w:jc w:val="center"/>
                    <w:rPr>
                      <w:kern w:val="0"/>
                      <w:szCs w:val="21"/>
                    </w:rPr>
                  </w:pPr>
                  <w:r>
                    <w:rPr>
                      <w:kern w:val="0"/>
                      <w:szCs w:val="21"/>
                    </w:rPr>
                    <w:t>2</w:t>
                  </w:r>
                </w:p>
              </w:tc>
            </w:tr>
          </w:tbl>
          <w:p>
            <w:pPr>
              <w:adjustRightInd w:val="0"/>
              <w:snapToGrid w:val="0"/>
              <w:spacing w:line="360" w:lineRule="auto"/>
              <w:ind w:firstLine="420" w:firstLineChars="200"/>
              <w:jc w:val="lef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jc w:val="center"/>
        </w:trPr>
        <w:tc>
          <w:tcPr>
            <w:tcW w:w="710" w:type="dxa"/>
            <w:vAlign w:val="center"/>
          </w:tcPr>
          <w:p>
            <w:pPr>
              <w:adjustRightInd w:val="0"/>
              <w:snapToGrid w:val="0"/>
              <w:jc w:val="center"/>
              <w:rPr>
                <w:kern w:val="0"/>
                <w:sz w:val="24"/>
                <w:szCs w:val="24"/>
              </w:rPr>
            </w:pPr>
            <w:r>
              <w:rPr>
                <w:kern w:val="0"/>
                <w:sz w:val="24"/>
                <w:szCs w:val="24"/>
              </w:rPr>
              <w:t>其他</w:t>
            </w:r>
          </w:p>
        </w:tc>
        <w:tc>
          <w:tcPr>
            <w:tcW w:w="8380" w:type="dxa"/>
            <w:vAlign w:val="bottom"/>
          </w:tcPr>
          <w:p>
            <w:pPr>
              <w:adjustRightInd w:val="0"/>
              <w:snapToGrid w:val="0"/>
              <w:spacing w:line="360" w:lineRule="auto"/>
              <w:ind w:firstLine="480" w:firstLineChars="200"/>
              <w:jc w:val="center"/>
              <w:rPr>
                <w:sz w:val="24"/>
                <w:szCs w:val="24"/>
              </w:rPr>
            </w:pPr>
            <w:r>
              <w:rPr>
                <w:sz w:val="24"/>
                <w:szCs w:val="24"/>
              </w:rPr>
              <w:t>无</w:t>
            </w:r>
          </w:p>
        </w:tc>
      </w:tr>
    </w:tbl>
    <w:p>
      <w:pPr>
        <w:pStyle w:val="18"/>
        <w:jc w:val="center"/>
        <w:outlineLvl w:val="0"/>
        <w:rPr>
          <w:rFonts w:ascii="Times New Roman" w:hAnsi="Times New Roman" w:eastAsia="黑体"/>
          <w:snapToGrid w:val="0"/>
          <w:sz w:val="30"/>
          <w:szCs w:val="30"/>
        </w:rPr>
      </w:pPr>
      <w:r>
        <w:rPr>
          <w:rFonts w:ascii="Times New Roman" w:hAnsi="Times New Roman" w:eastAsia="仿宋_GB2312"/>
          <w:b/>
          <w:bCs/>
        </w:rPr>
        <w:br w:type="page"/>
      </w:r>
      <w:r>
        <w:rPr>
          <w:rFonts w:ascii="Times New Roman" w:hAnsi="Times New Roman" w:eastAsia="黑体"/>
          <w:snapToGrid w:val="0"/>
          <w:sz w:val="30"/>
          <w:szCs w:val="30"/>
        </w:rPr>
        <w:t>三、生态环境现状、保护目标及评价标准</w:t>
      </w:r>
    </w:p>
    <w:tbl>
      <w:tblPr>
        <w:tblStyle w:val="23"/>
        <w:tblW w:w="91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jc w:val="center"/>
        </w:trPr>
        <w:tc>
          <w:tcPr>
            <w:tcW w:w="755" w:type="dxa"/>
            <w:vAlign w:val="center"/>
          </w:tcPr>
          <w:p>
            <w:pPr>
              <w:adjustRightInd w:val="0"/>
              <w:snapToGrid w:val="0"/>
              <w:jc w:val="center"/>
              <w:rPr>
                <w:kern w:val="0"/>
                <w:szCs w:val="21"/>
              </w:rPr>
            </w:pPr>
            <w:r>
              <w:rPr>
                <w:kern w:val="0"/>
                <w:sz w:val="24"/>
                <w:szCs w:val="24"/>
              </w:rPr>
              <w:t>生态环境现状</w:t>
            </w:r>
          </w:p>
        </w:tc>
        <w:tc>
          <w:tcPr>
            <w:tcW w:w="8402" w:type="dxa"/>
            <w:vAlign w:val="center"/>
          </w:tcPr>
          <w:p>
            <w:pPr>
              <w:spacing w:line="360" w:lineRule="auto"/>
              <w:ind w:firstLine="482" w:firstLineChars="200"/>
              <w:rPr>
                <w:b/>
                <w:bCs/>
                <w:sz w:val="24"/>
                <w:szCs w:val="24"/>
              </w:rPr>
            </w:pPr>
            <w:r>
              <w:rPr>
                <w:b/>
                <w:bCs/>
                <w:sz w:val="24"/>
                <w:szCs w:val="24"/>
              </w:rPr>
              <w:t>1、环境空气质量现状</w:t>
            </w:r>
          </w:p>
          <w:p>
            <w:pPr>
              <w:pStyle w:val="2"/>
              <w:spacing w:line="360" w:lineRule="auto"/>
              <w:ind w:firstLine="482" w:firstLineChars="200"/>
              <w:rPr>
                <w:rFonts w:ascii="Times New Roman" w:eastAsia="宋体" w:cs="Times New Roman"/>
                <w:b/>
                <w:color w:val="auto"/>
                <w:kern w:val="2"/>
                <w:sz w:val="24"/>
                <w:szCs w:val="24"/>
              </w:rPr>
            </w:pPr>
            <w:r>
              <w:rPr>
                <w:rFonts w:ascii="Times New Roman" w:eastAsia="宋体" w:cs="Times New Roman"/>
                <w:b/>
                <w:color w:val="auto"/>
                <w:kern w:val="2"/>
                <w:sz w:val="24"/>
                <w:szCs w:val="24"/>
              </w:rPr>
              <w:t>（1）基本污染物</w:t>
            </w:r>
          </w:p>
          <w:p>
            <w:pPr>
              <w:spacing w:line="360" w:lineRule="auto"/>
              <w:ind w:firstLine="480" w:firstLineChars="200"/>
              <w:rPr>
                <w:sz w:val="24"/>
                <w:szCs w:val="24"/>
              </w:rPr>
            </w:pPr>
            <w:r>
              <w:rPr>
                <w:sz w:val="24"/>
                <w:szCs w:val="24"/>
              </w:rPr>
              <w:t>本次评价常规污染物引用陕西省生态环境厅办公室发布的《环保快报》2020年12月及1~12月全省环境空气质量状况中丹凤县空气质量情况统计数据，来分析</w:t>
            </w:r>
            <w:r>
              <w:rPr>
                <w:rFonts w:hint="eastAsia"/>
                <w:sz w:val="24"/>
                <w:szCs w:val="24"/>
                <w:lang w:eastAsia="zh-CN"/>
              </w:rPr>
              <w:t>工程</w:t>
            </w:r>
            <w:r>
              <w:rPr>
                <w:sz w:val="24"/>
                <w:szCs w:val="24"/>
              </w:rPr>
              <w:t>所在地的大气环境质量现状。空气质量情况统计数据如下表3-1。</w:t>
            </w:r>
          </w:p>
          <w:p>
            <w:pPr>
              <w:widowControl/>
              <w:jc w:val="center"/>
              <w:rPr>
                <w:bCs/>
                <w:szCs w:val="21"/>
              </w:rPr>
            </w:pPr>
            <w:r>
              <w:rPr>
                <w:bCs/>
                <w:szCs w:val="21"/>
              </w:rPr>
              <w:t>表3-1丹凤县空气质量情况统计表</w:t>
            </w:r>
          </w:p>
          <w:tbl>
            <w:tblPr>
              <w:tblStyle w:val="23"/>
              <w:tblW w:w="7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963"/>
              <w:gridCol w:w="1255"/>
              <w:gridCol w:w="1170"/>
              <w:gridCol w:w="132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bCs/>
                      <w:szCs w:val="21"/>
                    </w:rPr>
                  </w:pPr>
                  <w:r>
                    <w:rPr>
                      <w:bCs/>
                      <w:szCs w:val="21"/>
                    </w:rPr>
                    <w:t>污染物</w:t>
                  </w:r>
                </w:p>
              </w:tc>
              <w:tc>
                <w:tcPr>
                  <w:tcW w:w="1963" w:type="dxa"/>
                  <w:vAlign w:val="center"/>
                </w:tcPr>
                <w:p>
                  <w:pPr>
                    <w:adjustRightInd w:val="0"/>
                    <w:snapToGrid w:val="0"/>
                    <w:jc w:val="center"/>
                    <w:rPr>
                      <w:bCs/>
                      <w:szCs w:val="21"/>
                    </w:rPr>
                  </w:pPr>
                  <w:r>
                    <w:rPr>
                      <w:bCs/>
                      <w:szCs w:val="21"/>
                    </w:rPr>
                    <w:t>年评价指标</w:t>
                  </w:r>
                </w:p>
              </w:tc>
              <w:tc>
                <w:tcPr>
                  <w:tcW w:w="1255" w:type="dxa"/>
                  <w:vAlign w:val="center"/>
                </w:tcPr>
                <w:p>
                  <w:pPr>
                    <w:adjustRightInd w:val="0"/>
                    <w:snapToGrid w:val="0"/>
                    <w:jc w:val="center"/>
                    <w:rPr>
                      <w:bCs/>
                      <w:szCs w:val="21"/>
                    </w:rPr>
                  </w:pPr>
                  <w:r>
                    <w:rPr>
                      <w:bCs/>
                      <w:szCs w:val="21"/>
                    </w:rPr>
                    <w:t>现状浓度/（ug/m</w:t>
                  </w:r>
                  <w:r>
                    <w:rPr>
                      <w:bCs/>
                      <w:szCs w:val="21"/>
                      <w:vertAlign w:val="superscript"/>
                    </w:rPr>
                    <w:t>3</w:t>
                  </w:r>
                  <w:r>
                    <w:rPr>
                      <w:bCs/>
                      <w:szCs w:val="21"/>
                    </w:rPr>
                    <w:t>）</w:t>
                  </w:r>
                </w:p>
              </w:tc>
              <w:tc>
                <w:tcPr>
                  <w:tcW w:w="1170" w:type="dxa"/>
                  <w:vAlign w:val="center"/>
                </w:tcPr>
                <w:p>
                  <w:pPr>
                    <w:adjustRightInd w:val="0"/>
                    <w:snapToGrid w:val="0"/>
                    <w:jc w:val="center"/>
                    <w:rPr>
                      <w:bCs/>
                      <w:szCs w:val="21"/>
                    </w:rPr>
                  </w:pPr>
                  <w:r>
                    <w:rPr>
                      <w:bCs/>
                      <w:szCs w:val="21"/>
                    </w:rPr>
                    <w:t>标准值/（ug/m</w:t>
                  </w:r>
                  <w:r>
                    <w:rPr>
                      <w:bCs/>
                      <w:szCs w:val="21"/>
                      <w:vertAlign w:val="superscript"/>
                    </w:rPr>
                    <w:t>3</w:t>
                  </w:r>
                  <w:r>
                    <w:rPr>
                      <w:bCs/>
                      <w:szCs w:val="21"/>
                    </w:rPr>
                    <w:t>）</w:t>
                  </w:r>
                </w:p>
              </w:tc>
              <w:tc>
                <w:tcPr>
                  <w:tcW w:w="1320" w:type="dxa"/>
                  <w:vAlign w:val="center"/>
                </w:tcPr>
                <w:p>
                  <w:pPr>
                    <w:adjustRightInd w:val="0"/>
                    <w:snapToGrid w:val="0"/>
                    <w:jc w:val="center"/>
                    <w:rPr>
                      <w:bCs/>
                      <w:szCs w:val="21"/>
                    </w:rPr>
                  </w:pPr>
                  <w:r>
                    <w:rPr>
                      <w:bCs/>
                      <w:szCs w:val="21"/>
                    </w:rPr>
                    <w:t>达标情况</w:t>
                  </w:r>
                </w:p>
              </w:tc>
              <w:tc>
                <w:tcPr>
                  <w:tcW w:w="1180" w:type="dxa"/>
                  <w:vAlign w:val="center"/>
                </w:tcPr>
                <w:p>
                  <w:pPr>
                    <w:adjustRightInd w:val="0"/>
                    <w:snapToGrid w:val="0"/>
                    <w:jc w:val="center"/>
                    <w:rPr>
                      <w:bCs/>
                      <w:szCs w:val="21"/>
                    </w:rPr>
                  </w:pPr>
                  <w:r>
                    <w:rPr>
                      <w:bCs/>
                      <w:szCs w:val="21"/>
                    </w:rPr>
                    <w:t>超标倍数</w:t>
                  </w:r>
                </w:p>
              </w:tc>
            </w:tr>
            <w:tr>
              <w:tblPrEx>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szCs w:val="21"/>
                    </w:rPr>
                  </w:pPr>
                  <w:r>
                    <w:rPr>
                      <w:szCs w:val="21"/>
                    </w:rPr>
                    <w:t>PM</w:t>
                  </w:r>
                  <w:r>
                    <w:rPr>
                      <w:szCs w:val="21"/>
                      <w:vertAlign w:val="subscript"/>
                    </w:rPr>
                    <w:t>10</w:t>
                  </w:r>
                </w:p>
              </w:tc>
              <w:tc>
                <w:tcPr>
                  <w:tcW w:w="1963" w:type="dxa"/>
                  <w:vAlign w:val="center"/>
                </w:tcPr>
                <w:p>
                  <w:pPr>
                    <w:adjustRightInd w:val="0"/>
                    <w:snapToGrid w:val="0"/>
                    <w:jc w:val="center"/>
                    <w:rPr>
                      <w:szCs w:val="21"/>
                    </w:rPr>
                  </w:pPr>
                  <w:r>
                    <w:rPr>
                      <w:szCs w:val="21"/>
                    </w:rPr>
                    <w:t>年平均浓度</w:t>
                  </w:r>
                </w:p>
              </w:tc>
              <w:tc>
                <w:tcPr>
                  <w:tcW w:w="1255" w:type="dxa"/>
                  <w:vAlign w:val="center"/>
                </w:tcPr>
                <w:p>
                  <w:pPr>
                    <w:widowControl/>
                    <w:jc w:val="center"/>
                    <w:textAlignment w:val="center"/>
                    <w:rPr>
                      <w:szCs w:val="21"/>
                    </w:rPr>
                  </w:pPr>
                  <w:r>
                    <w:rPr>
                      <w:szCs w:val="21"/>
                    </w:rPr>
                    <w:t>60</w:t>
                  </w:r>
                </w:p>
              </w:tc>
              <w:tc>
                <w:tcPr>
                  <w:tcW w:w="1170" w:type="dxa"/>
                  <w:vAlign w:val="center"/>
                </w:tcPr>
                <w:p>
                  <w:pPr>
                    <w:adjustRightInd w:val="0"/>
                    <w:snapToGrid w:val="0"/>
                    <w:jc w:val="center"/>
                    <w:rPr>
                      <w:szCs w:val="21"/>
                    </w:rPr>
                  </w:pPr>
                  <w:r>
                    <w:rPr>
                      <w:szCs w:val="21"/>
                    </w:rPr>
                    <w:t>70</w:t>
                  </w:r>
                </w:p>
              </w:tc>
              <w:tc>
                <w:tcPr>
                  <w:tcW w:w="1320" w:type="dxa"/>
                  <w:vAlign w:val="center"/>
                </w:tcPr>
                <w:p>
                  <w:pPr>
                    <w:adjustRightInd w:val="0"/>
                    <w:snapToGrid w:val="0"/>
                    <w:jc w:val="center"/>
                    <w:rPr>
                      <w:szCs w:val="21"/>
                    </w:rPr>
                  </w:pPr>
                  <w:r>
                    <w:rPr>
                      <w:szCs w:val="21"/>
                    </w:rPr>
                    <w:t>达标</w:t>
                  </w:r>
                </w:p>
              </w:tc>
              <w:tc>
                <w:tcPr>
                  <w:tcW w:w="1180" w:type="dxa"/>
                  <w:vAlign w:val="center"/>
                </w:tcPr>
                <w:p>
                  <w:pPr>
                    <w:adjustRightInd w:val="0"/>
                    <w:snapToGrid w:val="0"/>
                    <w:jc w:val="center"/>
                    <w:rPr>
                      <w:szCs w:val="21"/>
                    </w:rPr>
                  </w:pPr>
                  <w:r>
                    <w:rPr>
                      <w:szCs w:val="21"/>
                    </w:rPr>
                    <w:t>/</w:t>
                  </w:r>
                </w:p>
              </w:tc>
            </w:tr>
            <w:tr>
              <w:tblPrEx>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szCs w:val="21"/>
                    </w:rPr>
                  </w:pPr>
                  <w:r>
                    <w:rPr>
                      <w:szCs w:val="21"/>
                    </w:rPr>
                    <w:t>PM</w:t>
                  </w:r>
                  <w:r>
                    <w:rPr>
                      <w:szCs w:val="21"/>
                      <w:vertAlign w:val="subscript"/>
                    </w:rPr>
                    <w:t>2.5</w:t>
                  </w:r>
                </w:p>
              </w:tc>
              <w:tc>
                <w:tcPr>
                  <w:tcW w:w="1963" w:type="dxa"/>
                  <w:vAlign w:val="center"/>
                </w:tcPr>
                <w:p>
                  <w:pPr>
                    <w:adjustRightInd w:val="0"/>
                    <w:snapToGrid w:val="0"/>
                    <w:jc w:val="center"/>
                    <w:rPr>
                      <w:szCs w:val="21"/>
                    </w:rPr>
                  </w:pPr>
                  <w:r>
                    <w:rPr>
                      <w:szCs w:val="21"/>
                    </w:rPr>
                    <w:t>年平均浓度</w:t>
                  </w:r>
                </w:p>
              </w:tc>
              <w:tc>
                <w:tcPr>
                  <w:tcW w:w="1255" w:type="dxa"/>
                  <w:vAlign w:val="center"/>
                </w:tcPr>
                <w:p>
                  <w:pPr>
                    <w:widowControl/>
                    <w:jc w:val="center"/>
                    <w:textAlignment w:val="center"/>
                    <w:rPr>
                      <w:szCs w:val="21"/>
                    </w:rPr>
                  </w:pPr>
                  <w:r>
                    <w:rPr>
                      <w:szCs w:val="21"/>
                    </w:rPr>
                    <w:t>42</w:t>
                  </w:r>
                </w:p>
              </w:tc>
              <w:tc>
                <w:tcPr>
                  <w:tcW w:w="1170" w:type="dxa"/>
                  <w:vAlign w:val="center"/>
                </w:tcPr>
                <w:p>
                  <w:pPr>
                    <w:adjustRightInd w:val="0"/>
                    <w:snapToGrid w:val="0"/>
                    <w:jc w:val="center"/>
                    <w:rPr>
                      <w:szCs w:val="21"/>
                    </w:rPr>
                  </w:pPr>
                  <w:r>
                    <w:rPr>
                      <w:szCs w:val="21"/>
                    </w:rPr>
                    <w:t>35</w:t>
                  </w:r>
                </w:p>
              </w:tc>
              <w:tc>
                <w:tcPr>
                  <w:tcW w:w="1320" w:type="dxa"/>
                  <w:vAlign w:val="center"/>
                </w:tcPr>
                <w:p>
                  <w:pPr>
                    <w:adjustRightInd w:val="0"/>
                    <w:snapToGrid w:val="0"/>
                    <w:jc w:val="center"/>
                    <w:rPr>
                      <w:szCs w:val="21"/>
                    </w:rPr>
                  </w:pPr>
                  <w:r>
                    <w:rPr>
                      <w:szCs w:val="21"/>
                    </w:rPr>
                    <w:t>不达标</w:t>
                  </w:r>
                </w:p>
              </w:tc>
              <w:tc>
                <w:tcPr>
                  <w:tcW w:w="1180" w:type="dxa"/>
                  <w:vAlign w:val="center"/>
                </w:tcPr>
                <w:p>
                  <w:pPr>
                    <w:adjustRightInd w:val="0"/>
                    <w:snapToGrid w:val="0"/>
                    <w:jc w:val="center"/>
                    <w:rPr>
                      <w:szCs w:val="21"/>
                    </w:rPr>
                  </w:pPr>
                  <w:r>
                    <w:rPr>
                      <w:szCs w:val="21"/>
                    </w:rPr>
                    <w:t>0.2</w:t>
                  </w:r>
                </w:p>
              </w:tc>
            </w:tr>
            <w:tr>
              <w:tblPrEx>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szCs w:val="21"/>
                    </w:rPr>
                  </w:pPr>
                  <w:r>
                    <w:rPr>
                      <w:szCs w:val="21"/>
                    </w:rPr>
                    <w:t>SO</w:t>
                  </w:r>
                  <w:r>
                    <w:rPr>
                      <w:szCs w:val="21"/>
                      <w:vertAlign w:val="subscript"/>
                    </w:rPr>
                    <w:t>2</w:t>
                  </w:r>
                </w:p>
              </w:tc>
              <w:tc>
                <w:tcPr>
                  <w:tcW w:w="1963" w:type="dxa"/>
                  <w:vAlign w:val="center"/>
                </w:tcPr>
                <w:p>
                  <w:pPr>
                    <w:adjustRightInd w:val="0"/>
                    <w:snapToGrid w:val="0"/>
                    <w:jc w:val="center"/>
                    <w:rPr>
                      <w:szCs w:val="21"/>
                    </w:rPr>
                  </w:pPr>
                  <w:r>
                    <w:rPr>
                      <w:szCs w:val="21"/>
                    </w:rPr>
                    <w:t>年平均浓度</w:t>
                  </w:r>
                </w:p>
              </w:tc>
              <w:tc>
                <w:tcPr>
                  <w:tcW w:w="1255" w:type="dxa"/>
                  <w:vAlign w:val="center"/>
                </w:tcPr>
                <w:p>
                  <w:pPr>
                    <w:widowControl/>
                    <w:jc w:val="center"/>
                    <w:textAlignment w:val="center"/>
                    <w:rPr>
                      <w:szCs w:val="21"/>
                    </w:rPr>
                  </w:pPr>
                  <w:r>
                    <w:rPr>
                      <w:szCs w:val="21"/>
                    </w:rPr>
                    <w:t>14</w:t>
                  </w:r>
                </w:p>
              </w:tc>
              <w:tc>
                <w:tcPr>
                  <w:tcW w:w="1170" w:type="dxa"/>
                  <w:vAlign w:val="center"/>
                </w:tcPr>
                <w:p>
                  <w:pPr>
                    <w:adjustRightInd w:val="0"/>
                    <w:snapToGrid w:val="0"/>
                    <w:jc w:val="center"/>
                    <w:rPr>
                      <w:szCs w:val="21"/>
                    </w:rPr>
                  </w:pPr>
                  <w:r>
                    <w:rPr>
                      <w:szCs w:val="21"/>
                    </w:rPr>
                    <w:t>60</w:t>
                  </w:r>
                </w:p>
              </w:tc>
              <w:tc>
                <w:tcPr>
                  <w:tcW w:w="1320" w:type="dxa"/>
                  <w:vAlign w:val="center"/>
                </w:tcPr>
                <w:p>
                  <w:pPr>
                    <w:adjustRightInd w:val="0"/>
                    <w:snapToGrid w:val="0"/>
                    <w:jc w:val="center"/>
                    <w:rPr>
                      <w:szCs w:val="21"/>
                    </w:rPr>
                  </w:pPr>
                  <w:r>
                    <w:rPr>
                      <w:szCs w:val="21"/>
                    </w:rPr>
                    <w:t>达标</w:t>
                  </w:r>
                </w:p>
              </w:tc>
              <w:tc>
                <w:tcPr>
                  <w:tcW w:w="1180" w:type="dxa"/>
                  <w:vAlign w:val="center"/>
                </w:tcPr>
                <w:p>
                  <w:pPr>
                    <w:adjustRightInd w:val="0"/>
                    <w:snapToGrid w:val="0"/>
                    <w:jc w:val="center"/>
                    <w:rPr>
                      <w:szCs w:val="21"/>
                    </w:rPr>
                  </w:pPr>
                  <w:r>
                    <w:rPr>
                      <w:szCs w:val="21"/>
                    </w:rPr>
                    <w:t>/</w:t>
                  </w:r>
                </w:p>
              </w:tc>
            </w:tr>
            <w:tr>
              <w:tblPrEx>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szCs w:val="21"/>
                    </w:rPr>
                  </w:pPr>
                  <w:r>
                    <w:rPr>
                      <w:szCs w:val="21"/>
                    </w:rPr>
                    <w:t>NO</w:t>
                  </w:r>
                  <w:r>
                    <w:rPr>
                      <w:szCs w:val="21"/>
                      <w:vertAlign w:val="subscript"/>
                    </w:rPr>
                    <w:t>2</w:t>
                  </w:r>
                </w:p>
              </w:tc>
              <w:tc>
                <w:tcPr>
                  <w:tcW w:w="1963" w:type="dxa"/>
                  <w:vAlign w:val="center"/>
                </w:tcPr>
                <w:p>
                  <w:pPr>
                    <w:adjustRightInd w:val="0"/>
                    <w:snapToGrid w:val="0"/>
                    <w:jc w:val="center"/>
                    <w:rPr>
                      <w:szCs w:val="21"/>
                    </w:rPr>
                  </w:pPr>
                  <w:r>
                    <w:rPr>
                      <w:szCs w:val="21"/>
                    </w:rPr>
                    <w:t>年平均浓度</w:t>
                  </w:r>
                </w:p>
              </w:tc>
              <w:tc>
                <w:tcPr>
                  <w:tcW w:w="1255" w:type="dxa"/>
                  <w:vAlign w:val="center"/>
                </w:tcPr>
                <w:p>
                  <w:pPr>
                    <w:widowControl/>
                    <w:jc w:val="center"/>
                    <w:textAlignment w:val="center"/>
                    <w:rPr>
                      <w:szCs w:val="21"/>
                    </w:rPr>
                  </w:pPr>
                  <w:r>
                    <w:rPr>
                      <w:szCs w:val="21"/>
                    </w:rPr>
                    <w:t>31</w:t>
                  </w:r>
                </w:p>
              </w:tc>
              <w:tc>
                <w:tcPr>
                  <w:tcW w:w="1170" w:type="dxa"/>
                  <w:vAlign w:val="center"/>
                </w:tcPr>
                <w:p>
                  <w:pPr>
                    <w:adjustRightInd w:val="0"/>
                    <w:snapToGrid w:val="0"/>
                    <w:jc w:val="center"/>
                    <w:rPr>
                      <w:szCs w:val="21"/>
                    </w:rPr>
                  </w:pPr>
                  <w:r>
                    <w:rPr>
                      <w:szCs w:val="21"/>
                    </w:rPr>
                    <w:t>40</w:t>
                  </w:r>
                </w:p>
              </w:tc>
              <w:tc>
                <w:tcPr>
                  <w:tcW w:w="1320" w:type="dxa"/>
                  <w:vAlign w:val="center"/>
                </w:tcPr>
                <w:p>
                  <w:pPr>
                    <w:adjustRightInd w:val="0"/>
                    <w:snapToGrid w:val="0"/>
                    <w:jc w:val="center"/>
                    <w:rPr>
                      <w:szCs w:val="21"/>
                    </w:rPr>
                  </w:pPr>
                  <w:r>
                    <w:rPr>
                      <w:szCs w:val="21"/>
                    </w:rPr>
                    <w:t>达标</w:t>
                  </w:r>
                </w:p>
              </w:tc>
              <w:tc>
                <w:tcPr>
                  <w:tcW w:w="1180" w:type="dxa"/>
                  <w:vAlign w:val="center"/>
                </w:tcPr>
                <w:p>
                  <w:pPr>
                    <w:adjustRightInd w:val="0"/>
                    <w:snapToGrid w:val="0"/>
                    <w:jc w:val="center"/>
                    <w:rPr>
                      <w:szCs w:val="21"/>
                    </w:rPr>
                  </w:pPr>
                  <w:r>
                    <w:rPr>
                      <w:szCs w:val="21"/>
                    </w:rPr>
                    <w:t>/</w:t>
                  </w:r>
                </w:p>
              </w:tc>
            </w:tr>
            <w:tr>
              <w:tblPrEx>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szCs w:val="21"/>
                    </w:rPr>
                  </w:pPr>
                  <w:r>
                    <w:rPr>
                      <w:szCs w:val="21"/>
                    </w:rPr>
                    <w:t>CO</w:t>
                  </w:r>
                </w:p>
              </w:tc>
              <w:tc>
                <w:tcPr>
                  <w:tcW w:w="1963" w:type="dxa"/>
                  <w:vAlign w:val="center"/>
                </w:tcPr>
                <w:p>
                  <w:pPr>
                    <w:adjustRightInd w:val="0"/>
                    <w:snapToGrid w:val="0"/>
                    <w:jc w:val="center"/>
                    <w:rPr>
                      <w:szCs w:val="21"/>
                    </w:rPr>
                  </w:pPr>
                  <w:r>
                    <w:rPr>
                      <w:szCs w:val="21"/>
                    </w:rPr>
                    <w:t>第95百分位浓度</w:t>
                  </w:r>
                </w:p>
              </w:tc>
              <w:tc>
                <w:tcPr>
                  <w:tcW w:w="1255" w:type="dxa"/>
                  <w:vAlign w:val="center"/>
                </w:tcPr>
                <w:p>
                  <w:pPr>
                    <w:widowControl/>
                    <w:jc w:val="center"/>
                    <w:textAlignment w:val="center"/>
                    <w:rPr>
                      <w:szCs w:val="21"/>
                    </w:rPr>
                  </w:pPr>
                  <w:r>
                    <w:rPr>
                      <w:szCs w:val="21"/>
                    </w:rPr>
                    <w:t>1200</w:t>
                  </w:r>
                </w:p>
              </w:tc>
              <w:tc>
                <w:tcPr>
                  <w:tcW w:w="1170" w:type="dxa"/>
                  <w:vAlign w:val="center"/>
                </w:tcPr>
                <w:p>
                  <w:pPr>
                    <w:adjustRightInd w:val="0"/>
                    <w:snapToGrid w:val="0"/>
                    <w:jc w:val="center"/>
                    <w:rPr>
                      <w:szCs w:val="21"/>
                    </w:rPr>
                  </w:pPr>
                  <w:r>
                    <w:rPr>
                      <w:szCs w:val="21"/>
                    </w:rPr>
                    <w:t>4000</w:t>
                  </w:r>
                </w:p>
              </w:tc>
              <w:tc>
                <w:tcPr>
                  <w:tcW w:w="1320" w:type="dxa"/>
                  <w:vAlign w:val="center"/>
                </w:tcPr>
                <w:p>
                  <w:pPr>
                    <w:adjustRightInd w:val="0"/>
                    <w:snapToGrid w:val="0"/>
                    <w:jc w:val="center"/>
                    <w:rPr>
                      <w:szCs w:val="21"/>
                    </w:rPr>
                  </w:pPr>
                  <w:r>
                    <w:rPr>
                      <w:szCs w:val="21"/>
                    </w:rPr>
                    <w:t>达标</w:t>
                  </w:r>
                </w:p>
              </w:tc>
              <w:tc>
                <w:tcPr>
                  <w:tcW w:w="1180" w:type="dxa"/>
                  <w:vAlign w:val="center"/>
                </w:tcPr>
                <w:p>
                  <w:pPr>
                    <w:adjustRightInd w:val="0"/>
                    <w:snapToGrid w:val="0"/>
                    <w:jc w:val="center"/>
                    <w:rPr>
                      <w:szCs w:val="21"/>
                    </w:rPr>
                  </w:pPr>
                  <w:r>
                    <w:rPr>
                      <w:szCs w:val="21"/>
                    </w:rPr>
                    <w:t>/</w:t>
                  </w:r>
                </w:p>
              </w:tc>
            </w:tr>
            <w:tr>
              <w:tblPrEx>
                <w:tblLayout w:type="fixed"/>
                <w:tblCellMar>
                  <w:top w:w="0" w:type="dxa"/>
                  <w:left w:w="108" w:type="dxa"/>
                  <w:bottom w:w="0" w:type="dxa"/>
                  <w:right w:w="108" w:type="dxa"/>
                </w:tblCellMar>
              </w:tblPrEx>
              <w:trPr>
                <w:trHeight w:val="397" w:hRule="atLeast"/>
                <w:jc w:val="center"/>
              </w:trPr>
              <w:tc>
                <w:tcPr>
                  <w:tcW w:w="1086" w:type="dxa"/>
                  <w:vAlign w:val="center"/>
                </w:tcPr>
                <w:p>
                  <w:pPr>
                    <w:adjustRightInd w:val="0"/>
                    <w:snapToGrid w:val="0"/>
                    <w:jc w:val="center"/>
                    <w:rPr>
                      <w:szCs w:val="21"/>
                    </w:rPr>
                  </w:pPr>
                  <w:r>
                    <w:rPr>
                      <w:szCs w:val="21"/>
                    </w:rPr>
                    <w:t>O</w:t>
                  </w:r>
                  <w:r>
                    <w:rPr>
                      <w:szCs w:val="21"/>
                      <w:vertAlign w:val="subscript"/>
                    </w:rPr>
                    <w:t>3</w:t>
                  </w:r>
                </w:p>
              </w:tc>
              <w:tc>
                <w:tcPr>
                  <w:tcW w:w="1963" w:type="dxa"/>
                  <w:vAlign w:val="center"/>
                </w:tcPr>
                <w:p>
                  <w:pPr>
                    <w:adjustRightInd w:val="0"/>
                    <w:snapToGrid w:val="0"/>
                    <w:jc w:val="center"/>
                    <w:rPr>
                      <w:szCs w:val="21"/>
                    </w:rPr>
                  </w:pPr>
                  <w:r>
                    <w:rPr>
                      <w:szCs w:val="21"/>
                    </w:rPr>
                    <w:t>第90百分位浓度</w:t>
                  </w:r>
                </w:p>
              </w:tc>
              <w:tc>
                <w:tcPr>
                  <w:tcW w:w="1255" w:type="dxa"/>
                  <w:vAlign w:val="center"/>
                </w:tcPr>
                <w:p>
                  <w:pPr>
                    <w:widowControl/>
                    <w:jc w:val="center"/>
                    <w:textAlignment w:val="center"/>
                    <w:rPr>
                      <w:szCs w:val="21"/>
                    </w:rPr>
                  </w:pPr>
                  <w:r>
                    <w:rPr>
                      <w:szCs w:val="21"/>
                    </w:rPr>
                    <w:t>74</w:t>
                  </w:r>
                </w:p>
              </w:tc>
              <w:tc>
                <w:tcPr>
                  <w:tcW w:w="1170" w:type="dxa"/>
                  <w:vAlign w:val="center"/>
                </w:tcPr>
                <w:p>
                  <w:pPr>
                    <w:adjustRightInd w:val="0"/>
                    <w:snapToGrid w:val="0"/>
                    <w:jc w:val="center"/>
                    <w:rPr>
                      <w:szCs w:val="21"/>
                    </w:rPr>
                  </w:pPr>
                  <w:r>
                    <w:rPr>
                      <w:szCs w:val="21"/>
                    </w:rPr>
                    <w:t>160</w:t>
                  </w:r>
                </w:p>
              </w:tc>
              <w:tc>
                <w:tcPr>
                  <w:tcW w:w="1320" w:type="dxa"/>
                  <w:vAlign w:val="center"/>
                </w:tcPr>
                <w:p>
                  <w:pPr>
                    <w:adjustRightInd w:val="0"/>
                    <w:snapToGrid w:val="0"/>
                    <w:jc w:val="center"/>
                    <w:rPr>
                      <w:szCs w:val="21"/>
                    </w:rPr>
                  </w:pPr>
                  <w:r>
                    <w:rPr>
                      <w:szCs w:val="21"/>
                    </w:rPr>
                    <w:t>达标</w:t>
                  </w:r>
                </w:p>
              </w:tc>
              <w:tc>
                <w:tcPr>
                  <w:tcW w:w="1180" w:type="dxa"/>
                  <w:vAlign w:val="center"/>
                </w:tcPr>
                <w:p>
                  <w:pPr>
                    <w:adjustRightInd w:val="0"/>
                    <w:snapToGrid w:val="0"/>
                    <w:jc w:val="center"/>
                    <w:rPr>
                      <w:szCs w:val="21"/>
                    </w:rPr>
                  </w:pPr>
                  <w:r>
                    <w:rPr>
                      <w:szCs w:val="21"/>
                    </w:rPr>
                    <w:t>/</w:t>
                  </w:r>
                </w:p>
              </w:tc>
            </w:tr>
          </w:tbl>
          <w:p>
            <w:pPr>
              <w:spacing w:line="360" w:lineRule="auto"/>
              <w:ind w:firstLine="480" w:firstLineChars="200"/>
              <w:rPr>
                <w:kern w:val="0"/>
                <w:sz w:val="24"/>
                <w:szCs w:val="24"/>
              </w:rPr>
            </w:pPr>
            <w:r>
              <w:rPr>
                <w:sz w:val="24"/>
                <w:szCs w:val="24"/>
              </w:rPr>
              <w:t>根据上表可知，</w:t>
            </w:r>
            <w:r>
              <w:rPr>
                <w:rFonts w:hint="eastAsia"/>
                <w:sz w:val="24"/>
                <w:szCs w:val="24"/>
                <w:lang w:eastAsia="zh-CN"/>
              </w:rPr>
              <w:t>工程</w:t>
            </w:r>
            <w:r>
              <w:rPr>
                <w:sz w:val="24"/>
                <w:szCs w:val="24"/>
              </w:rPr>
              <w:t>所在区域环境空气中SO</w:t>
            </w:r>
            <w:r>
              <w:rPr>
                <w:sz w:val="24"/>
                <w:szCs w:val="24"/>
                <w:vertAlign w:val="subscript"/>
              </w:rPr>
              <w:t>2</w:t>
            </w:r>
            <w:r>
              <w:rPr>
                <w:sz w:val="24"/>
                <w:szCs w:val="24"/>
              </w:rPr>
              <w:t>浓度年均值、NO</w:t>
            </w:r>
            <w:r>
              <w:rPr>
                <w:sz w:val="24"/>
                <w:szCs w:val="24"/>
                <w:vertAlign w:val="subscript"/>
              </w:rPr>
              <w:t>2</w:t>
            </w:r>
            <w:r>
              <w:rPr>
                <w:sz w:val="24"/>
                <w:szCs w:val="24"/>
              </w:rPr>
              <w:t>浓度年均值、PM</w:t>
            </w:r>
            <w:r>
              <w:rPr>
                <w:sz w:val="24"/>
                <w:szCs w:val="24"/>
                <w:vertAlign w:val="subscript"/>
              </w:rPr>
              <w:t>10</w:t>
            </w:r>
            <w:r>
              <w:rPr>
                <w:sz w:val="24"/>
                <w:szCs w:val="24"/>
              </w:rPr>
              <w:t>浓度年均值、臭氧滑动8小时第90百分位浓度、一氧化碳第95百分位浓度均符合《环境空气质量标准》（GB3095-2012）二级标准；PM</w:t>
            </w:r>
            <w:r>
              <w:rPr>
                <w:sz w:val="24"/>
                <w:szCs w:val="24"/>
                <w:vertAlign w:val="subscript"/>
              </w:rPr>
              <w:t>2.5</w:t>
            </w:r>
            <w:r>
              <w:rPr>
                <w:sz w:val="24"/>
                <w:szCs w:val="24"/>
              </w:rPr>
              <w:t>浓度年均值不符合《环境空气质量标准》（GB3095-2012）二级标准</w:t>
            </w:r>
            <w:r>
              <w:rPr>
                <w:kern w:val="0"/>
                <w:sz w:val="24"/>
                <w:szCs w:val="24"/>
              </w:rPr>
              <w:t>。</w:t>
            </w:r>
          </w:p>
          <w:p>
            <w:pPr>
              <w:spacing w:line="360" w:lineRule="auto"/>
              <w:ind w:firstLine="482" w:firstLineChars="200"/>
              <w:rPr>
                <w:b/>
                <w:kern w:val="0"/>
                <w:sz w:val="24"/>
                <w:szCs w:val="24"/>
              </w:rPr>
            </w:pPr>
            <w:r>
              <w:rPr>
                <w:b/>
                <w:kern w:val="0"/>
                <w:sz w:val="24"/>
                <w:szCs w:val="24"/>
              </w:rPr>
              <w:t>（2）特征污染物</w:t>
            </w:r>
          </w:p>
          <w:p>
            <w:pPr>
              <w:spacing w:line="360" w:lineRule="auto"/>
              <w:ind w:firstLine="480" w:firstLineChars="200"/>
              <w:rPr>
                <w:bCs/>
                <w:kern w:val="0"/>
                <w:sz w:val="24"/>
                <w:szCs w:val="24"/>
              </w:rPr>
            </w:pPr>
            <w:r>
              <w:rPr>
                <w:kern w:val="0"/>
                <w:sz w:val="24"/>
                <w:szCs w:val="24"/>
              </w:rPr>
              <w:t>本次评价特征污染物TSP。根据</w:t>
            </w:r>
            <w:r>
              <w:rPr>
                <w:bCs/>
                <w:kern w:val="0"/>
                <w:sz w:val="24"/>
                <w:szCs w:val="24"/>
              </w:rPr>
              <w:t>陕西林泉环境检测技术有限公司《丹凤县建筑垃圾处置场扩容工程环境质量现状监测检测报告》（HP-2021-06-116），统计结果见表3-2。</w:t>
            </w:r>
          </w:p>
          <w:p>
            <w:pPr>
              <w:ind w:firstLine="420" w:firstLineChars="200"/>
              <w:jc w:val="center"/>
              <w:rPr>
                <w:bCs/>
                <w:kern w:val="0"/>
                <w:szCs w:val="21"/>
              </w:rPr>
            </w:pPr>
            <w:r>
              <w:rPr>
                <w:bCs/>
                <w:kern w:val="0"/>
                <w:szCs w:val="21"/>
              </w:rPr>
              <w:t>表3-2</w:t>
            </w:r>
            <w:r>
              <w:rPr>
                <w:rFonts w:hint="eastAsia"/>
                <w:bCs/>
                <w:kern w:val="0"/>
                <w:szCs w:val="21"/>
                <w:lang w:val="en-US" w:eastAsia="zh-CN"/>
              </w:rPr>
              <w:t xml:space="preserve"> </w:t>
            </w:r>
            <w:r>
              <w:rPr>
                <w:bCs/>
                <w:kern w:val="0"/>
                <w:szCs w:val="21"/>
              </w:rPr>
              <w:t>TSP现状监测统计表</w:t>
            </w:r>
          </w:p>
          <w:tbl>
            <w:tblPr>
              <w:tblStyle w:val="23"/>
              <w:tblW w:w="8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59"/>
              <w:gridCol w:w="857"/>
              <w:gridCol w:w="997"/>
              <w:gridCol w:w="1038"/>
              <w:gridCol w:w="1374"/>
              <w:gridCol w:w="85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299" w:type="dxa"/>
                  <w:vAlign w:val="center"/>
                </w:tcPr>
                <w:p>
                  <w:pPr>
                    <w:snapToGrid w:val="0"/>
                    <w:jc w:val="center"/>
                    <w:rPr>
                      <w:szCs w:val="21"/>
                    </w:rPr>
                  </w:pPr>
                  <w:r>
                    <w:rPr>
                      <w:szCs w:val="21"/>
                    </w:rPr>
                    <w:t>采样日期</w:t>
                  </w:r>
                </w:p>
              </w:tc>
              <w:tc>
                <w:tcPr>
                  <w:tcW w:w="859" w:type="dxa"/>
                  <w:vAlign w:val="center"/>
                </w:tcPr>
                <w:p>
                  <w:pPr>
                    <w:jc w:val="center"/>
                    <w:rPr>
                      <w:szCs w:val="21"/>
                    </w:rPr>
                  </w:pPr>
                  <w:r>
                    <w:rPr>
                      <w:szCs w:val="21"/>
                    </w:rPr>
                    <w:t>平均</w:t>
                  </w:r>
                </w:p>
                <w:p>
                  <w:pPr>
                    <w:jc w:val="center"/>
                    <w:rPr>
                      <w:szCs w:val="21"/>
                    </w:rPr>
                  </w:pPr>
                  <w:r>
                    <w:rPr>
                      <w:szCs w:val="21"/>
                    </w:rPr>
                    <w:t>时间</w:t>
                  </w:r>
                </w:p>
              </w:tc>
              <w:tc>
                <w:tcPr>
                  <w:tcW w:w="857" w:type="dxa"/>
                  <w:vAlign w:val="center"/>
                </w:tcPr>
                <w:p>
                  <w:pPr>
                    <w:snapToGrid w:val="0"/>
                    <w:jc w:val="center"/>
                    <w:rPr>
                      <w:szCs w:val="21"/>
                    </w:rPr>
                  </w:pPr>
                  <w:r>
                    <w:rPr>
                      <w:bCs/>
                      <w:szCs w:val="21"/>
                    </w:rPr>
                    <w:t>风向</w:t>
                  </w:r>
                </w:p>
              </w:tc>
              <w:tc>
                <w:tcPr>
                  <w:tcW w:w="997" w:type="dxa"/>
                  <w:vAlign w:val="center"/>
                </w:tcPr>
                <w:p>
                  <w:pPr>
                    <w:snapToGrid w:val="0"/>
                    <w:ind w:left="-105" w:leftChars="-50" w:right="-53" w:rightChars="-25" w:firstLine="50" w:firstLineChars="24"/>
                    <w:jc w:val="center"/>
                    <w:rPr>
                      <w:szCs w:val="21"/>
                    </w:rPr>
                  </w:pPr>
                  <w:r>
                    <w:rPr>
                      <w:szCs w:val="21"/>
                    </w:rPr>
                    <w:t>TSP</w:t>
                  </w:r>
                </w:p>
                <w:p>
                  <w:pPr>
                    <w:snapToGrid w:val="0"/>
                    <w:ind w:left="-105" w:leftChars="-50" w:right="-53" w:rightChars="-25" w:firstLine="50" w:firstLineChars="24"/>
                    <w:jc w:val="center"/>
                    <w:rPr>
                      <w:szCs w:val="21"/>
                    </w:rPr>
                  </w:pPr>
                  <w:r>
                    <w:rPr>
                      <w:szCs w:val="21"/>
                    </w:rPr>
                    <w:t>(</w:t>
                  </w:r>
                  <w:r>
                    <w:t>μg/m</w:t>
                  </w:r>
                  <w:r>
                    <w:rPr>
                      <w:vertAlign w:val="superscript"/>
                    </w:rPr>
                    <w:t>3</w:t>
                  </w:r>
                  <w:r>
                    <w:rPr>
                      <w:szCs w:val="21"/>
                    </w:rPr>
                    <w:t>)</w:t>
                  </w:r>
                </w:p>
              </w:tc>
              <w:tc>
                <w:tcPr>
                  <w:tcW w:w="1038" w:type="dxa"/>
                  <w:vAlign w:val="center"/>
                </w:tcPr>
                <w:p>
                  <w:pPr>
                    <w:snapToGrid w:val="0"/>
                    <w:ind w:left="-105" w:leftChars="-50" w:right="-53" w:rightChars="-25" w:firstLine="50" w:firstLineChars="24"/>
                    <w:jc w:val="center"/>
                    <w:rPr>
                      <w:szCs w:val="21"/>
                    </w:rPr>
                  </w:pPr>
                  <w:r>
                    <w:rPr>
                      <w:szCs w:val="21"/>
                    </w:rPr>
                    <w:t>评价标准</w:t>
                  </w:r>
                </w:p>
                <w:p>
                  <w:pPr>
                    <w:snapToGrid w:val="0"/>
                    <w:ind w:left="-105" w:leftChars="-50" w:right="-53" w:rightChars="-25" w:firstLine="50" w:firstLineChars="24"/>
                    <w:jc w:val="center"/>
                    <w:rPr>
                      <w:szCs w:val="21"/>
                    </w:rPr>
                  </w:pPr>
                  <w:r>
                    <w:rPr>
                      <w:szCs w:val="21"/>
                    </w:rPr>
                    <w:t>(</w:t>
                  </w:r>
                  <w:r>
                    <w:rPr>
                      <w:bCs/>
                      <w:szCs w:val="21"/>
                    </w:rPr>
                    <w:t>mg</w:t>
                  </w:r>
                  <w:r>
                    <w:rPr>
                      <w:szCs w:val="21"/>
                    </w:rPr>
                    <w:t>/m</w:t>
                  </w:r>
                  <w:r>
                    <w:rPr>
                      <w:szCs w:val="21"/>
                      <w:vertAlign w:val="superscript"/>
                    </w:rPr>
                    <w:t>3</w:t>
                  </w:r>
                  <w:r>
                    <w:rPr>
                      <w:szCs w:val="21"/>
                    </w:rPr>
                    <w:t>)</w:t>
                  </w:r>
                </w:p>
              </w:tc>
              <w:tc>
                <w:tcPr>
                  <w:tcW w:w="1374" w:type="dxa"/>
                  <w:vAlign w:val="center"/>
                </w:tcPr>
                <w:p>
                  <w:pPr>
                    <w:jc w:val="center"/>
                    <w:rPr>
                      <w:szCs w:val="21"/>
                    </w:rPr>
                  </w:pPr>
                  <w:r>
                    <w:rPr>
                      <w:szCs w:val="21"/>
                    </w:rPr>
                    <w:t>最大浓度占标率（%）</w:t>
                  </w:r>
                </w:p>
              </w:tc>
              <w:tc>
                <w:tcPr>
                  <w:tcW w:w="850" w:type="dxa"/>
                  <w:vAlign w:val="center"/>
                </w:tcPr>
                <w:p>
                  <w:pPr>
                    <w:jc w:val="center"/>
                    <w:rPr>
                      <w:szCs w:val="21"/>
                    </w:rPr>
                  </w:pPr>
                  <w:r>
                    <w:rPr>
                      <w:szCs w:val="21"/>
                    </w:rPr>
                    <w:t>超标率（%）</w:t>
                  </w:r>
                </w:p>
              </w:tc>
              <w:tc>
                <w:tcPr>
                  <w:tcW w:w="887" w:type="dxa"/>
                  <w:vAlign w:val="center"/>
                </w:tcPr>
                <w:p>
                  <w:pPr>
                    <w:jc w:val="center"/>
                    <w:rPr>
                      <w:szCs w:val="21"/>
                    </w:rPr>
                  </w:pPr>
                  <w:r>
                    <w:rPr>
                      <w:szCs w:val="21"/>
                    </w:rPr>
                    <w:t>达标</w:t>
                  </w:r>
                </w:p>
                <w:p>
                  <w:pPr>
                    <w:jc w:val="center"/>
                    <w:rPr>
                      <w:szCs w:val="21"/>
                    </w:rPr>
                  </w:pPr>
                  <w:r>
                    <w:rPr>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299" w:type="dxa"/>
                  <w:vAlign w:val="center"/>
                </w:tcPr>
                <w:p>
                  <w:pPr>
                    <w:snapToGrid w:val="0"/>
                    <w:jc w:val="center"/>
                    <w:rPr>
                      <w:szCs w:val="21"/>
                    </w:rPr>
                  </w:pPr>
                  <w:r>
                    <w:rPr>
                      <w:szCs w:val="21"/>
                    </w:rPr>
                    <w:t>2021.07.01</w:t>
                  </w:r>
                </w:p>
              </w:tc>
              <w:tc>
                <w:tcPr>
                  <w:tcW w:w="859" w:type="dxa"/>
                  <w:vMerge w:val="restart"/>
                  <w:vAlign w:val="center"/>
                </w:tcPr>
                <w:p>
                  <w:pPr>
                    <w:jc w:val="center"/>
                    <w:rPr>
                      <w:b/>
                      <w:szCs w:val="21"/>
                    </w:rPr>
                  </w:pPr>
                  <w:r>
                    <w:rPr>
                      <w:szCs w:val="21"/>
                    </w:rPr>
                    <w:t>24小时平均值</w:t>
                  </w:r>
                </w:p>
              </w:tc>
              <w:tc>
                <w:tcPr>
                  <w:tcW w:w="857" w:type="dxa"/>
                  <w:vAlign w:val="center"/>
                </w:tcPr>
                <w:p>
                  <w:pPr>
                    <w:snapToGrid w:val="0"/>
                    <w:jc w:val="center"/>
                    <w:rPr>
                      <w:szCs w:val="21"/>
                    </w:rPr>
                  </w:pPr>
                  <w:r>
                    <w:rPr>
                      <w:szCs w:val="21"/>
                    </w:rPr>
                    <w:t>东北</w:t>
                  </w:r>
                </w:p>
              </w:tc>
              <w:tc>
                <w:tcPr>
                  <w:tcW w:w="997" w:type="dxa"/>
                  <w:vAlign w:val="center"/>
                </w:tcPr>
                <w:p>
                  <w:pPr>
                    <w:widowControl/>
                    <w:snapToGrid w:val="0"/>
                    <w:jc w:val="center"/>
                    <w:rPr>
                      <w:szCs w:val="21"/>
                    </w:rPr>
                  </w:pPr>
                  <w:r>
                    <w:rPr>
                      <w:szCs w:val="21"/>
                    </w:rPr>
                    <w:t>112</w:t>
                  </w:r>
                </w:p>
              </w:tc>
              <w:tc>
                <w:tcPr>
                  <w:tcW w:w="1038" w:type="dxa"/>
                  <w:vMerge w:val="restart"/>
                  <w:vAlign w:val="center"/>
                </w:tcPr>
                <w:p>
                  <w:pPr>
                    <w:widowControl/>
                    <w:snapToGrid w:val="0"/>
                    <w:jc w:val="center"/>
                    <w:rPr>
                      <w:szCs w:val="21"/>
                    </w:rPr>
                  </w:pPr>
                  <w:r>
                    <w:rPr>
                      <w:szCs w:val="21"/>
                    </w:rPr>
                    <w:t>300</w:t>
                  </w:r>
                </w:p>
              </w:tc>
              <w:tc>
                <w:tcPr>
                  <w:tcW w:w="1374" w:type="dxa"/>
                  <w:vAlign w:val="center"/>
                </w:tcPr>
                <w:p>
                  <w:pPr>
                    <w:jc w:val="center"/>
                    <w:rPr>
                      <w:color w:val="000000"/>
                      <w:sz w:val="22"/>
                      <w:szCs w:val="22"/>
                    </w:rPr>
                  </w:pPr>
                  <w:r>
                    <w:rPr>
                      <w:color w:val="000000"/>
                      <w:sz w:val="22"/>
                      <w:szCs w:val="22"/>
                    </w:rPr>
                    <w:t>37.33</w:t>
                  </w:r>
                </w:p>
              </w:tc>
              <w:tc>
                <w:tcPr>
                  <w:tcW w:w="850" w:type="dxa"/>
                  <w:vAlign w:val="center"/>
                </w:tcPr>
                <w:p>
                  <w:pPr>
                    <w:widowControl/>
                    <w:snapToGrid w:val="0"/>
                    <w:jc w:val="center"/>
                    <w:rPr>
                      <w:szCs w:val="21"/>
                    </w:rPr>
                  </w:pPr>
                  <w:r>
                    <w:rPr>
                      <w:szCs w:val="21"/>
                    </w:rPr>
                    <w:t>0</w:t>
                  </w:r>
                </w:p>
              </w:tc>
              <w:tc>
                <w:tcPr>
                  <w:tcW w:w="887" w:type="dxa"/>
                  <w:vAlign w:val="center"/>
                </w:tcPr>
                <w:p>
                  <w:pPr>
                    <w:widowControl/>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299" w:type="dxa"/>
                  <w:vAlign w:val="center"/>
                </w:tcPr>
                <w:p>
                  <w:pPr>
                    <w:widowControl/>
                    <w:snapToGrid w:val="0"/>
                    <w:jc w:val="center"/>
                    <w:rPr>
                      <w:szCs w:val="21"/>
                    </w:rPr>
                  </w:pPr>
                  <w:r>
                    <w:rPr>
                      <w:szCs w:val="21"/>
                    </w:rPr>
                    <w:t>2021.07.02</w:t>
                  </w:r>
                </w:p>
              </w:tc>
              <w:tc>
                <w:tcPr>
                  <w:tcW w:w="859" w:type="dxa"/>
                  <w:vMerge w:val="continue"/>
                  <w:vAlign w:val="center"/>
                </w:tcPr>
                <w:p>
                  <w:pPr>
                    <w:jc w:val="center"/>
                    <w:rPr>
                      <w:b/>
                      <w:szCs w:val="21"/>
                    </w:rPr>
                  </w:pPr>
                </w:p>
              </w:tc>
              <w:tc>
                <w:tcPr>
                  <w:tcW w:w="857" w:type="dxa"/>
                  <w:vAlign w:val="center"/>
                </w:tcPr>
                <w:p>
                  <w:pPr>
                    <w:snapToGrid w:val="0"/>
                    <w:jc w:val="center"/>
                    <w:rPr>
                      <w:szCs w:val="21"/>
                    </w:rPr>
                  </w:pPr>
                  <w:r>
                    <w:rPr>
                      <w:szCs w:val="21"/>
                    </w:rPr>
                    <w:t>东北</w:t>
                  </w:r>
                </w:p>
              </w:tc>
              <w:tc>
                <w:tcPr>
                  <w:tcW w:w="997" w:type="dxa"/>
                  <w:vAlign w:val="center"/>
                </w:tcPr>
                <w:p>
                  <w:pPr>
                    <w:widowControl/>
                    <w:snapToGrid w:val="0"/>
                    <w:jc w:val="center"/>
                    <w:rPr>
                      <w:szCs w:val="21"/>
                    </w:rPr>
                  </w:pPr>
                  <w:r>
                    <w:rPr>
                      <w:szCs w:val="21"/>
                    </w:rPr>
                    <w:t>125</w:t>
                  </w:r>
                </w:p>
              </w:tc>
              <w:tc>
                <w:tcPr>
                  <w:tcW w:w="1038" w:type="dxa"/>
                  <w:vMerge w:val="continue"/>
                  <w:vAlign w:val="center"/>
                </w:tcPr>
                <w:p>
                  <w:pPr>
                    <w:widowControl/>
                    <w:snapToGrid w:val="0"/>
                    <w:jc w:val="center"/>
                    <w:rPr>
                      <w:szCs w:val="21"/>
                    </w:rPr>
                  </w:pPr>
                </w:p>
              </w:tc>
              <w:tc>
                <w:tcPr>
                  <w:tcW w:w="1374" w:type="dxa"/>
                  <w:vAlign w:val="center"/>
                </w:tcPr>
                <w:p>
                  <w:pPr>
                    <w:jc w:val="center"/>
                    <w:rPr>
                      <w:color w:val="000000"/>
                      <w:sz w:val="22"/>
                      <w:szCs w:val="22"/>
                    </w:rPr>
                  </w:pPr>
                  <w:r>
                    <w:rPr>
                      <w:color w:val="000000"/>
                      <w:sz w:val="22"/>
                      <w:szCs w:val="22"/>
                    </w:rPr>
                    <w:t>41.67</w:t>
                  </w:r>
                </w:p>
              </w:tc>
              <w:tc>
                <w:tcPr>
                  <w:tcW w:w="850" w:type="dxa"/>
                  <w:vAlign w:val="center"/>
                </w:tcPr>
                <w:p>
                  <w:pPr>
                    <w:widowControl/>
                    <w:snapToGrid w:val="0"/>
                    <w:jc w:val="center"/>
                    <w:rPr>
                      <w:szCs w:val="21"/>
                    </w:rPr>
                  </w:pPr>
                  <w:r>
                    <w:rPr>
                      <w:szCs w:val="21"/>
                    </w:rPr>
                    <w:t>0</w:t>
                  </w:r>
                </w:p>
              </w:tc>
              <w:tc>
                <w:tcPr>
                  <w:tcW w:w="887" w:type="dxa"/>
                  <w:vAlign w:val="center"/>
                </w:tcPr>
                <w:p>
                  <w:pPr>
                    <w:widowControl/>
                    <w:snapToGrid w:val="0"/>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1299" w:type="dxa"/>
                  <w:vAlign w:val="center"/>
                </w:tcPr>
                <w:p>
                  <w:pPr>
                    <w:widowControl/>
                    <w:snapToGrid w:val="0"/>
                    <w:jc w:val="center"/>
                    <w:rPr>
                      <w:szCs w:val="21"/>
                    </w:rPr>
                  </w:pPr>
                  <w:r>
                    <w:rPr>
                      <w:szCs w:val="21"/>
                    </w:rPr>
                    <w:t>2021.07.03</w:t>
                  </w:r>
                </w:p>
              </w:tc>
              <w:tc>
                <w:tcPr>
                  <w:tcW w:w="859" w:type="dxa"/>
                  <w:vMerge w:val="continue"/>
                  <w:vAlign w:val="center"/>
                </w:tcPr>
                <w:p>
                  <w:pPr>
                    <w:jc w:val="center"/>
                    <w:rPr>
                      <w:b/>
                      <w:szCs w:val="21"/>
                    </w:rPr>
                  </w:pPr>
                </w:p>
              </w:tc>
              <w:tc>
                <w:tcPr>
                  <w:tcW w:w="857" w:type="dxa"/>
                  <w:vAlign w:val="center"/>
                </w:tcPr>
                <w:p>
                  <w:pPr>
                    <w:snapToGrid w:val="0"/>
                    <w:jc w:val="center"/>
                    <w:rPr>
                      <w:szCs w:val="21"/>
                    </w:rPr>
                  </w:pPr>
                  <w:r>
                    <w:rPr>
                      <w:szCs w:val="21"/>
                    </w:rPr>
                    <w:t>西北</w:t>
                  </w:r>
                </w:p>
              </w:tc>
              <w:tc>
                <w:tcPr>
                  <w:tcW w:w="997" w:type="dxa"/>
                  <w:vAlign w:val="center"/>
                </w:tcPr>
                <w:p>
                  <w:pPr>
                    <w:widowControl/>
                    <w:snapToGrid w:val="0"/>
                    <w:jc w:val="center"/>
                    <w:rPr>
                      <w:szCs w:val="21"/>
                    </w:rPr>
                  </w:pPr>
                  <w:r>
                    <w:rPr>
                      <w:szCs w:val="21"/>
                    </w:rPr>
                    <w:t>107</w:t>
                  </w:r>
                </w:p>
              </w:tc>
              <w:tc>
                <w:tcPr>
                  <w:tcW w:w="1038" w:type="dxa"/>
                  <w:vMerge w:val="continue"/>
                  <w:vAlign w:val="center"/>
                </w:tcPr>
                <w:p>
                  <w:pPr>
                    <w:widowControl/>
                    <w:snapToGrid w:val="0"/>
                    <w:jc w:val="center"/>
                    <w:rPr>
                      <w:szCs w:val="21"/>
                    </w:rPr>
                  </w:pPr>
                </w:p>
              </w:tc>
              <w:tc>
                <w:tcPr>
                  <w:tcW w:w="1374" w:type="dxa"/>
                  <w:vAlign w:val="center"/>
                </w:tcPr>
                <w:p>
                  <w:pPr>
                    <w:jc w:val="center"/>
                    <w:rPr>
                      <w:color w:val="000000"/>
                      <w:sz w:val="22"/>
                      <w:szCs w:val="22"/>
                    </w:rPr>
                  </w:pPr>
                  <w:r>
                    <w:rPr>
                      <w:color w:val="000000"/>
                      <w:sz w:val="22"/>
                      <w:szCs w:val="22"/>
                    </w:rPr>
                    <w:t>35.67</w:t>
                  </w:r>
                </w:p>
              </w:tc>
              <w:tc>
                <w:tcPr>
                  <w:tcW w:w="850" w:type="dxa"/>
                  <w:vAlign w:val="center"/>
                </w:tcPr>
                <w:p>
                  <w:pPr>
                    <w:widowControl/>
                    <w:snapToGrid w:val="0"/>
                    <w:jc w:val="center"/>
                    <w:rPr>
                      <w:szCs w:val="21"/>
                    </w:rPr>
                  </w:pPr>
                  <w:r>
                    <w:rPr>
                      <w:szCs w:val="21"/>
                    </w:rPr>
                    <w:t>0</w:t>
                  </w:r>
                </w:p>
              </w:tc>
              <w:tc>
                <w:tcPr>
                  <w:tcW w:w="887" w:type="dxa"/>
                  <w:vAlign w:val="center"/>
                </w:tcPr>
                <w:p>
                  <w:pPr>
                    <w:widowControl/>
                    <w:snapToGrid w:val="0"/>
                    <w:jc w:val="center"/>
                    <w:rPr>
                      <w:szCs w:val="21"/>
                    </w:rPr>
                  </w:pPr>
                  <w:r>
                    <w:rPr>
                      <w:szCs w:val="21"/>
                    </w:rPr>
                    <w:t>达标</w:t>
                  </w:r>
                </w:p>
              </w:tc>
            </w:tr>
          </w:tbl>
          <w:p>
            <w:pPr>
              <w:spacing w:line="360" w:lineRule="auto"/>
              <w:ind w:firstLine="480" w:firstLineChars="200"/>
              <w:rPr>
                <w:kern w:val="0"/>
                <w:sz w:val="24"/>
                <w:szCs w:val="24"/>
              </w:rPr>
            </w:pPr>
            <w:r>
              <w:rPr>
                <w:bCs/>
                <w:kern w:val="0"/>
                <w:sz w:val="24"/>
                <w:szCs w:val="24"/>
              </w:rPr>
              <w:t>根据上表，TSP24小时平均值监测结果均满足</w:t>
            </w:r>
            <w:r>
              <w:rPr>
                <w:kern w:val="0"/>
                <w:sz w:val="24"/>
                <w:szCs w:val="24"/>
              </w:rPr>
              <w:t>《环境空气质量标准》（GB3095-2012）中二级标准要求。</w:t>
            </w:r>
          </w:p>
          <w:p>
            <w:pPr>
              <w:spacing w:line="360" w:lineRule="auto"/>
              <w:ind w:firstLine="482" w:firstLineChars="200"/>
              <w:rPr>
                <w:b/>
                <w:bCs/>
                <w:sz w:val="24"/>
                <w:szCs w:val="24"/>
              </w:rPr>
            </w:pPr>
            <w:r>
              <w:rPr>
                <w:b/>
                <w:bCs/>
                <w:sz w:val="24"/>
                <w:szCs w:val="24"/>
              </w:rPr>
              <w:t>2、声环境质量现状</w:t>
            </w:r>
          </w:p>
          <w:p>
            <w:pPr>
              <w:spacing w:line="360" w:lineRule="auto"/>
              <w:ind w:firstLine="480" w:firstLineChars="200"/>
              <w:rPr>
                <w:bCs/>
                <w:kern w:val="0"/>
                <w:sz w:val="24"/>
                <w:szCs w:val="24"/>
              </w:rPr>
            </w:pPr>
            <w:r>
              <w:rPr>
                <w:kern w:val="0"/>
                <w:sz w:val="24"/>
                <w:szCs w:val="24"/>
              </w:rPr>
              <w:t>根据</w:t>
            </w:r>
            <w:r>
              <w:rPr>
                <w:bCs/>
                <w:kern w:val="0"/>
                <w:sz w:val="24"/>
                <w:szCs w:val="24"/>
              </w:rPr>
              <w:t>陕西林泉环境检测技术有限公司《丹凤县建筑垃圾处置场扩容工程环境质量现状监测检测报告》（HP-2021-06-116），统计结果见表3-3。</w:t>
            </w:r>
          </w:p>
          <w:p>
            <w:pPr>
              <w:ind w:firstLine="420" w:firstLineChars="200"/>
              <w:jc w:val="center"/>
              <w:rPr>
                <w:bCs/>
                <w:kern w:val="0"/>
                <w:szCs w:val="21"/>
              </w:rPr>
            </w:pPr>
            <w:r>
              <w:rPr>
                <w:bCs/>
                <w:kern w:val="0"/>
                <w:szCs w:val="21"/>
              </w:rPr>
              <w:t>表3-3噪声现状监测表</w:t>
            </w:r>
          </w:p>
          <w:tbl>
            <w:tblPr>
              <w:tblStyle w:val="23"/>
              <w:tblW w:w="8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64"/>
              <w:gridCol w:w="929"/>
              <w:gridCol w:w="815"/>
              <w:gridCol w:w="815"/>
              <w:gridCol w:w="815"/>
              <w:gridCol w:w="813"/>
              <w:gridCol w:w="81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vMerge w:val="restart"/>
                </w:tcPr>
                <w:p>
                  <w:pPr>
                    <w:jc w:val="center"/>
                    <w:rPr>
                      <w:bCs/>
                      <w:kern w:val="0"/>
                      <w:szCs w:val="21"/>
                    </w:rPr>
                  </w:pPr>
                  <w:r>
                    <w:rPr>
                      <w:bCs/>
                      <w:kern w:val="0"/>
                      <w:szCs w:val="21"/>
                    </w:rPr>
                    <w:t>监测时间</w:t>
                  </w:r>
                </w:p>
              </w:tc>
              <w:tc>
                <w:tcPr>
                  <w:tcW w:w="1793" w:type="dxa"/>
                  <w:gridSpan w:val="2"/>
                </w:tcPr>
                <w:p>
                  <w:pPr>
                    <w:jc w:val="center"/>
                    <w:rPr>
                      <w:bCs/>
                      <w:kern w:val="0"/>
                      <w:szCs w:val="21"/>
                    </w:rPr>
                  </w:pPr>
                  <w:r>
                    <w:rPr>
                      <w:color w:val="000000"/>
                      <w:szCs w:val="21"/>
                    </w:rPr>
                    <w:t>N1</w:t>
                  </w:r>
                </w:p>
              </w:tc>
              <w:tc>
                <w:tcPr>
                  <w:tcW w:w="1630" w:type="dxa"/>
                  <w:gridSpan w:val="2"/>
                </w:tcPr>
                <w:p>
                  <w:pPr>
                    <w:jc w:val="center"/>
                    <w:rPr>
                      <w:bCs/>
                      <w:kern w:val="0"/>
                      <w:szCs w:val="21"/>
                    </w:rPr>
                  </w:pPr>
                  <w:r>
                    <w:rPr>
                      <w:color w:val="000000"/>
                      <w:szCs w:val="21"/>
                    </w:rPr>
                    <w:t>N2</w:t>
                  </w:r>
                </w:p>
              </w:tc>
              <w:tc>
                <w:tcPr>
                  <w:tcW w:w="1628" w:type="dxa"/>
                  <w:gridSpan w:val="2"/>
                </w:tcPr>
                <w:p>
                  <w:pPr>
                    <w:jc w:val="center"/>
                    <w:rPr>
                      <w:bCs/>
                      <w:kern w:val="0"/>
                      <w:szCs w:val="21"/>
                    </w:rPr>
                  </w:pPr>
                  <w:r>
                    <w:rPr>
                      <w:color w:val="000000"/>
                      <w:szCs w:val="21"/>
                    </w:rPr>
                    <w:t>N3</w:t>
                  </w:r>
                </w:p>
              </w:tc>
              <w:tc>
                <w:tcPr>
                  <w:tcW w:w="1676" w:type="dxa"/>
                  <w:gridSpan w:val="2"/>
                </w:tcPr>
                <w:p>
                  <w:pPr>
                    <w:jc w:val="center"/>
                    <w:rPr>
                      <w:bCs/>
                      <w:kern w:val="0"/>
                      <w:szCs w:val="21"/>
                    </w:rPr>
                  </w:pPr>
                  <w:r>
                    <w:rPr>
                      <w:color w:val="000000"/>
                      <w:szCs w:val="21"/>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436" w:type="dxa"/>
                  <w:vMerge w:val="continue"/>
                </w:tcPr>
                <w:p>
                  <w:pPr>
                    <w:jc w:val="center"/>
                    <w:rPr>
                      <w:bCs/>
                      <w:kern w:val="0"/>
                      <w:szCs w:val="21"/>
                    </w:rPr>
                  </w:pPr>
                </w:p>
              </w:tc>
              <w:tc>
                <w:tcPr>
                  <w:tcW w:w="1793" w:type="dxa"/>
                  <w:gridSpan w:val="2"/>
                </w:tcPr>
                <w:p>
                  <w:pPr>
                    <w:jc w:val="center"/>
                    <w:rPr>
                      <w:bCs/>
                      <w:kern w:val="0"/>
                      <w:szCs w:val="21"/>
                    </w:rPr>
                  </w:pPr>
                  <w:r>
                    <w:t>东厂界</w:t>
                  </w:r>
                </w:p>
              </w:tc>
              <w:tc>
                <w:tcPr>
                  <w:tcW w:w="1630" w:type="dxa"/>
                  <w:gridSpan w:val="2"/>
                </w:tcPr>
                <w:p>
                  <w:pPr>
                    <w:jc w:val="center"/>
                    <w:rPr>
                      <w:bCs/>
                      <w:kern w:val="0"/>
                      <w:szCs w:val="21"/>
                    </w:rPr>
                  </w:pPr>
                  <w:r>
                    <w:t>南厂界</w:t>
                  </w:r>
                </w:p>
              </w:tc>
              <w:tc>
                <w:tcPr>
                  <w:tcW w:w="1628" w:type="dxa"/>
                  <w:gridSpan w:val="2"/>
                </w:tcPr>
                <w:p>
                  <w:pPr>
                    <w:jc w:val="center"/>
                    <w:rPr>
                      <w:bCs/>
                      <w:kern w:val="0"/>
                      <w:szCs w:val="21"/>
                    </w:rPr>
                  </w:pPr>
                  <w:r>
                    <w:t>南厂界</w:t>
                  </w:r>
                </w:p>
              </w:tc>
              <w:tc>
                <w:tcPr>
                  <w:tcW w:w="1676" w:type="dxa"/>
                  <w:gridSpan w:val="2"/>
                </w:tcPr>
                <w:p>
                  <w:pPr>
                    <w:jc w:val="center"/>
                    <w:rPr>
                      <w:bCs/>
                      <w:kern w:val="0"/>
                      <w:szCs w:val="21"/>
                    </w:rPr>
                  </w:pPr>
                  <w:r>
                    <w:t>西厂界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436" w:type="dxa"/>
                  <w:vMerge w:val="continue"/>
                </w:tcPr>
                <w:p>
                  <w:pPr>
                    <w:jc w:val="center"/>
                    <w:rPr>
                      <w:szCs w:val="21"/>
                    </w:rPr>
                  </w:pPr>
                </w:p>
              </w:tc>
              <w:tc>
                <w:tcPr>
                  <w:tcW w:w="864" w:type="dxa"/>
                  <w:vAlign w:val="center"/>
                </w:tcPr>
                <w:p>
                  <w:pPr>
                    <w:snapToGrid w:val="0"/>
                    <w:jc w:val="center"/>
                  </w:pPr>
                  <w:r>
                    <w:t>昼间</w:t>
                  </w:r>
                </w:p>
              </w:tc>
              <w:tc>
                <w:tcPr>
                  <w:tcW w:w="929" w:type="dxa"/>
                  <w:vAlign w:val="center"/>
                </w:tcPr>
                <w:p>
                  <w:pPr>
                    <w:snapToGrid w:val="0"/>
                    <w:jc w:val="center"/>
                  </w:pPr>
                  <w:r>
                    <w:t>夜间</w:t>
                  </w:r>
                </w:p>
              </w:tc>
              <w:tc>
                <w:tcPr>
                  <w:tcW w:w="815" w:type="dxa"/>
                  <w:vAlign w:val="center"/>
                </w:tcPr>
                <w:p>
                  <w:pPr>
                    <w:snapToGrid w:val="0"/>
                    <w:jc w:val="center"/>
                  </w:pPr>
                  <w:r>
                    <w:t>昼间</w:t>
                  </w:r>
                </w:p>
              </w:tc>
              <w:tc>
                <w:tcPr>
                  <w:tcW w:w="815" w:type="dxa"/>
                  <w:vAlign w:val="center"/>
                </w:tcPr>
                <w:p>
                  <w:pPr>
                    <w:snapToGrid w:val="0"/>
                    <w:jc w:val="center"/>
                  </w:pPr>
                  <w:r>
                    <w:t>夜间</w:t>
                  </w:r>
                </w:p>
              </w:tc>
              <w:tc>
                <w:tcPr>
                  <w:tcW w:w="815" w:type="dxa"/>
                  <w:vAlign w:val="center"/>
                </w:tcPr>
                <w:p>
                  <w:pPr>
                    <w:snapToGrid w:val="0"/>
                    <w:jc w:val="center"/>
                  </w:pPr>
                  <w:r>
                    <w:t>昼间</w:t>
                  </w:r>
                </w:p>
              </w:tc>
              <w:tc>
                <w:tcPr>
                  <w:tcW w:w="813" w:type="dxa"/>
                  <w:vAlign w:val="center"/>
                </w:tcPr>
                <w:p>
                  <w:pPr>
                    <w:snapToGrid w:val="0"/>
                    <w:jc w:val="center"/>
                  </w:pPr>
                  <w:r>
                    <w:t>夜间</w:t>
                  </w:r>
                </w:p>
              </w:tc>
              <w:tc>
                <w:tcPr>
                  <w:tcW w:w="815" w:type="dxa"/>
                  <w:vAlign w:val="center"/>
                </w:tcPr>
                <w:p>
                  <w:pPr>
                    <w:snapToGrid w:val="0"/>
                    <w:jc w:val="center"/>
                  </w:pPr>
                  <w:r>
                    <w:t>昼间</w:t>
                  </w:r>
                </w:p>
              </w:tc>
              <w:tc>
                <w:tcPr>
                  <w:tcW w:w="861" w:type="dxa"/>
                  <w:vAlign w:val="center"/>
                </w:tcPr>
                <w:p>
                  <w:pPr>
                    <w:snapToGrid w:val="0"/>
                    <w:jc w:val="cente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tcPr>
                <w:p>
                  <w:pPr>
                    <w:jc w:val="center"/>
                    <w:rPr>
                      <w:bCs/>
                      <w:kern w:val="0"/>
                      <w:szCs w:val="21"/>
                    </w:rPr>
                  </w:pPr>
                  <w:r>
                    <w:rPr>
                      <w:szCs w:val="21"/>
                    </w:rPr>
                    <w:t>2021.07.01</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56</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49</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54</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56</w:t>
                  </w:r>
                </w:p>
              </w:tc>
              <w:tc>
                <w:tcPr>
                  <w:tcW w:w="813"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57</w:t>
                  </w:r>
                </w:p>
              </w:tc>
              <w:tc>
                <w:tcPr>
                  <w:tcW w:w="861" w:type="dxa"/>
                  <w:vAlign w:val="center"/>
                </w:tcPr>
                <w:p>
                  <w:pPr>
                    <w:snapToGrid w:val="0"/>
                    <w:ind w:left="-105" w:leftChars="-50" w:right="-53" w:rightChars="-25" w:firstLine="50" w:firstLineChars="24"/>
                    <w:jc w:val="center"/>
                    <w:rPr>
                      <w:color w:val="000000"/>
                      <w:szCs w:val="21"/>
                    </w:rPr>
                  </w:pPr>
                  <w:r>
                    <w:rPr>
                      <w:color w:val="00000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36" w:type="dxa"/>
                </w:tcPr>
                <w:p>
                  <w:pPr>
                    <w:jc w:val="center"/>
                    <w:rPr>
                      <w:bCs/>
                      <w:kern w:val="0"/>
                      <w:szCs w:val="21"/>
                    </w:rPr>
                  </w:pPr>
                  <w:r>
                    <w:rPr>
                      <w:szCs w:val="21"/>
                    </w:rPr>
                    <w:t>2021.07.02</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54</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55</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54</w:t>
                  </w:r>
                </w:p>
              </w:tc>
              <w:tc>
                <w:tcPr>
                  <w:tcW w:w="813"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53</w:t>
                  </w:r>
                </w:p>
              </w:tc>
              <w:tc>
                <w:tcPr>
                  <w:tcW w:w="861" w:type="dxa"/>
                  <w:vAlign w:val="center"/>
                </w:tcPr>
                <w:p>
                  <w:pPr>
                    <w:snapToGrid w:val="0"/>
                    <w:ind w:left="-105" w:leftChars="-50" w:right="-53" w:rightChars="-25" w:firstLine="50" w:firstLineChars="24"/>
                    <w:jc w:val="center"/>
                    <w:rPr>
                      <w:color w:val="000000"/>
                      <w:szCs w:val="21"/>
                    </w:rPr>
                  </w:pPr>
                  <w:r>
                    <w:rPr>
                      <w:color w:val="00000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36" w:type="dxa"/>
                </w:tcPr>
                <w:p>
                  <w:pPr>
                    <w:jc w:val="center"/>
                    <w:rPr>
                      <w:szCs w:val="21"/>
                    </w:rPr>
                  </w:pPr>
                  <w:r>
                    <w:rPr>
                      <w:szCs w:val="21"/>
                    </w:rPr>
                    <w:t>标准值</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60</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50</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60</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50</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60</w:t>
                  </w:r>
                </w:p>
              </w:tc>
              <w:tc>
                <w:tcPr>
                  <w:tcW w:w="813" w:type="dxa"/>
                  <w:vAlign w:val="center"/>
                </w:tcPr>
                <w:p>
                  <w:pPr>
                    <w:snapToGrid w:val="0"/>
                    <w:ind w:left="-105" w:leftChars="-50" w:right="-53" w:rightChars="-25" w:firstLine="50" w:firstLineChars="24"/>
                    <w:jc w:val="center"/>
                    <w:rPr>
                      <w:color w:val="000000"/>
                      <w:szCs w:val="21"/>
                    </w:rPr>
                  </w:pPr>
                  <w:r>
                    <w:rPr>
                      <w:color w:val="000000"/>
                      <w:szCs w:val="21"/>
                    </w:rPr>
                    <w:t>50</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60</w:t>
                  </w:r>
                </w:p>
              </w:tc>
              <w:tc>
                <w:tcPr>
                  <w:tcW w:w="861" w:type="dxa"/>
                  <w:vAlign w:val="center"/>
                </w:tcPr>
                <w:p>
                  <w:pPr>
                    <w:snapToGrid w:val="0"/>
                    <w:ind w:left="-105" w:leftChars="-50" w:right="-53" w:rightChars="-25" w:firstLine="50" w:firstLineChars="24"/>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36" w:type="dxa"/>
                </w:tcPr>
                <w:p>
                  <w:pPr>
                    <w:jc w:val="center"/>
                    <w:rPr>
                      <w:szCs w:val="21"/>
                    </w:rPr>
                  </w:pPr>
                  <w:r>
                    <w:rPr>
                      <w:szCs w:val="21"/>
                    </w:rPr>
                    <w:t>达标情况</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3"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61" w:type="dxa"/>
                  <w:vAlign w:val="center"/>
                </w:tcPr>
                <w:p>
                  <w:pPr>
                    <w:snapToGrid w:val="0"/>
                    <w:ind w:left="-105" w:leftChars="-50" w:right="-53" w:rightChars="-25" w:firstLine="50" w:firstLineChars="24"/>
                    <w:jc w:val="center"/>
                    <w:rPr>
                      <w:color w:val="000000"/>
                      <w:szCs w:val="21"/>
                    </w:rPr>
                  </w:pPr>
                  <w:r>
                    <w:rPr>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vMerge w:val="restart"/>
                </w:tcPr>
                <w:p>
                  <w:pPr>
                    <w:jc w:val="center"/>
                    <w:rPr>
                      <w:bCs/>
                      <w:kern w:val="0"/>
                      <w:szCs w:val="21"/>
                    </w:rPr>
                  </w:pPr>
                  <w:r>
                    <w:rPr>
                      <w:bCs/>
                      <w:kern w:val="0"/>
                      <w:szCs w:val="21"/>
                    </w:rPr>
                    <w:t>监测时间</w:t>
                  </w:r>
                </w:p>
              </w:tc>
              <w:tc>
                <w:tcPr>
                  <w:tcW w:w="1793" w:type="dxa"/>
                  <w:gridSpan w:val="2"/>
                </w:tcPr>
                <w:p>
                  <w:pPr>
                    <w:jc w:val="center"/>
                    <w:rPr>
                      <w:bCs/>
                      <w:kern w:val="0"/>
                      <w:szCs w:val="21"/>
                    </w:rPr>
                  </w:pPr>
                  <w:r>
                    <w:rPr>
                      <w:color w:val="000000"/>
                      <w:szCs w:val="21"/>
                    </w:rPr>
                    <w:t>N5</w:t>
                  </w:r>
                </w:p>
              </w:tc>
              <w:tc>
                <w:tcPr>
                  <w:tcW w:w="1630" w:type="dxa"/>
                  <w:gridSpan w:val="2"/>
                </w:tcPr>
                <w:p>
                  <w:pPr>
                    <w:jc w:val="center"/>
                    <w:rPr>
                      <w:bCs/>
                      <w:kern w:val="0"/>
                      <w:szCs w:val="21"/>
                    </w:rPr>
                  </w:pPr>
                  <w:r>
                    <w:rPr>
                      <w:color w:val="000000"/>
                      <w:szCs w:val="21"/>
                    </w:rPr>
                    <w:t>N6</w:t>
                  </w:r>
                </w:p>
              </w:tc>
              <w:tc>
                <w:tcPr>
                  <w:tcW w:w="3304" w:type="dxa"/>
                  <w:gridSpan w:val="4"/>
                </w:tcPr>
                <w:p>
                  <w:pPr>
                    <w:jc w:val="center"/>
                    <w:rPr>
                      <w:bCs/>
                      <w:kern w:val="0"/>
                      <w:szCs w:val="21"/>
                    </w:rPr>
                  </w:pPr>
                  <w:r>
                    <w:rPr>
                      <w:color w:val="000000"/>
                      <w:szCs w:val="21"/>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36" w:type="dxa"/>
                  <w:vMerge w:val="continue"/>
                </w:tcPr>
                <w:p>
                  <w:pPr>
                    <w:jc w:val="center"/>
                    <w:rPr>
                      <w:bCs/>
                      <w:kern w:val="0"/>
                      <w:szCs w:val="21"/>
                    </w:rPr>
                  </w:pPr>
                </w:p>
              </w:tc>
              <w:tc>
                <w:tcPr>
                  <w:tcW w:w="1793" w:type="dxa"/>
                  <w:gridSpan w:val="2"/>
                </w:tcPr>
                <w:p>
                  <w:pPr>
                    <w:jc w:val="center"/>
                    <w:rPr>
                      <w:bCs/>
                      <w:kern w:val="0"/>
                      <w:szCs w:val="21"/>
                    </w:rPr>
                  </w:pPr>
                  <w:r>
                    <w:t>北厂界</w:t>
                  </w:r>
                </w:p>
              </w:tc>
              <w:tc>
                <w:tcPr>
                  <w:tcW w:w="1630" w:type="dxa"/>
                  <w:gridSpan w:val="2"/>
                </w:tcPr>
                <w:p>
                  <w:pPr>
                    <w:jc w:val="center"/>
                    <w:rPr>
                      <w:bCs/>
                      <w:kern w:val="0"/>
                      <w:szCs w:val="21"/>
                    </w:rPr>
                  </w:pPr>
                  <w:r>
                    <w:t>北厂界</w:t>
                  </w:r>
                </w:p>
              </w:tc>
              <w:tc>
                <w:tcPr>
                  <w:tcW w:w="3304" w:type="dxa"/>
                  <w:gridSpan w:val="4"/>
                </w:tcPr>
                <w:p>
                  <w:pPr>
                    <w:jc w:val="center"/>
                    <w:rPr>
                      <w:bCs/>
                      <w:kern w:val="0"/>
                      <w:szCs w:val="21"/>
                    </w:rPr>
                  </w:pPr>
                  <w:r>
                    <w:t>项目敏感点（</w:t>
                  </w:r>
                  <w:r>
                    <w:rPr>
                      <w:sz w:val="18"/>
                      <w:szCs w:val="18"/>
                    </w:rPr>
                    <w:t>椒树洼组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vMerge w:val="continue"/>
                </w:tcPr>
                <w:p>
                  <w:pPr>
                    <w:jc w:val="center"/>
                    <w:rPr>
                      <w:bCs/>
                      <w:kern w:val="0"/>
                      <w:szCs w:val="21"/>
                    </w:rPr>
                  </w:pPr>
                </w:p>
              </w:tc>
              <w:tc>
                <w:tcPr>
                  <w:tcW w:w="864" w:type="dxa"/>
                  <w:vAlign w:val="center"/>
                </w:tcPr>
                <w:p>
                  <w:pPr>
                    <w:snapToGrid w:val="0"/>
                    <w:jc w:val="center"/>
                  </w:pPr>
                  <w:r>
                    <w:t>昼间</w:t>
                  </w:r>
                </w:p>
              </w:tc>
              <w:tc>
                <w:tcPr>
                  <w:tcW w:w="929" w:type="dxa"/>
                  <w:vAlign w:val="center"/>
                </w:tcPr>
                <w:p>
                  <w:pPr>
                    <w:snapToGrid w:val="0"/>
                    <w:jc w:val="center"/>
                  </w:pPr>
                  <w:r>
                    <w:t>夜间</w:t>
                  </w:r>
                </w:p>
              </w:tc>
              <w:tc>
                <w:tcPr>
                  <w:tcW w:w="815" w:type="dxa"/>
                  <w:vAlign w:val="center"/>
                </w:tcPr>
                <w:p>
                  <w:pPr>
                    <w:snapToGrid w:val="0"/>
                    <w:jc w:val="center"/>
                  </w:pPr>
                  <w:r>
                    <w:t>昼间</w:t>
                  </w:r>
                </w:p>
              </w:tc>
              <w:tc>
                <w:tcPr>
                  <w:tcW w:w="815" w:type="dxa"/>
                  <w:vAlign w:val="center"/>
                </w:tcPr>
                <w:p>
                  <w:pPr>
                    <w:snapToGrid w:val="0"/>
                    <w:jc w:val="center"/>
                  </w:pPr>
                  <w:r>
                    <w:t>夜间</w:t>
                  </w:r>
                </w:p>
              </w:tc>
              <w:tc>
                <w:tcPr>
                  <w:tcW w:w="1628" w:type="dxa"/>
                  <w:gridSpan w:val="2"/>
                  <w:vAlign w:val="center"/>
                </w:tcPr>
                <w:p>
                  <w:pPr>
                    <w:snapToGrid w:val="0"/>
                    <w:jc w:val="center"/>
                  </w:pPr>
                  <w:r>
                    <w:t>昼间</w:t>
                  </w:r>
                </w:p>
              </w:tc>
              <w:tc>
                <w:tcPr>
                  <w:tcW w:w="1676" w:type="dxa"/>
                  <w:gridSpan w:val="2"/>
                </w:tcPr>
                <w:p>
                  <w:pPr>
                    <w:jc w:val="center"/>
                    <w:rPr>
                      <w:bCs/>
                      <w:kern w:val="0"/>
                      <w:szCs w:val="21"/>
                    </w:rPr>
                  </w:pPr>
                  <w: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36" w:type="dxa"/>
                </w:tcPr>
                <w:p>
                  <w:pPr>
                    <w:jc w:val="center"/>
                    <w:rPr>
                      <w:bCs/>
                      <w:kern w:val="0"/>
                      <w:szCs w:val="21"/>
                    </w:rPr>
                  </w:pPr>
                  <w:r>
                    <w:rPr>
                      <w:szCs w:val="21"/>
                    </w:rPr>
                    <w:t>2021.07.01</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53</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53</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1628" w:type="dxa"/>
                  <w:gridSpan w:val="2"/>
                  <w:vAlign w:val="center"/>
                </w:tcPr>
                <w:p>
                  <w:pPr>
                    <w:snapToGrid w:val="0"/>
                    <w:ind w:left="-105" w:leftChars="-50" w:right="-53" w:rightChars="-25" w:firstLine="50" w:firstLineChars="24"/>
                    <w:jc w:val="center"/>
                    <w:rPr>
                      <w:color w:val="000000"/>
                      <w:szCs w:val="21"/>
                    </w:rPr>
                  </w:pPr>
                  <w:r>
                    <w:rPr>
                      <w:color w:val="000000"/>
                      <w:szCs w:val="21"/>
                    </w:rPr>
                    <w:t>53</w:t>
                  </w:r>
                </w:p>
              </w:tc>
              <w:tc>
                <w:tcPr>
                  <w:tcW w:w="1676" w:type="dxa"/>
                  <w:gridSpan w:val="2"/>
                  <w:vAlign w:val="center"/>
                </w:tcPr>
                <w:p>
                  <w:pPr>
                    <w:snapToGrid w:val="0"/>
                    <w:ind w:left="-105" w:leftChars="-50" w:right="-53" w:rightChars="-25" w:firstLine="50" w:firstLineChars="24"/>
                    <w:jc w:val="center"/>
                    <w:rPr>
                      <w:color w:val="000000"/>
                      <w:szCs w:val="21"/>
                    </w:rPr>
                  </w:pPr>
                  <w:r>
                    <w:rPr>
                      <w:color w:val="00000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tcPr>
                <w:p>
                  <w:pPr>
                    <w:jc w:val="center"/>
                    <w:rPr>
                      <w:bCs/>
                      <w:kern w:val="0"/>
                      <w:szCs w:val="21"/>
                    </w:rPr>
                  </w:pPr>
                  <w:r>
                    <w:rPr>
                      <w:szCs w:val="21"/>
                    </w:rPr>
                    <w:t>2021.07.02</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53</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47</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53</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48</w:t>
                  </w:r>
                </w:p>
              </w:tc>
              <w:tc>
                <w:tcPr>
                  <w:tcW w:w="1628" w:type="dxa"/>
                  <w:gridSpan w:val="2"/>
                  <w:vAlign w:val="center"/>
                </w:tcPr>
                <w:p>
                  <w:pPr>
                    <w:snapToGrid w:val="0"/>
                    <w:ind w:left="-105" w:leftChars="-50" w:right="-53" w:rightChars="-25" w:firstLine="50" w:firstLineChars="24"/>
                    <w:jc w:val="center"/>
                    <w:rPr>
                      <w:color w:val="000000"/>
                      <w:szCs w:val="21"/>
                    </w:rPr>
                  </w:pPr>
                  <w:r>
                    <w:rPr>
                      <w:color w:val="000000"/>
                      <w:szCs w:val="21"/>
                    </w:rPr>
                    <w:t>52</w:t>
                  </w:r>
                </w:p>
              </w:tc>
              <w:tc>
                <w:tcPr>
                  <w:tcW w:w="1676" w:type="dxa"/>
                  <w:gridSpan w:val="2"/>
                  <w:vAlign w:val="center"/>
                </w:tcPr>
                <w:p>
                  <w:pPr>
                    <w:snapToGrid w:val="0"/>
                    <w:ind w:left="-105" w:leftChars="-50" w:right="-53" w:rightChars="-25" w:firstLine="50" w:firstLineChars="24"/>
                    <w:jc w:val="center"/>
                    <w:rPr>
                      <w:color w:val="000000"/>
                      <w:szCs w:val="21"/>
                    </w:rPr>
                  </w:pPr>
                  <w:r>
                    <w:rPr>
                      <w:color w:val="00000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tcPr>
                <w:p>
                  <w:pPr>
                    <w:jc w:val="center"/>
                    <w:rPr>
                      <w:bCs/>
                      <w:kern w:val="0"/>
                      <w:szCs w:val="21"/>
                    </w:rPr>
                  </w:pPr>
                  <w:r>
                    <w:rPr>
                      <w:szCs w:val="21"/>
                    </w:rPr>
                    <w:t>标准值</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60</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50</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60</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50</w:t>
                  </w:r>
                </w:p>
              </w:tc>
              <w:tc>
                <w:tcPr>
                  <w:tcW w:w="1628" w:type="dxa"/>
                  <w:gridSpan w:val="2"/>
                  <w:vAlign w:val="center"/>
                </w:tcPr>
                <w:p>
                  <w:pPr>
                    <w:snapToGrid w:val="0"/>
                    <w:ind w:left="-105" w:leftChars="-50" w:right="-53" w:rightChars="-25" w:firstLine="50" w:firstLineChars="24"/>
                    <w:jc w:val="center"/>
                    <w:rPr>
                      <w:color w:val="000000"/>
                      <w:szCs w:val="21"/>
                    </w:rPr>
                  </w:pPr>
                  <w:r>
                    <w:rPr>
                      <w:color w:val="000000"/>
                      <w:szCs w:val="21"/>
                    </w:rPr>
                    <w:t>60</w:t>
                  </w:r>
                </w:p>
              </w:tc>
              <w:tc>
                <w:tcPr>
                  <w:tcW w:w="1676" w:type="dxa"/>
                  <w:gridSpan w:val="2"/>
                  <w:vAlign w:val="center"/>
                </w:tcPr>
                <w:p>
                  <w:pPr>
                    <w:snapToGrid w:val="0"/>
                    <w:ind w:left="-105" w:leftChars="-50" w:right="-53" w:rightChars="-25" w:firstLine="50" w:firstLineChars="24"/>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36" w:type="dxa"/>
                </w:tcPr>
                <w:p>
                  <w:pPr>
                    <w:jc w:val="center"/>
                    <w:rPr>
                      <w:szCs w:val="21"/>
                    </w:rPr>
                  </w:pPr>
                  <w:r>
                    <w:rPr>
                      <w:szCs w:val="21"/>
                    </w:rPr>
                    <w:t>达标情况</w:t>
                  </w:r>
                </w:p>
              </w:tc>
              <w:tc>
                <w:tcPr>
                  <w:tcW w:w="864"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929"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815" w:type="dxa"/>
                  <w:vAlign w:val="center"/>
                </w:tcPr>
                <w:p>
                  <w:pPr>
                    <w:snapToGrid w:val="0"/>
                    <w:ind w:left="-105" w:leftChars="-50" w:right="-53" w:rightChars="-25" w:firstLine="50" w:firstLineChars="24"/>
                    <w:jc w:val="center"/>
                    <w:rPr>
                      <w:color w:val="000000"/>
                      <w:szCs w:val="21"/>
                    </w:rPr>
                  </w:pPr>
                  <w:r>
                    <w:rPr>
                      <w:color w:val="000000"/>
                      <w:szCs w:val="21"/>
                    </w:rPr>
                    <w:t>达标</w:t>
                  </w:r>
                </w:p>
              </w:tc>
              <w:tc>
                <w:tcPr>
                  <w:tcW w:w="1628" w:type="dxa"/>
                  <w:gridSpan w:val="2"/>
                  <w:vAlign w:val="center"/>
                </w:tcPr>
                <w:p>
                  <w:pPr>
                    <w:snapToGrid w:val="0"/>
                    <w:ind w:left="-105" w:leftChars="-50" w:right="-53" w:rightChars="-25" w:firstLine="50" w:firstLineChars="24"/>
                    <w:jc w:val="center"/>
                    <w:rPr>
                      <w:color w:val="000000"/>
                      <w:szCs w:val="21"/>
                    </w:rPr>
                  </w:pPr>
                  <w:r>
                    <w:rPr>
                      <w:color w:val="000000"/>
                      <w:szCs w:val="21"/>
                    </w:rPr>
                    <w:t>达标</w:t>
                  </w:r>
                </w:p>
              </w:tc>
              <w:tc>
                <w:tcPr>
                  <w:tcW w:w="1676" w:type="dxa"/>
                  <w:gridSpan w:val="2"/>
                  <w:vAlign w:val="center"/>
                </w:tcPr>
                <w:p>
                  <w:pPr>
                    <w:snapToGrid w:val="0"/>
                    <w:ind w:left="-105" w:leftChars="-50" w:right="-53" w:rightChars="-25" w:firstLine="50" w:firstLineChars="24"/>
                    <w:jc w:val="center"/>
                    <w:rPr>
                      <w:color w:val="000000"/>
                      <w:szCs w:val="21"/>
                    </w:rPr>
                  </w:pPr>
                  <w:r>
                    <w:rPr>
                      <w:color w:val="000000"/>
                      <w:szCs w:val="21"/>
                    </w:rPr>
                    <w:t>达标</w:t>
                  </w:r>
                </w:p>
              </w:tc>
            </w:tr>
          </w:tbl>
          <w:p>
            <w:pPr>
              <w:spacing w:line="360" w:lineRule="auto"/>
              <w:ind w:firstLine="480" w:firstLineChars="200"/>
              <w:jc w:val="left"/>
              <w:rPr>
                <w:bCs/>
                <w:sz w:val="24"/>
                <w:szCs w:val="24"/>
              </w:rPr>
            </w:pPr>
            <w:r>
              <w:rPr>
                <w:bCs/>
                <w:sz w:val="24"/>
                <w:szCs w:val="24"/>
              </w:rPr>
              <w:t>根据上表，拟建建筑垃圾堆填场周边环境昼间、夜间噪声均符合《声环境质量噪声标准》（GB3096-2008）中的2类标准，评价区声环境质量良好。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2" w:firstLineChars="200"/>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3、地下水现状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w:t>
            </w:r>
            <w:r>
              <w:rPr>
                <w:rFonts w:hint="eastAsia" w:ascii="Times New Roman" w:eastAsia="宋体" w:cs="Times New Roman"/>
                <w:color w:val="auto"/>
                <w:lang w:val="en-US" w:eastAsia="zh-CN"/>
              </w:rPr>
              <w:t>本工程的</w:t>
            </w:r>
            <w:r>
              <w:rPr>
                <w:rFonts w:hint="eastAsia" w:ascii="Times New Roman" w:hAnsi="Times New Roman" w:eastAsia="宋体" w:cs="Times New Roman"/>
                <w:color w:val="auto"/>
                <w:lang w:val="en-US" w:eastAsia="zh-CN"/>
              </w:rPr>
              <w:t>地质勘察报告，</w:t>
            </w:r>
            <w:r>
              <w:rPr>
                <w:rFonts w:hint="eastAsia" w:ascii="Times New Roman" w:eastAsia="宋体" w:cs="Times New Roman"/>
                <w:color w:val="auto"/>
                <w:lang w:val="en-US" w:eastAsia="zh-CN"/>
              </w:rPr>
              <w:t>在</w:t>
            </w:r>
            <w:r>
              <w:rPr>
                <w:rFonts w:hint="eastAsia" w:ascii="Times New Roman" w:hAnsi="Times New Roman" w:eastAsia="宋体" w:cs="Times New Roman"/>
                <w:color w:val="auto"/>
                <w:lang w:val="en-US" w:eastAsia="zh-CN"/>
              </w:rPr>
              <w:t>勘察期间，勘探孔深度为18.0~30.0m，在勘探深度范围内未见地下水，</w:t>
            </w:r>
            <w:r>
              <w:rPr>
                <w:rFonts w:hint="eastAsia" w:ascii="Times New Roman" w:eastAsia="宋体" w:cs="Times New Roman"/>
                <w:color w:val="auto"/>
                <w:lang w:val="en-US" w:eastAsia="zh-CN"/>
              </w:rPr>
              <w:t>且</w:t>
            </w:r>
            <w:r>
              <w:rPr>
                <w:rFonts w:hint="eastAsia" w:ascii="Times New Roman" w:hAnsi="Times New Roman" w:eastAsia="宋体" w:cs="Times New Roman"/>
                <w:color w:val="auto"/>
                <w:lang w:val="en-US" w:eastAsia="zh-CN"/>
              </w:rPr>
              <w:t>工程所在区域</w:t>
            </w:r>
            <w:r>
              <w:rPr>
                <w:rFonts w:hint="eastAsia" w:ascii="Times New Roman" w:eastAsia="宋体" w:cs="Times New Roman"/>
                <w:color w:val="auto"/>
                <w:lang w:val="en-US" w:eastAsia="zh-CN"/>
              </w:rPr>
              <w:t>附近</w:t>
            </w:r>
            <w:r>
              <w:rPr>
                <w:rFonts w:hint="eastAsia" w:ascii="Times New Roman" w:hAnsi="Times New Roman" w:eastAsia="宋体" w:cs="Times New Roman"/>
                <w:color w:val="auto"/>
                <w:lang w:val="en-US" w:eastAsia="zh-CN"/>
              </w:rPr>
              <w:t>内无地下水监测井。所以本次评价要求建设单位在堆填场投入使用前完成地下水监测井的建设，并对地下水进行监测，保留地下水背景值。</w:t>
            </w:r>
          </w:p>
          <w:p>
            <w:pPr>
              <w:numPr>
                <w:ilvl w:val="0"/>
                <w:numId w:val="0"/>
              </w:numPr>
              <w:spacing w:line="360" w:lineRule="auto"/>
              <w:ind w:left="420" w:leftChars="0"/>
              <w:jc w:val="left"/>
              <w:rPr>
                <w:rFonts w:hint="eastAsia"/>
                <w:b/>
                <w:bCs w:val="0"/>
                <w:sz w:val="24"/>
                <w:szCs w:val="24"/>
                <w:lang w:val="en-US" w:eastAsia="zh-CN"/>
              </w:rPr>
            </w:pPr>
            <w:r>
              <w:rPr>
                <w:rFonts w:hint="eastAsia"/>
                <w:b/>
                <w:bCs w:val="0"/>
                <w:sz w:val="24"/>
                <w:szCs w:val="24"/>
                <w:lang w:val="en-US" w:eastAsia="zh-CN"/>
              </w:rPr>
              <w:t>4、土壤环境现状</w:t>
            </w:r>
          </w:p>
          <w:p>
            <w:pPr>
              <w:spacing w:line="360" w:lineRule="auto"/>
              <w:ind w:firstLine="480" w:firstLineChars="200"/>
              <w:rPr>
                <w:bCs/>
                <w:kern w:val="0"/>
                <w:sz w:val="24"/>
                <w:szCs w:val="24"/>
              </w:rPr>
            </w:pPr>
            <w:r>
              <w:rPr>
                <w:kern w:val="0"/>
                <w:sz w:val="24"/>
                <w:szCs w:val="24"/>
              </w:rPr>
              <w:t>根据</w:t>
            </w:r>
            <w:r>
              <w:rPr>
                <w:bCs/>
                <w:kern w:val="0"/>
                <w:sz w:val="24"/>
                <w:szCs w:val="24"/>
              </w:rPr>
              <w:t>陕西林泉环境检测技术有限公司《丹凤县建筑垃圾处置场扩容工程环境质量现状监测检测报告》（HP-2021-06-116），统计结果见表3-</w:t>
            </w:r>
            <w:r>
              <w:rPr>
                <w:rFonts w:hint="eastAsia"/>
                <w:bCs/>
                <w:kern w:val="0"/>
                <w:sz w:val="24"/>
                <w:szCs w:val="24"/>
                <w:lang w:val="en-US" w:eastAsia="zh-CN"/>
              </w:rPr>
              <w:t>4</w:t>
            </w:r>
            <w:r>
              <w:rPr>
                <w:bCs/>
                <w:kern w:val="0"/>
                <w:sz w:val="24"/>
                <w:szCs w:val="24"/>
              </w:rPr>
              <w:t>。</w:t>
            </w:r>
          </w:p>
          <w:p>
            <w:pPr>
              <w:pStyle w:val="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kern w:val="0"/>
                <w:sz w:val="21"/>
                <w:szCs w:val="21"/>
                <w:lang w:eastAsia="zh-CN"/>
              </w:rPr>
              <w:t>表</w:t>
            </w:r>
            <w:r>
              <w:rPr>
                <w:rFonts w:hint="default" w:ascii="Times New Roman" w:hAnsi="Times New Roman" w:eastAsia="宋体" w:cs="Times New Roman"/>
                <w:bCs/>
                <w:kern w:val="0"/>
                <w:sz w:val="21"/>
                <w:szCs w:val="21"/>
                <w:lang w:val="en-US" w:eastAsia="zh-CN"/>
              </w:rPr>
              <w:t>3-4土壤环境现状监测一览表</w:t>
            </w:r>
          </w:p>
          <w:tbl>
            <w:tblPr>
              <w:tblStyle w:val="23"/>
              <w:tblW w:w="8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95"/>
              <w:gridCol w:w="3"/>
              <w:gridCol w:w="1915"/>
              <w:gridCol w:w="10"/>
              <w:gridCol w:w="1920"/>
              <w:gridCol w:w="8"/>
              <w:gridCol w:w="199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序号</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ascii="Times New Roman" w:hAnsi="Times New Roman" w:eastAsia="宋体" w:cs="Times New Roman"/>
                      <w:color w:val="auto"/>
                      <w:kern w:val="2"/>
                      <w:sz w:val="21"/>
                      <w:szCs w:val="21"/>
                      <w:lang w:val="en-US" w:eastAsia="zh-CN" w:bidi="ar-SA"/>
                    </w:rPr>
                  </w:pPr>
                  <w:r>
                    <w:rPr>
                      <w:color w:val="auto"/>
                      <w:szCs w:val="21"/>
                    </w:rPr>
                    <w:t>检测项目</w:t>
                  </w:r>
                </w:p>
              </w:tc>
              <w:tc>
                <w:tcPr>
                  <w:tcW w:w="1925"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sz w:val="21"/>
                      <w:szCs w:val="21"/>
                      <w:lang w:eastAsia="zh-CN"/>
                    </w:rPr>
                    <w:t>厂区西侧（</w:t>
                  </w:r>
                  <w:r>
                    <w:rPr>
                      <w:rFonts w:hint="eastAsia"/>
                      <w:sz w:val="21"/>
                      <w:szCs w:val="21"/>
                      <w:lang w:val="en-US" w:eastAsia="zh-CN"/>
                    </w:rPr>
                    <w:t>0-0.2cm</w:t>
                  </w:r>
                  <w:r>
                    <w:rPr>
                      <w:rFonts w:hint="eastAsia"/>
                      <w:sz w:val="21"/>
                      <w:szCs w:val="21"/>
                      <w:lang w:eastAsia="zh-CN"/>
                    </w:rPr>
                    <w:t>）</w:t>
                  </w:r>
                </w:p>
              </w:tc>
              <w:tc>
                <w:tcPr>
                  <w:tcW w:w="1928"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sz w:val="21"/>
                      <w:szCs w:val="21"/>
                      <w:lang w:eastAsia="zh-CN"/>
                    </w:rPr>
                    <w:t>厂区中部</w:t>
                  </w:r>
                  <w:r>
                    <w:rPr>
                      <w:rFonts w:hint="eastAsia" w:ascii="Times New Roman" w:hAnsi="Times New Roman" w:eastAsia="宋体"/>
                      <w:sz w:val="21"/>
                      <w:szCs w:val="21"/>
                      <w:lang w:eastAsia="zh-CN"/>
                    </w:rPr>
                    <w:t>（</w:t>
                  </w:r>
                  <w:r>
                    <w:rPr>
                      <w:rFonts w:hint="eastAsia"/>
                      <w:sz w:val="21"/>
                      <w:szCs w:val="21"/>
                      <w:lang w:val="en-US" w:eastAsia="zh-CN"/>
                    </w:rPr>
                    <w:t>1-0.2</w:t>
                  </w:r>
                  <w:r>
                    <w:rPr>
                      <w:rFonts w:hint="eastAsia" w:ascii="Times New Roman" w:hAnsi="Times New Roman" w:eastAsia="宋体"/>
                      <w:sz w:val="21"/>
                      <w:szCs w:val="21"/>
                      <w:lang w:val="en-US" w:eastAsia="zh-CN"/>
                    </w:rPr>
                    <w:t>cm</w:t>
                  </w:r>
                  <w:r>
                    <w:rPr>
                      <w:rFonts w:hint="eastAsia" w:ascii="Times New Roman" w:hAnsi="Times New Roman" w:eastAsia="宋体"/>
                      <w:sz w:val="21"/>
                      <w:szCs w:val="21"/>
                      <w:lang w:eastAsia="zh-CN"/>
                    </w:rPr>
                    <w:t>）</w:t>
                  </w:r>
                </w:p>
              </w:tc>
              <w:tc>
                <w:tcPr>
                  <w:tcW w:w="1999" w:type="dxa"/>
                  <w:gridSpan w:val="2"/>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eastAsia="宋体"/>
                      <w:sz w:val="21"/>
                      <w:szCs w:val="21"/>
                      <w:lang w:eastAsia="zh-CN"/>
                    </w:rPr>
                  </w:pPr>
                  <w:r>
                    <w:rPr>
                      <w:rFonts w:hint="eastAsia"/>
                      <w:sz w:val="21"/>
                      <w:szCs w:val="21"/>
                      <w:lang w:eastAsia="zh-CN"/>
                    </w:rPr>
                    <w:t>厂区东侧</w:t>
                  </w:r>
                  <w:r>
                    <w:rPr>
                      <w:rFonts w:hint="eastAsia" w:ascii="Times New Roman" w:hAnsi="Times New Roman" w:eastAsia="宋体"/>
                      <w:sz w:val="21"/>
                      <w:szCs w:val="21"/>
                      <w:lang w:eastAsia="zh-CN"/>
                    </w:rPr>
                    <w:t>（</w:t>
                  </w:r>
                  <w:r>
                    <w:rPr>
                      <w:rFonts w:hint="eastAsia"/>
                      <w:sz w:val="21"/>
                      <w:szCs w:val="21"/>
                      <w:lang w:val="en-US" w:eastAsia="zh-CN"/>
                    </w:rPr>
                    <w:t>2-0.2</w:t>
                  </w:r>
                  <w:r>
                    <w:rPr>
                      <w:rFonts w:hint="eastAsia" w:ascii="Times New Roman" w:hAnsi="Times New Roman" w:eastAsia="宋体"/>
                      <w:sz w:val="21"/>
                      <w:szCs w:val="21"/>
                      <w:lang w:val="en-US" w:eastAsia="zh-CN"/>
                    </w:rPr>
                    <w:t>cm</w:t>
                  </w:r>
                  <w:r>
                    <w:rPr>
                      <w:rFonts w:hint="eastAsia" w:ascii="Times New Roman" w:hAnsi="Times New Roman"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76" w:type="dxa"/>
                  <w:gridSpan w:val="9"/>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left"/>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*重金属</w:t>
                  </w:r>
                  <w:r>
                    <w:rPr>
                      <w:rFonts w:hint="eastAsia"/>
                      <w:sz w:val="21"/>
                      <w:szCs w:val="21"/>
                      <w:lang w:eastAsia="zh-CN"/>
                    </w:rPr>
                    <w:t>单位：</w:t>
                  </w:r>
                  <w:r>
                    <w:rPr>
                      <w:rFonts w:hint="eastAsia"/>
                      <w:color w:val="auto"/>
                      <w:szCs w:val="21"/>
                      <w:lang w:val="en-US" w:eastAsia="zh-CN"/>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eastAsia="宋体"/>
                      <w:color w:val="auto"/>
                      <w:szCs w:val="21"/>
                      <w:lang w:val="en-US" w:eastAsia="zh-CN"/>
                    </w:rPr>
                  </w:pPr>
                  <w:r>
                    <w:rPr>
                      <w:rFonts w:hint="eastAsia"/>
                      <w:color w:val="auto"/>
                      <w:szCs w:val="21"/>
                      <w:lang w:val="en-US" w:eastAsia="zh-CN"/>
                    </w:rPr>
                    <w:t>1</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szCs w:val="21"/>
                    </w:rPr>
                  </w:pPr>
                  <w:r>
                    <w:rPr>
                      <w:rFonts w:hint="eastAsia"/>
                      <w:color w:val="auto"/>
                      <w:szCs w:val="21"/>
                    </w:rPr>
                    <w:t>砷</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11.7</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9.57</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eastAsia="宋体"/>
                      <w:color w:val="auto"/>
                      <w:szCs w:val="21"/>
                      <w:lang w:val="en-US" w:eastAsia="zh-CN"/>
                    </w:rPr>
                  </w:pPr>
                  <w:r>
                    <w:rPr>
                      <w:rFonts w:hint="eastAsia"/>
                      <w:color w:val="auto"/>
                      <w:szCs w:val="21"/>
                      <w:lang w:val="en-US" w:eastAsia="zh-CN"/>
                    </w:rPr>
                    <w:t>2</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olor w:val="FF0000"/>
                      <w:szCs w:val="21"/>
                    </w:rPr>
                  </w:pPr>
                  <w:r>
                    <w:rPr>
                      <w:rFonts w:hint="eastAsia" w:cs="Times New Roman"/>
                      <w:color w:val="auto"/>
                      <w:kern w:val="2"/>
                      <w:sz w:val="21"/>
                      <w:szCs w:val="21"/>
                      <w:lang w:val="en-US" w:eastAsia="zh-CN" w:bidi="ar-SA"/>
                    </w:rPr>
                    <w:t>镉</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0.18</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0.23</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olor w:val="auto"/>
                      <w:szCs w:val="21"/>
                      <w:lang w:val="en-US" w:eastAsia="zh-CN"/>
                    </w:rPr>
                  </w:pPr>
                  <w:r>
                    <w:rPr>
                      <w:rFonts w:hint="eastAsia"/>
                      <w:color w:val="auto"/>
                      <w:szCs w:val="21"/>
                      <w:lang w:val="en-US" w:eastAsia="zh-CN"/>
                    </w:rPr>
                    <w:t>3</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六价铬</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ND0.5</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ND0.5</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ND0.5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color w:val="auto"/>
                      <w:szCs w:val="21"/>
                      <w:lang w:val="en-US" w:eastAsia="zh-CN"/>
                    </w:rPr>
                  </w:pPr>
                  <w:r>
                    <w:rPr>
                      <w:rFonts w:hint="eastAsia"/>
                      <w:color w:val="auto"/>
                      <w:szCs w:val="21"/>
                      <w:lang w:val="en-US" w:eastAsia="zh-CN"/>
                    </w:rPr>
                    <w:t>4</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铜</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25</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40</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color w:val="auto"/>
                      <w:szCs w:val="21"/>
                      <w:lang w:val="en-US" w:eastAsia="zh-CN"/>
                    </w:rPr>
                  </w:pPr>
                  <w:r>
                    <w:rPr>
                      <w:rFonts w:hint="eastAsia"/>
                      <w:color w:val="auto"/>
                      <w:szCs w:val="21"/>
                      <w:lang w:val="en-US" w:eastAsia="zh-CN"/>
                    </w:rPr>
                    <w:t>5</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铅</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26</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22</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color w:val="auto"/>
                      <w:szCs w:val="21"/>
                      <w:lang w:val="en-US" w:eastAsia="zh-CN"/>
                    </w:rPr>
                  </w:pPr>
                  <w:r>
                    <w:rPr>
                      <w:rFonts w:hint="eastAsia"/>
                      <w:color w:val="auto"/>
                      <w:szCs w:val="21"/>
                      <w:lang w:val="en-US" w:eastAsia="zh-CN"/>
                    </w:rPr>
                    <w:t>6</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cs="Times New Roman"/>
                      <w:color w:val="auto"/>
                      <w:kern w:val="2"/>
                      <w:sz w:val="21"/>
                      <w:szCs w:val="21"/>
                      <w:lang w:val="en-US" w:eastAsia="zh-CN" w:bidi="ar-SA"/>
                    </w:rPr>
                  </w:pPr>
                  <w:r>
                    <w:rPr>
                      <w:rFonts w:hint="default" w:ascii="Times New Roman" w:hAnsi="Times New Roman" w:eastAsia="宋体" w:cs="TimesNewRomanPSMT"/>
                      <w:color w:val="000000"/>
                      <w:kern w:val="0"/>
                      <w:sz w:val="21"/>
                      <w:szCs w:val="18"/>
                      <w:lang w:val="en-US" w:eastAsia="zh-CN" w:bidi="ar"/>
                    </w:rPr>
                    <w:t>汞</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0.148</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0.104</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2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color w:val="auto"/>
                      <w:szCs w:val="21"/>
                      <w:lang w:val="en-US" w:eastAsia="zh-CN"/>
                    </w:rPr>
                  </w:pPr>
                  <w:r>
                    <w:rPr>
                      <w:rFonts w:hint="eastAsia"/>
                      <w:color w:val="auto"/>
                      <w:szCs w:val="21"/>
                      <w:lang w:val="en-US" w:eastAsia="zh-CN"/>
                    </w:rPr>
                    <w:t>7</w:t>
                  </w:r>
                </w:p>
              </w:tc>
              <w:tc>
                <w:tcPr>
                  <w:tcW w:w="189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镍</w:t>
                  </w: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12</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26</w:t>
                  </w:r>
                </w:p>
              </w:tc>
              <w:tc>
                <w:tcPr>
                  <w:tcW w:w="199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ND3</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序号</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Times New Roman" w:hAnsi="Times New Roman" w:eastAsia="宋体" w:cs="Times New Roman"/>
                      <w:color w:val="auto"/>
                      <w:kern w:val="2"/>
                      <w:sz w:val="21"/>
                      <w:szCs w:val="21"/>
                      <w:lang w:val="en-US" w:eastAsia="zh-CN" w:bidi="ar-SA"/>
                    </w:rPr>
                  </w:pPr>
                  <w:r>
                    <w:rPr>
                      <w:color w:val="auto"/>
                      <w:szCs w:val="21"/>
                    </w:rPr>
                    <w:t>检测项目</w:t>
                  </w:r>
                </w:p>
              </w:tc>
              <w:tc>
                <w:tcPr>
                  <w:tcW w:w="1928"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sz w:val="21"/>
                      <w:szCs w:val="21"/>
                      <w:lang w:eastAsia="zh-CN"/>
                    </w:rPr>
                    <w:t>厂区西侧（</w:t>
                  </w:r>
                  <w:r>
                    <w:rPr>
                      <w:rFonts w:hint="eastAsia"/>
                      <w:sz w:val="21"/>
                      <w:szCs w:val="21"/>
                      <w:lang w:val="en-US" w:eastAsia="zh-CN"/>
                    </w:rPr>
                    <w:t>0-0.2cm</w:t>
                  </w:r>
                  <w:r>
                    <w:rPr>
                      <w:rFonts w:hint="eastAsia"/>
                      <w:sz w:val="21"/>
                      <w:szCs w:val="21"/>
                      <w:lang w:eastAsia="zh-CN"/>
                    </w:rPr>
                    <w:t>）</w:t>
                  </w:r>
                </w:p>
              </w:tc>
              <w:tc>
                <w:tcPr>
                  <w:tcW w:w="192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sz w:val="21"/>
                      <w:szCs w:val="21"/>
                      <w:lang w:eastAsia="zh-CN"/>
                    </w:rPr>
                    <w:t>厂区中部</w:t>
                  </w:r>
                  <w:r>
                    <w:rPr>
                      <w:rFonts w:hint="eastAsia" w:ascii="Times New Roman" w:hAnsi="Times New Roman" w:eastAsia="宋体"/>
                      <w:sz w:val="21"/>
                      <w:szCs w:val="21"/>
                      <w:lang w:eastAsia="zh-CN"/>
                    </w:rPr>
                    <w:t>（</w:t>
                  </w:r>
                  <w:r>
                    <w:rPr>
                      <w:rFonts w:hint="eastAsia"/>
                      <w:sz w:val="21"/>
                      <w:szCs w:val="21"/>
                      <w:lang w:val="en-US" w:eastAsia="zh-CN"/>
                    </w:rPr>
                    <w:t>1-0.2</w:t>
                  </w:r>
                  <w:r>
                    <w:rPr>
                      <w:rFonts w:hint="eastAsia" w:ascii="Times New Roman" w:hAnsi="Times New Roman" w:eastAsia="宋体"/>
                      <w:sz w:val="21"/>
                      <w:szCs w:val="21"/>
                      <w:lang w:val="en-US" w:eastAsia="zh-CN"/>
                    </w:rPr>
                    <w:t>cm</w:t>
                  </w:r>
                  <w:r>
                    <w:rPr>
                      <w:rFonts w:hint="eastAsia" w:ascii="Times New Roman" w:hAnsi="Times New Roman" w:eastAsia="宋体"/>
                      <w:sz w:val="21"/>
                      <w:szCs w:val="21"/>
                      <w:lang w:eastAsia="zh-CN"/>
                    </w:rPr>
                    <w:t>）</w:t>
                  </w:r>
                </w:p>
              </w:tc>
              <w:tc>
                <w:tcPr>
                  <w:tcW w:w="199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厂区东侧</w:t>
                  </w:r>
                  <w:r>
                    <w:rPr>
                      <w:rFonts w:hint="eastAsia" w:ascii="Times New Roman" w:hAnsi="Times New Roman" w:eastAsia="宋体"/>
                      <w:sz w:val="21"/>
                      <w:szCs w:val="21"/>
                      <w:lang w:eastAsia="zh-CN"/>
                    </w:rPr>
                    <w:t>（</w:t>
                  </w:r>
                  <w:r>
                    <w:rPr>
                      <w:rFonts w:hint="eastAsia"/>
                      <w:sz w:val="21"/>
                      <w:szCs w:val="21"/>
                      <w:lang w:val="en-US" w:eastAsia="zh-CN"/>
                    </w:rPr>
                    <w:t>2-0.2</w:t>
                  </w:r>
                  <w:r>
                    <w:rPr>
                      <w:rFonts w:hint="eastAsia" w:ascii="Times New Roman" w:hAnsi="Times New Roman" w:eastAsia="宋体"/>
                      <w:sz w:val="21"/>
                      <w:szCs w:val="21"/>
                      <w:lang w:val="en-US" w:eastAsia="zh-CN"/>
                    </w:rPr>
                    <w:t>cm</w:t>
                  </w:r>
                  <w:r>
                    <w:rPr>
                      <w:rFonts w:hint="eastAsia" w:ascii="Times New Roman" w:hAnsi="Times New Roman" w:eastAsia="宋体"/>
                      <w:sz w:val="21"/>
                      <w:szCs w:val="21"/>
                      <w:lang w:eastAsia="zh-CN"/>
                    </w:rPr>
                    <w:t>）</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8174" w:type="dxa"/>
                  <w:gridSpan w:val="8"/>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right"/>
                    <w:textAlignment w:val="center"/>
                    <w:rPr>
                      <w:rFonts w:hint="eastAsia" w:ascii="Times New Roman" w:hAnsi="Times New Roman" w:eastAsia="宋体"/>
                      <w:sz w:val="21"/>
                      <w:szCs w:val="21"/>
                      <w:lang w:eastAsia="zh-CN"/>
                    </w:rPr>
                  </w:pPr>
                  <w:r>
                    <w:rPr>
                      <w:rFonts w:hint="eastAsia"/>
                      <w:sz w:val="21"/>
                      <w:szCs w:val="21"/>
                      <w:lang w:val="en-US" w:eastAsia="zh-CN"/>
                    </w:rPr>
                    <w:t>*</w:t>
                  </w:r>
                  <w:r>
                    <w:rPr>
                      <w:rFonts w:hint="eastAsia" w:ascii="Times New Roman" w:hAnsi="Times New Roman"/>
                      <w:sz w:val="21"/>
                      <w:szCs w:val="21"/>
                      <w:lang w:eastAsia="zh-CN"/>
                    </w:rPr>
                    <w:t>挥发性有机物</w:t>
                  </w:r>
                  <w:r>
                    <w:rPr>
                      <w:rFonts w:hint="eastAsia"/>
                      <w:sz w:val="21"/>
                      <w:szCs w:val="21"/>
                      <w:lang w:eastAsia="zh-CN"/>
                    </w:rPr>
                    <w:t>单位：</w:t>
                  </w:r>
                  <w:r>
                    <w:rPr>
                      <w:rFonts w:hint="eastAsia"/>
                      <w:color w:val="auto"/>
                      <w:szCs w:val="21"/>
                      <w:lang w:val="en-US" w:eastAsia="zh-CN"/>
                    </w:rPr>
                    <w:t>（</w:t>
                  </w:r>
                  <w:r>
                    <w:rPr>
                      <w:bCs/>
                      <w:szCs w:val="21"/>
                    </w:rPr>
                    <w:t>μg/k</w:t>
                  </w:r>
                  <w:r>
                    <w:rPr>
                      <w:rFonts w:hint="eastAsia"/>
                      <w:bCs/>
                      <w:szCs w:val="21"/>
                    </w:rPr>
                    <w:t>g</w:t>
                  </w:r>
                  <w:r>
                    <w:rPr>
                      <w:rFonts w:hint="eastAsia"/>
                      <w:color w:val="auto"/>
                      <w:szCs w:val="21"/>
                      <w:lang w:val="en-US" w:eastAsia="zh-CN"/>
                    </w:rPr>
                    <w:t>）</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sz w:val="21"/>
                      <w:szCs w:val="21"/>
                      <w:lang w:val="en-US" w:eastAsia="zh-CN"/>
                    </w:rPr>
                    <w:t>8</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四氯化碳</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sz w:val="21"/>
                      <w:szCs w:val="21"/>
                      <w:lang w:val="en-US" w:eastAsia="zh-CN"/>
                    </w:rPr>
                    <w:t>9</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氯仿</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sz w:val="21"/>
                      <w:szCs w:val="21"/>
                      <w:lang w:val="en-US" w:eastAsia="zh-CN"/>
                    </w:rPr>
                    <w:t>10</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氯甲烷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1</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1,1-二氯乙烷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2</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1,2-二氯乙烷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3</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1,1-二氯乙烯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4</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顺-1,2-二氯乙烯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5</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反-1,2-二氯乙烯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1.4</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1.4</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1.4</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6</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二氯甲烷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7</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1,2-二氯丙烷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w:t>
                  </w:r>
                  <w:r>
                    <w:rPr>
                      <w:rFonts w:hint="eastAsia"/>
                      <w:sz w:val="21"/>
                      <w:szCs w:val="21"/>
                      <w:lang w:val="en-US" w:eastAsia="zh-CN"/>
                    </w:rPr>
                    <w:t>8</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1,1,1,2-四氯乙烷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sz w:val="21"/>
                      <w:szCs w:val="21"/>
                      <w:lang w:val="en-US" w:eastAsia="zh-CN"/>
                    </w:rPr>
                    <w:t>19</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1,1,2,2-四氯乙烷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0</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四氯乙烯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1.4</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1.4</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1.4</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1</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1,1,1-三氯乙烷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2</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1,1,2-三氯乙烷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3</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三氯乙烯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4</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1,2,3-三氯丙烷</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5</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6</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1.9</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1.9</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1.9</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7</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氯苯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w:t>
                  </w:r>
                  <w:r>
                    <w:rPr>
                      <w:rFonts w:hint="eastAsia"/>
                      <w:sz w:val="21"/>
                      <w:szCs w:val="21"/>
                      <w:lang w:val="en-US" w:eastAsia="zh-CN"/>
                    </w:rPr>
                    <w:t>8</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1,2-二氯苯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sz w:val="21"/>
                      <w:szCs w:val="21"/>
                      <w:lang w:val="en-US" w:eastAsia="zh-CN"/>
                    </w:rPr>
                    <w:t>29</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1,4-二氯苯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1.5</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0</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乙苯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1</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苯乙烯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2</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甲苯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1.3</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3</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间二甲苯+对二甲苯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4</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邻二甲苯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8174" w:type="dxa"/>
                  <w:gridSpan w:val="8"/>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Times New Roman" w:hAnsi="Times New Roman" w:eastAsia="宋体"/>
                      <w:sz w:val="21"/>
                      <w:szCs w:val="21"/>
                      <w:lang w:eastAsia="zh-CN"/>
                    </w:rPr>
                  </w:pPr>
                  <w:r>
                    <w:rPr>
                      <w:rFonts w:hint="eastAsia"/>
                      <w:sz w:val="21"/>
                      <w:szCs w:val="21"/>
                      <w:lang w:val="en-US" w:eastAsia="zh-CN"/>
                    </w:rPr>
                    <w:t>*</w:t>
                  </w:r>
                  <w:r>
                    <w:rPr>
                      <w:rFonts w:hint="eastAsia" w:ascii="Times New Roman" w:hAnsi="Times New Roman"/>
                      <w:sz w:val="21"/>
                      <w:szCs w:val="21"/>
                      <w:lang w:eastAsia="zh-CN"/>
                    </w:rPr>
                    <w:t>半挥发性有机物</w:t>
                  </w:r>
                  <w:r>
                    <w:rPr>
                      <w:rFonts w:hint="eastAsia"/>
                      <w:sz w:val="21"/>
                      <w:szCs w:val="21"/>
                      <w:lang w:eastAsia="zh-CN"/>
                    </w:rPr>
                    <w:t>单位：</w:t>
                  </w:r>
                  <w:r>
                    <w:rPr>
                      <w:rFonts w:hint="eastAsia"/>
                      <w:color w:val="auto"/>
                      <w:szCs w:val="21"/>
                      <w:lang w:val="en-US" w:eastAsia="zh-CN"/>
                    </w:rPr>
                    <w:t>（mg/kg）</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5</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硝基苯</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0.09</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0.09</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0.09</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6</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苯胺</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0.2</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0.2</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4"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7</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2-氯酚</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0.06</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0.06</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0.06</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37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r>
                    <w:rPr>
                      <w:rFonts w:hint="eastAsia"/>
                      <w:sz w:val="21"/>
                      <w:szCs w:val="21"/>
                      <w:lang w:val="en-US" w:eastAsia="zh-CN"/>
                    </w:rPr>
                    <w:t>8</w:t>
                  </w:r>
                </w:p>
              </w:tc>
              <w:tc>
                <w:tcPr>
                  <w:tcW w:w="18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苯并</w:t>
                  </w:r>
                  <w:r>
                    <w:rPr>
                      <w:rFonts w:hint="eastAsia"/>
                      <w:sz w:val="21"/>
                      <w:szCs w:val="21"/>
                      <w:lang w:val="en-US" w:eastAsia="zh-CN"/>
                    </w:rPr>
                    <w:t>[</w:t>
                  </w:r>
                  <w:r>
                    <w:rPr>
                      <w:rFonts w:hint="default" w:ascii="Times New Roman" w:hAnsi="Times New Roman" w:eastAsia="宋体"/>
                      <w:sz w:val="21"/>
                      <w:szCs w:val="21"/>
                      <w:lang w:val="en-US" w:eastAsia="zh-CN"/>
                    </w:rPr>
                    <w:t>a</w:t>
                  </w:r>
                  <w:r>
                    <w:rPr>
                      <w:rFonts w:hint="eastAsia"/>
                      <w:sz w:val="21"/>
                      <w:szCs w:val="21"/>
                      <w:lang w:val="en-US" w:eastAsia="zh-CN"/>
                    </w:rPr>
                    <w:t>]</w:t>
                  </w:r>
                  <w:r>
                    <w:rPr>
                      <w:rFonts w:hint="default" w:ascii="Times New Roman" w:hAnsi="Times New Roman" w:eastAsia="宋体"/>
                      <w:sz w:val="21"/>
                      <w:szCs w:val="21"/>
                      <w:lang w:val="en-US" w:eastAsia="zh-CN"/>
                    </w:rPr>
                    <w:t>蒽</w:t>
                  </w:r>
                </w:p>
              </w:tc>
              <w:tc>
                <w:tcPr>
                  <w:tcW w:w="1928"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28"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9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序号</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color w:val="auto"/>
                      <w:szCs w:val="21"/>
                    </w:rPr>
                    <w:t>检测项目</w:t>
                  </w:r>
                </w:p>
              </w:tc>
              <w:tc>
                <w:tcPr>
                  <w:tcW w:w="19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sz w:val="21"/>
                      <w:szCs w:val="21"/>
                      <w:lang w:eastAsia="zh-CN"/>
                    </w:rPr>
                    <w:t>厂区西侧（</w:t>
                  </w:r>
                  <w:r>
                    <w:rPr>
                      <w:rFonts w:hint="eastAsia"/>
                      <w:sz w:val="21"/>
                      <w:szCs w:val="21"/>
                      <w:lang w:val="en-US" w:eastAsia="zh-CN"/>
                    </w:rPr>
                    <w:t>0-0.2cm</w:t>
                  </w:r>
                  <w:r>
                    <w:rPr>
                      <w:rFonts w:hint="eastAsia"/>
                      <w:sz w:val="21"/>
                      <w:szCs w:val="21"/>
                      <w:lang w:eastAsia="zh-CN"/>
                    </w:rPr>
                    <w:t>）</w:t>
                  </w:r>
                </w:p>
              </w:tc>
              <w:tc>
                <w:tcPr>
                  <w:tcW w:w="1930"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sz w:val="21"/>
                      <w:szCs w:val="21"/>
                      <w:lang w:eastAsia="zh-CN"/>
                    </w:rPr>
                    <w:t>厂区中部</w:t>
                  </w:r>
                  <w:r>
                    <w:rPr>
                      <w:rFonts w:hint="eastAsia" w:ascii="Times New Roman" w:hAnsi="Times New Roman" w:eastAsia="宋体"/>
                      <w:sz w:val="21"/>
                      <w:szCs w:val="21"/>
                      <w:lang w:eastAsia="zh-CN"/>
                    </w:rPr>
                    <w:t>（</w:t>
                  </w:r>
                  <w:r>
                    <w:rPr>
                      <w:rFonts w:hint="eastAsia"/>
                      <w:sz w:val="21"/>
                      <w:szCs w:val="21"/>
                      <w:lang w:val="en-US" w:eastAsia="zh-CN"/>
                    </w:rPr>
                    <w:t>1-0.2</w:t>
                  </w:r>
                  <w:r>
                    <w:rPr>
                      <w:rFonts w:hint="eastAsia" w:ascii="Times New Roman" w:hAnsi="Times New Roman" w:eastAsia="宋体"/>
                      <w:sz w:val="21"/>
                      <w:szCs w:val="21"/>
                      <w:lang w:val="en-US" w:eastAsia="zh-CN"/>
                    </w:rPr>
                    <w:t>cm</w:t>
                  </w:r>
                  <w:r>
                    <w:rPr>
                      <w:rFonts w:hint="eastAsia" w:ascii="Times New Roman" w:hAnsi="Times New Roman" w:eastAsia="宋体"/>
                      <w:sz w:val="21"/>
                      <w:szCs w:val="21"/>
                      <w:lang w:eastAsia="zh-CN"/>
                    </w:rPr>
                    <w:t>）</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厂区东侧</w:t>
                  </w:r>
                  <w:r>
                    <w:rPr>
                      <w:rFonts w:hint="eastAsia" w:ascii="Times New Roman" w:hAnsi="Times New Roman" w:eastAsia="宋体"/>
                      <w:sz w:val="21"/>
                      <w:szCs w:val="21"/>
                      <w:lang w:eastAsia="zh-CN"/>
                    </w:rPr>
                    <w:t>（</w:t>
                  </w:r>
                  <w:r>
                    <w:rPr>
                      <w:rFonts w:hint="eastAsia"/>
                      <w:sz w:val="21"/>
                      <w:szCs w:val="21"/>
                      <w:lang w:val="en-US" w:eastAsia="zh-CN"/>
                    </w:rPr>
                    <w:t>2-0.2</w:t>
                  </w:r>
                  <w:r>
                    <w:rPr>
                      <w:rFonts w:hint="eastAsia" w:ascii="Times New Roman" w:hAnsi="Times New Roman" w:eastAsia="宋体"/>
                      <w:sz w:val="21"/>
                      <w:szCs w:val="21"/>
                      <w:lang w:val="en-US" w:eastAsia="zh-CN"/>
                    </w:rPr>
                    <w:t>cm</w:t>
                  </w:r>
                  <w:r>
                    <w:rPr>
                      <w:rFonts w:hint="eastAsia" w:ascii="Times New Roman" w:hAnsi="Times New Roman" w:eastAsia="宋体"/>
                      <w:sz w:val="21"/>
                      <w:szCs w:val="21"/>
                      <w:lang w:eastAsia="zh-CN"/>
                    </w:rPr>
                    <w:t>）</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sz w:val="21"/>
                      <w:szCs w:val="21"/>
                      <w:lang w:val="en-US" w:eastAsia="zh-CN"/>
                    </w:rPr>
                    <w:t>39</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苯并</w:t>
                  </w:r>
                  <w:r>
                    <w:rPr>
                      <w:rFonts w:hint="eastAsia"/>
                      <w:sz w:val="21"/>
                      <w:szCs w:val="21"/>
                      <w:lang w:val="en-US" w:eastAsia="zh-CN"/>
                    </w:rPr>
                    <w:t>[</w:t>
                  </w:r>
                  <w:r>
                    <w:rPr>
                      <w:rFonts w:hint="default" w:ascii="Times New Roman" w:hAnsi="Times New Roman" w:eastAsia="宋体"/>
                      <w:sz w:val="21"/>
                      <w:szCs w:val="21"/>
                      <w:lang w:val="en-US" w:eastAsia="zh-CN"/>
                    </w:rPr>
                    <w:t>a</w:t>
                  </w:r>
                  <w:r>
                    <w:rPr>
                      <w:rFonts w:hint="eastAsia"/>
                      <w:sz w:val="21"/>
                      <w:szCs w:val="21"/>
                      <w:lang w:val="en-US" w:eastAsia="zh-CN"/>
                    </w:rPr>
                    <w:t>]</w:t>
                  </w:r>
                  <w:r>
                    <w:rPr>
                      <w:rFonts w:hint="default" w:ascii="Times New Roman" w:hAnsi="Times New Roman" w:eastAsia="宋体"/>
                      <w:sz w:val="21"/>
                      <w:szCs w:val="21"/>
                      <w:lang w:val="en-US" w:eastAsia="zh-CN"/>
                    </w:rPr>
                    <w:t>芘</w:t>
                  </w:r>
                </w:p>
              </w:tc>
              <w:tc>
                <w:tcPr>
                  <w:tcW w:w="19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30"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r>
                    <w:rPr>
                      <w:rFonts w:hint="eastAsia"/>
                      <w:sz w:val="21"/>
                      <w:szCs w:val="21"/>
                      <w:lang w:val="en-US" w:eastAsia="zh-CN"/>
                    </w:rPr>
                    <w:t>0</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苯并</w:t>
                  </w:r>
                  <w:r>
                    <w:rPr>
                      <w:rFonts w:hint="eastAsia"/>
                      <w:sz w:val="21"/>
                      <w:szCs w:val="21"/>
                      <w:lang w:val="en-US" w:eastAsia="zh-CN"/>
                    </w:rPr>
                    <w:t>[</w:t>
                  </w:r>
                  <w:r>
                    <w:rPr>
                      <w:rFonts w:hint="default" w:ascii="Times New Roman" w:hAnsi="Times New Roman" w:eastAsia="宋体"/>
                      <w:sz w:val="21"/>
                      <w:szCs w:val="21"/>
                      <w:lang w:val="en-US" w:eastAsia="zh-CN"/>
                    </w:rPr>
                    <w:t>b</w:t>
                  </w:r>
                  <w:r>
                    <w:rPr>
                      <w:rFonts w:hint="eastAsia"/>
                      <w:sz w:val="21"/>
                      <w:szCs w:val="21"/>
                      <w:lang w:val="en-US" w:eastAsia="zh-CN"/>
                    </w:rPr>
                    <w:t>]</w:t>
                  </w:r>
                  <w:r>
                    <w:rPr>
                      <w:rFonts w:hint="default" w:ascii="Times New Roman" w:hAnsi="Times New Roman" w:eastAsia="宋体"/>
                      <w:sz w:val="21"/>
                      <w:szCs w:val="21"/>
                      <w:lang w:val="en-US" w:eastAsia="zh-CN"/>
                    </w:rPr>
                    <w:t>荧蒽</w:t>
                  </w:r>
                </w:p>
              </w:tc>
              <w:tc>
                <w:tcPr>
                  <w:tcW w:w="19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0.2</w:t>
                  </w:r>
                </w:p>
              </w:tc>
              <w:tc>
                <w:tcPr>
                  <w:tcW w:w="192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0.2</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0.2</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r>
                    <w:rPr>
                      <w:rFonts w:hint="eastAsia"/>
                      <w:sz w:val="21"/>
                      <w:szCs w:val="21"/>
                      <w:lang w:val="en-US" w:eastAsia="zh-CN"/>
                    </w:rPr>
                    <w:t>1</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苯并</w:t>
                  </w:r>
                  <w:r>
                    <w:rPr>
                      <w:rFonts w:hint="eastAsia"/>
                      <w:sz w:val="21"/>
                      <w:szCs w:val="21"/>
                      <w:lang w:val="en-US" w:eastAsia="zh-CN"/>
                    </w:rPr>
                    <w:t>[</w:t>
                  </w:r>
                  <w:r>
                    <w:rPr>
                      <w:rFonts w:hint="default" w:ascii="Times New Roman" w:hAnsi="Times New Roman" w:eastAsia="宋体"/>
                      <w:sz w:val="21"/>
                      <w:szCs w:val="21"/>
                      <w:lang w:val="en-US" w:eastAsia="zh-CN"/>
                    </w:rPr>
                    <w:t>k</w:t>
                  </w:r>
                  <w:r>
                    <w:rPr>
                      <w:rFonts w:hint="eastAsia"/>
                      <w:sz w:val="21"/>
                      <w:szCs w:val="21"/>
                      <w:lang w:val="en-US" w:eastAsia="zh-CN"/>
                    </w:rPr>
                    <w:t>]</w:t>
                  </w:r>
                  <w:r>
                    <w:rPr>
                      <w:rFonts w:hint="default" w:ascii="Times New Roman" w:hAnsi="Times New Roman" w:eastAsia="宋体"/>
                      <w:sz w:val="21"/>
                      <w:szCs w:val="21"/>
                      <w:lang w:val="en-US" w:eastAsia="zh-CN"/>
                    </w:rPr>
                    <w:t>荧蒽</w:t>
                  </w:r>
                </w:p>
              </w:tc>
              <w:tc>
                <w:tcPr>
                  <w:tcW w:w="19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2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r>
                    <w:rPr>
                      <w:rFonts w:hint="eastAsia"/>
                      <w:sz w:val="21"/>
                      <w:szCs w:val="21"/>
                      <w:lang w:val="en-US" w:eastAsia="zh-CN"/>
                    </w:rPr>
                    <w:t>2</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䓛</w:t>
                  </w:r>
                </w:p>
              </w:tc>
              <w:tc>
                <w:tcPr>
                  <w:tcW w:w="19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2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r>
                    <w:rPr>
                      <w:rFonts w:hint="eastAsia"/>
                      <w:sz w:val="21"/>
                      <w:szCs w:val="21"/>
                      <w:lang w:val="en-US" w:eastAsia="zh-CN"/>
                    </w:rPr>
                    <w:t>3</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二苯并</w:t>
                  </w:r>
                  <w:r>
                    <w:rPr>
                      <w:rFonts w:hint="eastAsia"/>
                      <w:sz w:val="21"/>
                      <w:szCs w:val="21"/>
                      <w:lang w:val="en-US" w:eastAsia="zh-CN"/>
                    </w:rPr>
                    <w:t>[</w:t>
                  </w:r>
                  <w:r>
                    <w:rPr>
                      <w:rFonts w:hint="default" w:ascii="Times New Roman" w:hAnsi="Times New Roman" w:eastAsia="宋体"/>
                      <w:sz w:val="21"/>
                      <w:szCs w:val="21"/>
                      <w:lang w:val="en-US" w:eastAsia="zh-CN"/>
                    </w:rPr>
                    <w:t>a，h</w:t>
                  </w:r>
                  <w:r>
                    <w:rPr>
                      <w:rFonts w:hint="eastAsia"/>
                      <w:sz w:val="21"/>
                      <w:szCs w:val="21"/>
                      <w:lang w:val="en-US" w:eastAsia="zh-CN"/>
                    </w:rPr>
                    <w:t>]</w:t>
                  </w:r>
                  <w:r>
                    <w:rPr>
                      <w:rFonts w:hint="default" w:ascii="Times New Roman" w:hAnsi="Times New Roman" w:eastAsia="宋体"/>
                      <w:sz w:val="21"/>
                      <w:szCs w:val="21"/>
                      <w:lang w:val="en-US" w:eastAsia="zh-CN"/>
                    </w:rPr>
                    <w:t>蒽</w:t>
                  </w:r>
                </w:p>
              </w:tc>
              <w:tc>
                <w:tcPr>
                  <w:tcW w:w="19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2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r>
                    <w:rPr>
                      <w:rFonts w:hint="eastAsia"/>
                      <w:sz w:val="21"/>
                      <w:szCs w:val="21"/>
                      <w:lang w:val="en-US" w:eastAsia="zh-CN"/>
                    </w:rPr>
                    <w:t>4</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茚并</w:t>
                  </w:r>
                  <w:r>
                    <w:rPr>
                      <w:rFonts w:hint="eastAsia"/>
                      <w:sz w:val="21"/>
                      <w:szCs w:val="21"/>
                      <w:lang w:val="en-US" w:eastAsia="zh-CN"/>
                    </w:rPr>
                    <w:t>[</w:t>
                  </w:r>
                  <w:r>
                    <w:rPr>
                      <w:rFonts w:hint="default" w:ascii="Times New Roman" w:hAnsi="Times New Roman" w:eastAsia="宋体"/>
                      <w:sz w:val="21"/>
                      <w:szCs w:val="21"/>
                      <w:lang w:val="en-US" w:eastAsia="zh-CN"/>
                    </w:rPr>
                    <w:t>1,2,3-cd</w:t>
                  </w:r>
                  <w:r>
                    <w:rPr>
                      <w:rFonts w:hint="eastAsia"/>
                      <w:sz w:val="21"/>
                      <w:szCs w:val="21"/>
                      <w:lang w:val="en-US" w:eastAsia="zh-CN"/>
                    </w:rPr>
                    <w:t>]</w:t>
                  </w:r>
                  <w:r>
                    <w:rPr>
                      <w:rFonts w:hint="default" w:ascii="Times New Roman" w:hAnsi="Times New Roman" w:eastAsia="宋体"/>
                      <w:sz w:val="21"/>
                      <w:szCs w:val="21"/>
                      <w:lang w:val="en-US" w:eastAsia="zh-CN"/>
                    </w:rPr>
                    <w:t>芘</w:t>
                  </w:r>
                </w:p>
              </w:tc>
              <w:tc>
                <w:tcPr>
                  <w:tcW w:w="19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192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0.1</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42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w:t>
                  </w:r>
                  <w:r>
                    <w:rPr>
                      <w:rFonts w:hint="eastAsia"/>
                      <w:sz w:val="21"/>
                      <w:szCs w:val="21"/>
                      <w:lang w:val="en-US" w:eastAsia="zh-CN"/>
                    </w:rPr>
                    <w:t>5</w:t>
                  </w:r>
                </w:p>
              </w:tc>
              <w:tc>
                <w:tcPr>
                  <w:tcW w:w="1898"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萘</w:t>
                  </w:r>
                </w:p>
              </w:tc>
              <w:tc>
                <w:tcPr>
                  <w:tcW w:w="19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olor w:val="000000" w:themeColor="text1"/>
                      <w:sz w:val="21"/>
                      <w:szCs w:val="21"/>
                      <w:lang w:val="en-U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0.09</w:t>
                  </w:r>
                </w:p>
              </w:tc>
              <w:tc>
                <w:tcPr>
                  <w:tcW w:w="192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0.09</w:t>
                  </w:r>
                </w:p>
              </w:tc>
              <w:tc>
                <w:tcPr>
                  <w:tcW w:w="200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ND</w:t>
                  </w:r>
                  <w:r>
                    <w:rPr>
                      <w:rFonts w:hint="eastAsia"/>
                      <w:color w:val="000000" w:themeColor="text1"/>
                      <w:sz w:val="21"/>
                      <w:szCs w:val="21"/>
                      <w:lang w:val="en-US" w:eastAsia="zh-CN"/>
                      <w14:textFill>
                        <w14:solidFill>
                          <w14:schemeClr w14:val="tx1"/>
                        </w14:solidFill>
                      </w14:textFill>
                    </w:rPr>
                    <w:t>0.09</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cantSplit/>
                <w:trHeight w:val="488" w:hRule="atLeast"/>
                <w:jc w:val="center"/>
              </w:trPr>
              <w:tc>
                <w:tcPr>
                  <w:tcW w:w="8174" w:type="dxa"/>
                  <w:gridSpan w:val="8"/>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备注</w:t>
                  </w:r>
                </w:p>
                <w:p>
                  <w:pPr>
                    <w:keepNext w:val="0"/>
                    <w:keepLines w:val="0"/>
                    <w:pageBreakBefore w:val="0"/>
                    <w:widowControl/>
                    <w:kinsoku/>
                    <w:wordWrap/>
                    <w:overflowPunct/>
                    <w:topLinePunct w:val="0"/>
                    <w:autoSpaceDE/>
                    <w:autoSpaceDN/>
                    <w:bidi w:val="0"/>
                    <w:adjustRightInd/>
                    <w:snapToGrid w:val="0"/>
                    <w:ind w:left="0" w:leftChars="0" w:right="0" w:rightChars="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color w:val="auto"/>
                      <w:sz w:val="21"/>
                      <w:szCs w:val="21"/>
                      <w:lang w:val="en-US" w:eastAsia="zh-CN"/>
                    </w:rPr>
                    <w:t>、</w:t>
                  </w:r>
                  <w:r>
                    <w:rPr>
                      <w:rFonts w:hint="eastAsia"/>
                      <w:color w:val="auto"/>
                    </w:rPr>
                    <w:t>检测结果中</w:t>
                  </w:r>
                  <w:r>
                    <w:rPr>
                      <w:color w:val="auto"/>
                    </w:rPr>
                    <w:t>“ND”</w:t>
                  </w:r>
                  <w:r>
                    <w:rPr>
                      <w:rFonts w:hint="eastAsia"/>
                      <w:color w:val="auto"/>
                    </w:rPr>
                    <w:t>表示未检出，</w:t>
                  </w:r>
                  <w:r>
                    <w:rPr>
                      <w:color w:val="auto"/>
                    </w:rPr>
                    <w:t>“ND”</w:t>
                  </w:r>
                  <w:r>
                    <w:rPr>
                      <w:rFonts w:hint="eastAsia"/>
                      <w:color w:val="auto"/>
                    </w:rPr>
                    <w:t>后数据表示检出限</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val="0"/>
                    <w:ind w:left="0" w:leftChars="0" w:right="0" w:rightChars="0"/>
                    <w:jc w:val="left"/>
                    <w:textAlignment w:val="center"/>
                    <w:rPr>
                      <w:rFonts w:hint="eastAsia" w:ascii="Times New Roman" w:hAnsi="Times New Roman" w:cs="Times New Roman"/>
                      <w:sz w:val="21"/>
                      <w:szCs w:val="21"/>
                      <w:lang w:val="en-US" w:eastAsia="zh-CN"/>
                    </w:rPr>
                  </w:pPr>
                  <w:r>
                    <w:rPr>
                      <w:rFonts w:hint="eastAsia" w:ascii="Times New Roman" w:hAnsi="Times New Roman" w:cs="Times New Roman"/>
                      <w:color w:val="auto"/>
                      <w:lang w:val="en-US" w:eastAsia="zh-CN"/>
                    </w:rPr>
                    <w:t>2、带“*”为外包项目，</w:t>
                  </w:r>
                  <w:r>
                    <w:rPr>
                      <w:rFonts w:hint="eastAsia" w:cs="Times New Roman"/>
                      <w:color w:val="auto"/>
                      <w:lang w:val="en-US" w:eastAsia="zh-CN"/>
                    </w:rPr>
                    <w:t>汞、砷、铅、</w:t>
                  </w:r>
                  <w:r>
                    <w:rPr>
                      <w:rFonts w:hint="eastAsia" w:cs="Times New Roman"/>
                      <w:color w:val="auto"/>
                      <w:kern w:val="2"/>
                      <w:sz w:val="21"/>
                      <w:szCs w:val="21"/>
                      <w:lang w:val="en-US" w:eastAsia="zh-CN" w:bidi="ar-SA"/>
                    </w:rPr>
                    <w:t>铬（六价）、铬、锌</w:t>
                  </w:r>
                  <w:r>
                    <w:rPr>
                      <w:rFonts w:hint="eastAsia" w:cs="Times New Roman"/>
                      <w:color w:val="auto"/>
                      <w:lang w:val="en-US" w:eastAsia="zh-CN"/>
                    </w:rPr>
                    <w:t>有</w:t>
                  </w:r>
                  <w:r>
                    <w:rPr>
                      <w:rFonts w:hint="eastAsia" w:ascii="Times New Roman" w:hAnsi="Times New Roman" w:cs="Times New Roman"/>
                      <w:color w:val="auto"/>
                      <w:lang w:val="en-US" w:eastAsia="zh-CN"/>
                    </w:rPr>
                    <w:t>能力</w:t>
                  </w:r>
                  <w:r>
                    <w:rPr>
                      <w:rFonts w:hint="eastAsia" w:cs="Times New Roman"/>
                      <w:color w:val="auto"/>
                      <w:lang w:val="en-US" w:eastAsia="zh-CN"/>
                    </w:rPr>
                    <w:t>外包，其他因子</w:t>
                  </w:r>
                  <w:r>
                    <w:rPr>
                      <w:rFonts w:hint="eastAsia" w:ascii="Times New Roman" w:hAnsi="Times New Roman" w:cs="Times New Roman"/>
                      <w:color w:val="auto"/>
                      <w:lang w:val="en-US" w:eastAsia="zh-CN"/>
                    </w:rPr>
                    <w:t>无能力</w:t>
                  </w:r>
                  <w:r>
                    <w:rPr>
                      <w:rFonts w:hint="eastAsia" w:cs="Times New Roman"/>
                      <w:color w:val="auto"/>
                      <w:lang w:val="en-US" w:eastAsia="zh-CN"/>
                    </w:rPr>
                    <w:t>外包</w:t>
                  </w:r>
                  <w:r>
                    <w:rPr>
                      <w:rFonts w:hint="eastAsia" w:ascii="Times New Roman" w:hAnsi="Times New Roman" w:cs="Times New Roman"/>
                      <w:color w:val="auto"/>
                      <w:lang w:val="en-US" w:eastAsia="zh-CN"/>
                    </w:rPr>
                    <w:t>，外包给</w:t>
                  </w:r>
                  <w:r>
                    <w:rPr>
                      <w:rFonts w:hint="eastAsia" w:cs="Times New Roman"/>
                      <w:color w:val="auto"/>
                      <w:lang w:val="en-US" w:eastAsia="zh-CN"/>
                    </w:rPr>
                    <w:t>浙江亚凯检测科技</w:t>
                  </w:r>
                  <w:r>
                    <w:rPr>
                      <w:rFonts w:hint="eastAsia" w:ascii="Times New Roman" w:hAnsi="Times New Roman" w:cs="Times New Roman"/>
                      <w:color w:val="auto"/>
                      <w:lang w:val="en-US" w:eastAsia="zh-CN"/>
                    </w:rPr>
                    <w:t>有限公司，其资质编号为</w:t>
                  </w:r>
                  <w:r>
                    <w:rPr>
                      <w:rFonts w:hint="eastAsia" w:cs="Times New Roman"/>
                      <w:color w:val="auto"/>
                      <w:lang w:val="en-US" w:eastAsia="zh-CN"/>
                    </w:rPr>
                    <w:t>171120341998</w:t>
                  </w:r>
                  <w:r>
                    <w:rPr>
                      <w:rFonts w:hint="eastAsia" w:ascii="Times New Roman" w:hAnsi="Times New Roman" w:cs="Times New Roman"/>
                      <w:color w:val="auto"/>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eastAsia="宋体"/>
                <w:bCs/>
                <w:sz w:val="24"/>
                <w:szCs w:val="24"/>
                <w:lang w:val="en-US" w:eastAsia="zh-CN"/>
              </w:rPr>
            </w:pPr>
            <w:r>
              <w:rPr>
                <w:rFonts w:hint="eastAsia"/>
                <w:bCs/>
                <w:sz w:val="24"/>
                <w:szCs w:val="24"/>
                <w:lang w:val="en-US" w:eastAsia="zh-CN"/>
              </w:rPr>
              <w:t>根据上表，本工程场地土壤环境符合</w:t>
            </w:r>
            <w:r>
              <w:rPr>
                <w:bCs/>
                <w:sz w:val="24"/>
                <w:szCs w:val="24"/>
              </w:rPr>
              <w:t>《土壤环境质量建设用地土壤污染风险管控标准》（GB36600-2018）表1及表2中第二类用地筛选值标准</w:t>
            </w:r>
            <w:r>
              <w:rPr>
                <w:rFonts w:hint="eastAsia"/>
                <w:bCs/>
                <w:sz w:val="24"/>
                <w:szCs w:val="24"/>
                <w:lang w:eastAsia="zh-CN"/>
              </w:rPr>
              <w:t>。</w:t>
            </w:r>
          </w:p>
          <w:p>
            <w:pPr>
              <w:spacing w:line="360" w:lineRule="auto"/>
              <w:ind w:firstLine="482" w:firstLineChars="200"/>
              <w:rPr>
                <w:b/>
                <w:bCs/>
                <w:sz w:val="24"/>
                <w:szCs w:val="24"/>
              </w:rPr>
            </w:pPr>
            <w:r>
              <w:rPr>
                <w:rFonts w:hint="eastAsia"/>
                <w:b/>
                <w:bCs/>
                <w:sz w:val="24"/>
                <w:szCs w:val="24"/>
                <w:lang w:val="en-US" w:eastAsia="zh-CN"/>
              </w:rPr>
              <w:t>5、</w:t>
            </w:r>
            <w:r>
              <w:rPr>
                <w:b/>
                <w:bCs/>
                <w:sz w:val="24"/>
                <w:szCs w:val="24"/>
              </w:rPr>
              <w:t>生态环境现状</w:t>
            </w:r>
          </w:p>
          <w:p>
            <w:pPr>
              <w:spacing w:line="360" w:lineRule="auto"/>
              <w:ind w:firstLine="480" w:firstLineChars="200"/>
              <w:rPr>
                <w:bCs/>
                <w:sz w:val="24"/>
                <w:szCs w:val="24"/>
              </w:rPr>
            </w:pPr>
            <w:r>
              <w:rPr>
                <w:bCs/>
                <w:sz w:val="24"/>
                <w:szCs w:val="24"/>
              </w:rPr>
              <w:t>本次生态环境现状调查通过收集</w:t>
            </w:r>
            <w:r>
              <w:rPr>
                <w:rFonts w:hint="eastAsia"/>
                <w:bCs/>
                <w:sz w:val="24"/>
                <w:szCs w:val="24"/>
                <w:lang w:eastAsia="zh-CN"/>
              </w:rPr>
              <w:t>工程所在区域</w:t>
            </w:r>
            <w:r>
              <w:rPr>
                <w:bCs/>
                <w:sz w:val="24"/>
                <w:szCs w:val="24"/>
              </w:rPr>
              <w:t>资料，以实地调查为主，并解译了遥感卫星数据，掌握了</w:t>
            </w:r>
            <w:r>
              <w:rPr>
                <w:rFonts w:hint="eastAsia"/>
                <w:bCs/>
                <w:sz w:val="24"/>
                <w:szCs w:val="24"/>
                <w:lang w:eastAsia="zh-CN"/>
              </w:rPr>
              <w:t>工程所在区域</w:t>
            </w:r>
            <w:r>
              <w:rPr>
                <w:bCs/>
                <w:sz w:val="24"/>
                <w:szCs w:val="24"/>
              </w:rPr>
              <w:t>自然生态环境的基本情况，主要针对</w:t>
            </w:r>
            <w:r>
              <w:rPr>
                <w:rFonts w:hint="eastAsia"/>
                <w:bCs/>
                <w:sz w:val="24"/>
                <w:szCs w:val="24"/>
                <w:lang w:eastAsia="zh-CN"/>
              </w:rPr>
              <w:t>工程所在区域</w:t>
            </w:r>
            <w:r>
              <w:rPr>
                <w:bCs/>
                <w:sz w:val="24"/>
                <w:szCs w:val="24"/>
              </w:rPr>
              <w:t>进行生态现状调查。</w:t>
            </w:r>
          </w:p>
          <w:p>
            <w:pPr>
              <w:spacing w:line="360" w:lineRule="auto"/>
              <w:ind w:firstLine="480" w:firstLineChars="200"/>
              <w:rPr>
                <w:bCs/>
                <w:sz w:val="24"/>
                <w:szCs w:val="24"/>
              </w:rPr>
            </w:pPr>
            <w:r>
              <w:rPr>
                <w:bCs/>
                <w:sz w:val="24"/>
                <w:szCs w:val="24"/>
              </w:rPr>
              <w:t>根据调查，</w:t>
            </w:r>
            <w:r>
              <w:rPr>
                <w:rFonts w:hint="eastAsia"/>
                <w:bCs/>
                <w:sz w:val="24"/>
                <w:szCs w:val="24"/>
                <w:lang w:eastAsia="zh-CN"/>
              </w:rPr>
              <w:t>工程所在区域</w:t>
            </w:r>
            <w:r>
              <w:rPr>
                <w:bCs/>
                <w:sz w:val="24"/>
                <w:szCs w:val="24"/>
              </w:rPr>
              <w:t>无重点保护物种与敏感目标，以下主要对土地利用现状、植被现状和土壤侵蚀状况进行调查评价。</w:t>
            </w:r>
          </w:p>
          <w:p>
            <w:pPr>
              <w:spacing w:line="360" w:lineRule="auto"/>
              <w:ind w:firstLine="480" w:firstLineChars="200"/>
              <w:rPr>
                <w:sz w:val="24"/>
                <w:szCs w:val="24"/>
              </w:rPr>
            </w:pPr>
            <w:r>
              <w:rPr>
                <w:sz w:val="24"/>
                <w:szCs w:val="24"/>
              </w:rPr>
              <w:t>（1）土地利用现状</w:t>
            </w:r>
          </w:p>
          <w:p>
            <w:pPr>
              <w:spacing w:line="360" w:lineRule="auto"/>
              <w:ind w:firstLine="480" w:firstLineChars="200"/>
              <w:rPr>
                <w:sz w:val="24"/>
                <w:szCs w:val="24"/>
              </w:rPr>
            </w:pPr>
            <w:r>
              <w:rPr>
                <w:sz w:val="24"/>
                <w:szCs w:val="24"/>
              </w:rPr>
              <w:t>按照《土地利用现状分类标准（GBT21010-2017）》的进行地类划分，将</w:t>
            </w:r>
            <w:r>
              <w:rPr>
                <w:rFonts w:hint="eastAsia"/>
                <w:bCs/>
                <w:sz w:val="24"/>
                <w:szCs w:val="24"/>
                <w:lang w:eastAsia="zh-CN"/>
              </w:rPr>
              <w:t>工程所在区域</w:t>
            </w:r>
            <w:r>
              <w:rPr>
                <w:sz w:val="24"/>
                <w:szCs w:val="24"/>
              </w:rPr>
              <w:t>的土地利用类型划分为其他林地、灌木林地、其它草地共计3个地类。</w:t>
            </w:r>
            <w:r>
              <w:rPr>
                <w:rFonts w:hint="eastAsia"/>
                <w:bCs/>
                <w:sz w:val="24"/>
                <w:szCs w:val="24"/>
                <w:lang w:eastAsia="zh-CN"/>
              </w:rPr>
              <w:t>工程所在区域</w:t>
            </w:r>
            <w:r>
              <w:rPr>
                <w:sz w:val="24"/>
                <w:szCs w:val="24"/>
              </w:rPr>
              <w:t>土地利用类型及面积见表3-</w:t>
            </w:r>
            <w:r>
              <w:rPr>
                <w:rFonts w:hint="eastAsia"/>
                <w:sz w:val="24"/>
                <w:szCs w:val="24"/>
                <w:lang w:val="en-US" w:eastAsia="zh-CN"/>
              </w:rPr>
              <w:t>5</w:t>
            </w:r>
            <w:r>
              <w:rPr>
                <w:sz w:val="24"/>
                <w:szCs w:val="24"/>
              </w:rPr>
              <w:t>，具体见附图1</w:t>
            </w:r>
            <w:r>
              <w:rPr>
                <w:rFonts w:hint="eastAsia"/>
                <w:sz w:val="24"/>
                <w:szCs w:val="24"/>
                <w:lang w:val="en-US" w:eastAsia="zh-CN"/>
              </w:rPr>
              <w:t>6</w:t>
            </w:r>
            <w:r>
              <w:rPr>
                <w:sz w:val="24"/>
                <w:szCs w:val="24"/>
              </w:rPr>
              <w:t>。</w:t>
            </w:r>
          </w:p>
          <w:p>
            <w:pPr>
              <w:ind w:firstLine="420" w:firstLineChars="200"/>
              <w:jc w:val="center"/>
              <w:rPr>
                <w:szCs w:val="21"/>
              </w:rPr>
            </w:pPr>
            <w:r>
              <w:rPr>
                <w:szCs w:val="21"/>
              </w:rPr>
              <w:t>表3-</w:t>
            </w:r>
            <w:r>
              <w:rPr>
                <w:rFonts w:hint="eastAsia"/>
                <w:szCs w:val="21"/>
                <w:lang w:val="en-US" w:eastAsia="zh-CN"/>
              </w:rPr>
              <w:t>5</w:t>
            </w:r>
            <w:r>
              <w:rPr>
                <w:szCs w:val="21"/>
              </w:rPr>
              <w:t>土地利用现状统计</w:t>
            </w:r>
          </w:p>
          <w:tbl>
            <w:tblPr>
              <w:tblStyle w:val="23"/>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673"/>
              <w:gridCol w:w="1652"/>
              <w:gridCol w:w="1947"/>
              <w:gridCol w:w="149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87" w:hRule="atLeast"/>
              </w:trPr>
              <w:tc>
                <w:tcPr>
                  <w:tcW w:w="1673" w:type="dxa"/>
                  <w:vMerge w:val="restart"/>
                  <w:vAlign w:val="center"/>
                </w:tcPr>
                <w:p>
                  <w:pPr>
                    <w:jc w:val="center"/>
                    <w:rPr>
                      <w:szCs w:val="21"/>
                    </w:rPr>
                  </w:pPr>
                  <w:r>
                    <w:rPr>
                      <w:szCs w:val="21"/>
                    </w:rPr>
                    <w:t>一级类</w:t>
                  </w:r>
                </w:p>
              </w:tc>
              <w:tc>
                <w:tcPr>
                  <w:tcW w:w="3599" w:type="dxa"/>
                  <w:gridSpan w:val="2"/>
                  <w:vAlign w:val="center"/>
                </w:tcPr>
                <w:p>
                  <w:pPr>
                    <w:jc w:val="center"/>
                    <w:rPr>
                      <w:szCs w:val="21"/>
                    </w:rPr>
                  </w:pPr>
                  <w:r>
                    <w:rPr>
                      <w:szCs w:val="21"/>
                    </w:rPr>
                    <w:t>二级类</w:t>
                  </w:r>
                </w:p>
              </w:tc>
              <w:tc>
                <w:tcPr>
                  <w:tcW w:w="1490" w:type="dxa"/>
                  <w:vMerge w:val="restart"/>
                  <w:vAlign w:val="center"/>
                </w:tcPr>
                <w:p>
                  <w:pPr>
                    <w:jc w:val="center"/>
                    <w:rPr>
                      <w:szCs w:val="21"/>
                    </w:rPr>
                  </w:pPr>
                  <w:r>
                    <w:rPr>
                      <w:szCs w:val="21"/>
                    </w:rPr>
                    <w:t>面积(hm</w:t>
                  </w:r>
                  <w:r>
                    <w:rPr>
                      <w:szCs w:val="21"/>
                      <w:vertAlign w:val="superscript"/>
                    </w:rPr>
                    <w:t>2</w:t>
                  </w:r>
                  <w:r>
                    <w:rPr>
                      <w:szCs w:val="21"/>
                    </w:rPr>
                    <w:t>)</w:t>
                  </w:r>
                </w:p>
              </w:tc>
              <w:tc>
                <w:tcPr>
                  <w:tcW w:w="1414" w:type="dxa"/>
                  <w:vMerge w:val="restart"/>
                  <w:vAlign w:val="center"/>
                </w:tcPr>
                <w:p>
                  <w:pPr>
                    <w:jc w:val="center"/>
                    <w:rPr>
                      <w:szCs w:val="21"/>
                    </w:rPr>
                  </w:pPr>
                  <w:r>
                    <w:rPr>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21" w:hRule="atLeast"/>
              </w:trPr>
              <w:tc>
                <w:tcPr>
                  <w:tcW w:w="1673" w:type="dxa"/>
                  <w:vMerge w:val="continue"/>
                  <w:vAlign w:val="center"/>
                </w:tcPr>
                <w:p>
                  <w:pPr>
                    <w:jc w:val="center"/>
                    <w:rPr>
                      <w:szCs w:val="21"/>
                    </w:rPr>
                  </w:pPr>
                </w:p>
              </w:tc>
              <w:tc>
                <w:tcPr>
                  <w:tcW w:w="1652" w:type="dxa"/>
                  <w:vAlign w:val="center"/>
                </w:tcPr>
                <w:p>
                  <w:pPr>
                    <w:jc w:val="center"/>
                    <w:rPr>
                      <w:szCs w:val="21"/>
                    </w:rPr>
                  </w:pPr>
                  <w:r>
                    <w:rPr>
                      <w:szCs w:val="21"/>
                    </w:rPr>
                    <w:t>地类代码</w:t>
                  </w:r>
                </w:p>
              </w:tc>
              <w:tc>
                <w:tcPr>
                  <w:tcW w:w="1947" w:type="dxa"/>
                  <w:vAlign w:val="center"/>
                </w:tcPr>
                <w:p>
                  <w:pPr>
                    <w:jc w:val="center"/>
                    <w:rPr>
                      <w:szCs w:val="21"/>
                    </w:rPr>
                  </w:pPr>
                  <w:r>
                    <w:rPr>
                      <w:szCs w:val="21"/>
                    </w:rPr>
                    <w:t>地类名称</w:t>
                  </w:r>
                </w:p>
              </w:tc>
              <w:tc>
                <w:tcPr>
                  <w:tcW w:w="1490" w:type="dxa"/>
                  <w:vMerge w:val="continue"/>
                  <w:vAlign w:val="center"/>
                </w:tcPr>
                <w:p>
                  <w:pPr>
                    <w:jc w:val="center"/>
                    <w:rPr>
                      <w:szCs w:val="21"/>
                    </w:rPr>
                  </w:pPr>
                </w:p>
              </w:tc>
              <w:tc>
                <w:tcPr>
                  <w:tcW w:w="141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69" w:hRule="atLeast"/>
              </w:trPr>
              <w:tc>
                <w:tcPr>
                  <w:tcW w:w="1673" w:type="dxa"/>
                  <w:vMerge w:val="restart"/>
                  <w:vAlign w:val="center"/>
                </w:tcPr>
                <w:p>
                  <w:pPr>
                    <w:jc w:val="center"/>
                    <w:rPr>
                      <w:szCs w:val="21"/>
                    </w:rPr>
                  </w:pPr>
                  <w:r>
                    <w:rPr>
                      <w:szCs w:val="21"/>
                    </w:rPr>
                    <w:t>林地</w:t>
                  </w:r>
                </w:p>
              </w:tc>
              <w:tc>
                <w:tcPr>
                  <w:tcW w:w="1652" w:type="dxa"/>
                  <w:vAlign w:val="center"/>
                </w:tcPr>
                <w:p>
                  <w:pPr>
                    <w:jc w:val="center"/>
                    <w:rPr>
                      <w:szCs w:val="21"/>
                    </w:rPr>
                  </w:pPr>
                  <w:r>
                    <w:rPr>
                      <w:szCs w:val="21"/>
                    </w:rPr>
                    <w:t>0307</w:t>
                  </w:r>
                </w:p>
              </w:tc>
              <w:tc>
                <w:tcPr>
                  <w:tcW w:w="1947" w:type="dxa"/>
                  <w:vAlign w:val="center"/>
                </w:tcPr>
                <w:p>
                  <w:pPr>
                    <w:jc w:val="center"/>
                    <w:rPr>
                      <w:szCs w:val="21"/>
                    </w:rPr>
                  </w:pPr>
                  <w:r>
                    <w:rPr>
                      <w:szCs w:val="21"/>
                    </w:rPr>
                    <w:t>其他林地</w:t>
                  </w:r>
                </w:p>
              </w:tc>
              <w:tc>
                <w:tcPr>
                  <w:tcW w:w="1490" w:type="dxa"/>
                  <w:vAlign w:val="center"/>
                </w:tcPr>
                <w:p>
                  <w:pPr>
                    <w:jc w:val="center"/>
                    <w:rPr>
                      <w:color w:val="000000"/>
                      <w:szCs w:val="21"/>
                    </w:rPr>
                  </w:pPr>
                  <w:r>
                    <w:rPr>
                      <w:color w:val="000000"/>
                      <w:szCs w:val="21"/>
                    </w:rPr>
                    <w:t>1.42</w:t>
                  </w:r>
                </w:p>
              </w:tc>
              <w:tc>
                <w:tcPr>
                  <w:tcW w:w="1414" w:type="dxa"/>
                  <w:vAlign w:val="center"/>
                </w:tcPr>
                <w:p>
                  <w:pPr>
                    <w:jc w:val="center"/>
                    <w:rPr>
                      <w:szCs w:val="21"/>
                    </w:rPr>
                  </w:pPr>
                  <w:r>
                    <w:rPr>
                      <w:szCs w:val="21"/>
                    </w:rPr>
                    <w:t>61.36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03" w:hRule="atLeast"/>
              </w:trPr>
              <w:tc>
                <w:tcPr>
                  <w:tcW w:w="1673" w:type="dxa"/>
                  <w:vMerge w:val="continue"/>
                  <w:vAlign w:val="center"/>
                </w:tcPr>
                <w:p>
                  <w:pPr>
                    <w:jc w:val="center"/>
                    <w:rPr>
                      <w:szCs w:val="21"/>
                    </w:rPr>
                  </w:pPr>
                </w:p>
              </w:tc>
              <w:tc>
                <w:tcPr>
                  <w:tcW w:w="1652" w:type="dxa"/>
                  <w:vAlign w:val="center"/>
                </w:tcPr>
                <w:p>
                  <w:pPr>
                    <w:jc w:val="center"/>
                    <w:rPr>
                      <w:szCs w:val="21"/>
                    </w:rPr>
                  </w:pPr>
                  <w:r>
                    <w:rPr>
                      <w:szCs w:val="21"/>
                    </w:rPr>
                    <w:t>0305</w:t>
                  </w:r>
                </w:p>
              </w:tc>
              <w:tc>
                <w:tcPr>
                  <w:tcW w:w="1947" w:type="dxa"/>
                  <w:vAlign w:val="center"/>
                </w:tcPr>
                <w:p>
                  <w:pPr>
                    <w:jc w:val="center"/>
                    <w:rPr>
                      <w:szCs w:val="21"/>
                    </w:rPr>
                  </w:pPr>
                  <w:r>
                    <w:rPr>
                      <w:szCs w:val="21"/>
                    </w:rPr>
                    <w:t>灌木林地</w:t>
                  </w:r>
                </w:p>
              </w:tc>
              <w:tc>
                <w:tcPr>
                  <w:tcW w:w="1490" w:type="dxa"/>
                  <w:vAlign w:val="center"/>
                </w:tcPr>
                <w:p>
                  <w:pPr>
                    <w:jc w:val="center"/>
                    <w:rPr>
                      <w:color w:val="000000"/>
                      <w:szCs w:val="21"/>
                    </w:rPr>
                  </w:pPr>
                  <w:r>
                    <w:rPr>
                      <w:color w:val="000000"/>
                      <w:szCs w:val="21"/>
                    </w:rPr>
                    <w:t>0.39</w:t>
                  </w:r>
                </w:p>
              </w:tc>
              <w:tc>
                <w:tcPr>
                  <w:tcW w:w="1414" w:type="dxa"/>
                  <w:vAlign w:val="center"/>
                </w:tcPr>
                <w:p>
                  <w:pPr>
                    <w:widowControl/>
                    <w:jc w:val="center"/>
                    <w:rPr>
                      <w:szCs w:val="21"/>
                    </w:rPr>
                  </w:pPr>
                  <w:r>
                    <w:rPr>
                      <w:szCs w:val="21"/>
                    </w:rPr>
                    <w:t>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93" w:hRule="atLeast"/>
              </w:trPr>
              <w:tc>
                <w:tcPr>
                  <w:tcW w:w="1673" w:type="dxa"/>
                  <w:vAlign w:val="center"/>
                </w:tcPr>
                <w:p>
                  <w:pPr>
                    <w:jc w:val="center"/>
                    <w:rPr>
                      <w:szCs w:val="21"/>
                    </w:rPr>
                  </w:pPr>
                  <w:r>
                    <w:rPr>
                      <w:szCs w:val="21"/>
                    </w:rPr>
                    <w:t>草地</w:t>
                  </w:r>
                </w:p>
              </w:tc>
              <w:tc>
                <w:tcPr>
                  <w:tcW w:w="1652" w:type="dxa"/>
                  <w:vAlign w:val="center"/>
                </w:tcPr>
                <w:p>
                  <w:pPr>
                    <w:jc w:val="center"/>
                    <w:rPr>
                      <w:szCs w:val="21"/>
                    </w:rPr>
                  </w:pPr>
                  <w:r>
                    <w:rPr>
                      <w:szCs w:val="21"/>
                    </w:rPr>
                    <w:t>0404</w:t>
                  </w:r>
                </w:p>
              </w:tc>
              <w:tc>
                <w:tcPr>
                  <w:tcW w:w="1947" w:type="dxa"/>
                  <w:vAlign w:val="center"/>
                </w:tcPr>
                <w:p>
                  <w:pPr>
                    <w:jc w:val="center"/>
                    <w:rPr>
                      <w:szCs w:val="21"/>
                    </w:rPr>
                  </w:pPr>
                  <w:r>
                    <w:rPr>
                      <w:szCs w:val="21"/>
                    </w:rPr>
                    <w:t>其它草地</w:t>
                  </w:r>
                </w:p>
              </w:tc>
              <w:tc>
                <w:tcPr>
                  <w:tcW w:w="1490" w:type="dxa"/>
                  <w:vAlign w:val="center"/>
                </w:tcPr>
                <w:p>
                  <w:pPr>
                    <w:jc w:val="center"/>
                    <w:rPr>
                      <w:color w:val="000000"/>
                      <w:szCs w:val="21"/>
                    </w:rPr>
                  </w:pPr>
                  <w:r>
                    <w:rPr>
                      <w:color w:val="000000"/>
                      <w:szCs w:val="21"/>
                    </w:rPr>
                    <w:t>0.51</w:t>
                  </w:r>
                </w:p>
              </w:tc>
              <w:tc>
                <w:tcPr>
                  <w:tcW w:w="1414" w:type="dxa"/>
                  <w:vAlign w:val="center"/>
                </w:tcPr>
                <w:p>
                  <w:pPr>
                    <w:jc w:val="center"/>
                    <w:rPr>
                      <w:szCs w:val="21"/>
                    </w:rPr>
                  </w:pPr>
                  <w:r>
                    <w:rPr>
                      <w:szCs w:val="21"/>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 w:hRule="atLeast"/>
              </w:trPr>
              <w:tc>
                <w:tcPr>
                  <w:tcW w:w="5272" w:type="dxa"/>
                  <w:gridSpan w:val="3"/>
                  <w:vAlign w:val="center"/>
                </w:tcPr>
                <w:p>
                  <w:pPr>
                    <w:jc w:val="center"/>
                    <w:rPr>
                      <w:szCs w:val="21"/>
                    </w:rPr>
                  </w:pPr>
                  <w:r>
                    <w:rPr>
                      <w:szCs w:val="21"/>
                    </w:rPr>
                    <w:t>合计</w:t>
                  </w:r>
                </w:p>
              </w:tc>
              <w:tc>
                <w:tcPr>
                  <w:tcW w:w="1490" w:type="dxa"/>
                  <w:vAlign w:val="center"/>
                </w:tcPr>
                <w:p>
                  <w:pPr>
                    <w:jc w:val="center"/>
                    <w:rPr>
                      <w:szCs w:val="21"/>
                    </w:rPr>
                  </w:pPr>
                  <w:r>
                    <w:rPr>
                      <w:szCs w:val="21"/>
                    </w:rPr>
                    <w:t>2.32</w:t>
                  </w:r>
                </w:p>
              </w:tc>
              <w:tc>
                <w:tcPr>
                  <w:tcW w:w="1414" w:type="dxa"/>
                  <w:vAlign w:val="center"/>
                </w:tcPr>
                <w:p>
                  <w:pPr>
                    <w:jc w:val="center"/>
                    <w:rPr>
                      <w:szCs w:val="21"/>
                    </w:rPr>
                  </w:pPr>
                  <w:r>
                    <w:rPr>
                      <w:szCs w:val="21"/>
                    </w:rPr>
                    <w:fldChar w:fldCharType="begin"/>
                  </w:r>
                  <w:r>
                    <w:rPr>
                      <w:szCs w:val="21"/>
                    </w:rPr>
                    <w:instrText xml:space="preserve"> =SUM(ABOVE) </w:instrText>
                  </w:r>
                  <w:r>
                    <w:rPr>
                      <w:szCs w:val="21"/>
                    </w:rPr>
                    <w:fldChar w:fldCharType="separate"/>
                  </w:r>
                  <w:r>
                    <w:rPr>
                      <w:szCs w:val="21"/>
                    </w:rPr>
                    <w:t>100</w:t>
                  </w:r>
                  <w:r>
                    <w:rPr>
                      <w:szCs w:val="21"/>
                    </w:rPr>
                    <w:fldChar w:fldCharType="end"/>
                  </w:r>
                </w:p>
              </w:tc>
            </w:tr>
          </w:tbl>
          <w:p>
            <w:pPr>
              <w:spacing w:line="360" w:lineRule="auto"/>
              <w:ind w:firstLine="480" w:firstLineChars="200"/>
              <w:rPr>
                <w:sz w:val="24"/>
                <w:szCs w:val="24"/>
              </w:rPr>
            </w:pPr>
            <w:r>
              <w:rPr>
                <w:rFonts w:hint="eastAsia"/>
                <w:bCs/>
                <w:sz w:val="24"/>
                <w:szCs w:val="24"/>
                <w:lang w:eastAsia="zh-CN"/>
              </w:rPr>
              <w:t>工程所在区域</w:t>
            </w:r>
            <w:r>
              <w:rPr>
                <w:sz w:val="24"/>
                <w:szCs w:val="24"/>
              </w:rPr>
              <w:t>土地利用类型为其他林地、灌木林地、其它草地，主要为其他林地。其中其他林地的占地面积为1.42公顷，占总面积的61.36%；灌木林地的占地面积为0.39公顷，占总面积的16.61%；其他林地的占地面积为</w:t>
            </w:r>
            <w:r>
              <w:rPr>
                <w:color w:val="000000"/>
                <w:sz w:val="24"/>
                <w:szCs w:val="24"/>
              </w:rPr>
              <w:t>0.51</w:t>
            </w:r>
            <w:r>
              <w:rPr>
                <w:sz w:val="24"/>
                <w:szCs w:val="24"/>
              </w:rPr>
              <w:t>公顷，占总面积的22.03%。</w:t>
            </w:r>
          </w:p>
          <w:p>
            <w:pPr>
              <w:spacing w:line="360" w:lineRule="auto"/>
              <w:ind w:firstLine="480" w:firstLineChars="200"/>
              <w:rPr>
                <w:sz w:val="24"/>
                <w:szCs w:val="24"/>
              </w:rPr>
            </w:pPr>
            <w:r>
              <w:rPr>
                <w:sz w:val="24"/>
                <w:szCs w:val="24"/>
              </w:rPr>
              <w:t>（2）植被现状</w:t>
            </w:r>
          </w:p>
          <w:p>
            <w:pPr>
              <w:spacing w:line="360" w:lineRule="auto"/>
              <w:ind w:firstLine="480" w:firstLineChars="200"/>
              <w:rPr>
                <w:sz w:val="24"/>
                <w:szCs w:val="24"/>
              </w:rPr>
            </w:pPr>
            <w:r>
              <w:rPr>
                <w:rFonts w:hint="eastAsia"/>
                <w:bCs/>
                <w:sz w:val="24"/>
                <w:szCs w:val="24"/>
                <w:lang w:eastAsia="zh-CN"/>
              </w:rPr>
              <w:t>工程所在区域</w:t>
            </w:r>
            <w:r>
              <w:rPr>
                <w:sz w:val="24"/>
                <w:szCs w:val="24"/>
              </w:rPr>
              <w:t>植被类型面积见表3-</w:t>
            </w:r>
            <w:r>
              <w:rPr>
                <w:rFonts w:hint="eastAsia"/>
                <w:sz w:val="24"/>
                <w:szCs w:val="24"/>
                <w:lang w:val="en-US" w:eastAsia="zh-CN"/>
              </w:rPr>
              <w:t>6</w:t>
            </w:r>
            <w:r>
              <w:rPr>
                <w:sz w:val="24"/>
                <w:szCs w:val="24"/>
              </w:rPr>
              <w:t>，具体见附图1</w:t>
            </w:r>
            <w:r>
              <w:rPr>
                <w:rFonts w:hint="eastAsia"/>
                <w:sz w:val="24"/>
                <w:szCs w:val="24"/>
                <w:lang w:val="en-US" w:eastAsia="zh-CN"/>
              </w:rPr>
              <w:t>7</w:t>
            </w:r>
            <w:r>
              <w:rPr>
                <w:sz w:val="24"/>
                <w:szCs w:val="24"/>
              </w:rPr>
              <w:t>。</w:t>
            </w:r>
          </w:p>
          <w:p>
            <w:pPr>
              <w:ind w:firstLine="420" w:firstLineChars="200"/>
              <w:jc w:val="center"/>
              <w:rPr>
                <w:szCs w:val="21"/>
              </w:rPr>
            </w:pPr>
            <w:r>
              <w:rPr>
                <w:szCs w:val="21"/>
              </w:rPr>
              <w:t>表3-</w:t>
            </w:r>
            <w:r>
              <w:rPr>
                <w:rFonts w:hint="eastAsia"/>
                <w:szCs w:val="21"/>
                <w:lang w:val="en-US" w:eastAsia="zh-CN"/>
              </w:rPr>
              <w:t>6</w:t>
            </w:r>
            <w:r>
              <w:rPr>
                <w:szCs w:val="21"/>
              </w:rPr>
              <w:t>植被现状统计</w:t>
            </w:r>
          </w:p>
          <w:tbl>
            <w:tblPr>
              <w:tblStyle w:val="23"/>
              <w:tblW w:w="81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
            <w:tblGrid>
              <w:gridCol w:w="1331"/>
              <w:gridCol w:w="3350"/>
              <w:gridCol w:w="1807"/>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Ex>
              <w:trPr>
                <w:trHeight w:val="170" w:hRule="atLeast"/>
                <w:jc w:val="center"/>
              </w:trPr>
              <w:tc>
                <w:tcPr>
                  <w:tcW w:w="4681" w:type="dxa"/>
                  <w:gridSpan w:val="2"/>
                  <w:vAlign w:val="center"/>
                </w:tcPr>
                <w:p>
                  <w:pPr>
                    <w:jc w:val="center"/>
                    <w:rPr>
                      <w:szCs w:val="21"/>
                    </w:rPr>
                  </w:pPr>
                  <w:r>
                    <w:rPr>
                      <w:szCs w:val="21"/>
                    </w:rPr>
                    <w:t>植被类型</w:t>
                  </w:r>
                </w:p>
              </w:tc>
              <w:tc>
                <w:tcPr>
                  <w:tcW w:w="1807" w:type="dxa"/>
                  <w:vAlign w:val="center"/>
                </w:tcPr>
                <w:p>
                  <w:pPr>
                    <w:jc w:val="center"/>
                    <w:rPr>
                      <w:szCs w:val="21"/>
                    </w:rPr>
                  </w:pPr>
                  <w:r>
                    <w:rPr>
                      <w:szCs w:val="21"/>
                    </w:rPr>
                    <w:t>面积(hm</w:t>
                  </w:r>
                  <w:r>
                    <w:rPr>
                      <w:szCs w:val="21"/>
                      <w:vertAlign w:val="superscript"/>
                    </w:rPr>
                    <w:t>2</w:t>
                  </w:r>
                  <w:r>
                    <w:rPr>
                      <w:szCs w:val="21"/>
                    </w:rPr>
                    <w:t>)</w:t>
                  </w:r>
                </w:p>
              </w:tc>
              <w:tc>
                <w:tcPr>
                  <w:tcW w:w="1688" w:type="dxa"/>
                  <w:vAlign w:val="center"/>
                </w:tcPr>
                <w:p>
                  <w:pPr>
                    <w:jc w:val="center"/>
                    <w:rPr>
                      <w:szCs w:val="21"/>
                    </w:rPr>
                  </w:pPr>
                  <w:r>
                    <w:rPr>
                      <w:szCs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Ex>
              <w:trPr>
                <w:trHeight w:val="170" w:hRule="atLeast"/>
                <w:jc w:val="center"/>
              </w:trPr>
              <w:tc>
                <w:tcPr>
                  <w:tcW w:w="1331" w:type="dxa"/>
                  <w:vAlign w:val="center"/>
                </w:tcPr>
                <w:p>
                  <w:pPr>
                    <w:jc w:val="center"/>
                    <w:rPr>
                      <w:szCs w:val="21"/>
                    </w:rPr>
                  </w:pPr>
                  <w:r>
                    <w:rPr>
                      <w:szCs w:val="21"/>
                    </w:rPr>
                    <w:t>灌丛</w:t>
                  </w:r>
                </w:p>
              </w:tc>
              <w:tc>
                <w:tcPr>
                  <w:tcW w:w="3350" w:type="dxa"/>
                  <w:vAlign w:val="center"/>
                </w:tcPr>
                <w:p>
                  <w:pPr>
                    <w:jc w:val="center"/>
                    <w:rPr>
                      <w:szCs w:val="21"/>
                    </w:rPr>
                  </w:pPr>
                  <w:r>
                    <w:rPr>
                      <w:szCs w:val="21"/>
                    </w:rPr>
                    <w:t>黄刺玫、绣线菊灌丛</w:t>
                  </w:r>
                </w:p>
              </w:tc>
              <w:tc>
                <w:tcPr>
                  <w:tcW w:w="1807" w:type="dxa"/>
                  <w:vAlign w:val="center"/>
                </w:tcPr>
                <w:p>
                  <w:pPr>
                    <w:jc w:val="center"/>
                    <w:rPr>
                      <w:color w:val="000000"/>
                      <w:szCs w:val="21"/>
                    </w:rPr>
                  </w:pPr>
                  <w:r>
                    <w:rPr>
                      <w:color w:val="000000"/>
                      <w:szCs w:val="21"/>
                    </w:rPr>
                    <w:t>0.39</w:t>
                  </w:r>
                </w:p>
              </w:tc>
              <w:tc>
                <w:tcPr>
                  <w:tcW w:w="1688" w:type="dxa"/>
                  <w:vAlign w:val="center"/>
                </w:tcPr>
                <w:p>
                  <w:pPr>
                    <w:widowControl/>
                    <w:jc w:val="center"/>
                    <w:rPr>
                      <w:szCs w:val="21"/>
                    </w:rPr>
                  </w:pPr>
                  <w:r>
                    <w:rPr>
                      <w:szCs w:val="21"/>
                    </w:rPr>
                    <w:t>16.61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Ex>
              <w:trPr>
                <w:trHeight w:val="170" w:hRule="atLeast"/>
                <w:jc w:val="center"/>
              </w:trPr>
              <w:tc>
                <w:tcPr>
                  <w:tcW w:w="1331" w:type="dxa"/>
                  <w:vAlign w:val="center"/>
                </w:tcPr>
                <w:p>
                  <w:pPr>
                    <w:jc w:val="center"/>
                    <w:rPr>
                      <w:szCs w:val="21"/>
                    </w:rPr>
                  </w:pPr>
                  <w:r>
                    <w:rPr>
                      <w:szCs w:val="21"/>
                    </w:rPr>
                    <w:t>草丛</w:t>
                  </w:r>
                </w:p>
              </w:tc>
              <w:tc>
                <w:tcPr>
                  <w:tcW w:w="3350" w:type="dxa"/>
                  <w:vAlign w:val="center"/>
                </w:tcPr>
                <w:p>
                  <w:pPr>
                    <w:jc w:val="center"/>
                    <w:rPr>
                      <w:szCs w:val="21"/>
                    </w:rPr>
                  </w:pPr>
                  <w:r>
                    <w:rPr>
                      <w:szCs w:val="21"/>
                    </w:rPr>
                    <w:t>长芒草、蒿草杂类草丛</w:t>
                  </w:r>
                </w:p>
              </w:tc>
              <w:tc>
                <w:tcPr>
                  <w:tcW w:w="1807" w:type="dxa"/>
                  <w:vAlign w:val="center"/>
                </w:tcPr>
                <w:p>
                  <w:pPr>
                    <w:jc w:val="center"/>
                    <w:rPr>
                      <w:color w:val="000000"/>
                      <w:szCs w:val="21"/>
                    </w:rPr>
                  </w:pPr>
                  <w:r>
                    <w:rPr>
                      <w:color w:val="000000"/>
                      <w:szCs w:val="21"/>
                    </w:rPr>
                    <w:t>0.51</w:t>
                  </w:r>
                </w:p>
              </w:tc>
              <w:tc>
                <w:tcPr>
                  <w:tcW w:w="1688" w:type="dxa"/>
                  <w:vAlign w:val="center"/>
                </w:tcPr>
                <w:p>
                  <w:pPr>
                    <w:jc w:val="center"/>
                    <w:rPr>
                      <w:szCs w:val="21"/>
                    </w:rPr>
                  </w:pPr>
                  <w:r>
                    <w:rPr>
                      <w:szCs w:val="21"/>
                    </w:rPr>
                    <w:t>22.03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Ex>
              <w:trPr>
                <w:trHeight w:val="170" w:hRule="atLeast"/>
                <w:jc w:val="center"/>
              </w:trPr>
              <w:tc>
                <w:tcPr>
                  <w:tcW w:w="1331" w:type="dxa"/>
                  <w:vAlign w:val="center"/>
                </w:tcPr>
                <w:p>
                  <w:pPr>
                    <w:jc w:val="center"/>
                    <w:rPr>
                      <w:szCs w:val="21"/>
                    </w:rPr>
                  </w:pPr>
                  <w:r>
                    <w:rPr>
                      <w:szCs w:val="21"/>
                    </w:rPr>
                    <w:t>栽培植被</w:t>
                  </w:r>
                </w:p>
              </w:tc>
              <w:tc>
                <w:tcPr>
                  <w:tcW w:w="3350" w:type="dxa"/>
                  <w:vAlign w:val="center"/>
                </w:tcPr>
                <w:p>
                  <w:pPr>
                    <w:jc w:val="center"/>
                    <w:rPr>
                      <w:szCs w:val="21"/>
                    </w:rPr>
                  </w:pPr>
                  <w:r>
                    <w:rPr>
                      <w:szCs w:val="21"/>
                    </w:rPr>
                    <w:t>核桃林</w:t>
                  </w:r>
                </w:p>
              </w:tc>
              <w:tc>
                <w:tcPr>
                  <w:tcW w:w="1807" w:type="dxa"/>
                  <w:vAlign w:val="center"/>
                </w:tcPr>
                <w:p>
                  <w:pPr>
                    <w:jc w:val="center"/>
                    <w:rPr>
                      <w:color w:val="000000"/>
                      <w:szCs w:val="21"/>
                    </w:rPr>
                  </w:pPr>
                  <w:r>
                    <w:rPr>
                      <w:color w:val="000000"/>
                      <w:szCs w:val="21"/>
                    </w:rPr>
                    <w:t>1.42</w:t>
                  </w:r>
                </w:p>
              </w:tc>
              <w:tc>
                <w:tcPr>
                  <w:tcW w:w="1688" w:type="dxa"/>
                  <w:vAlign w:val="center"/>
                </w:tcPr>
                <w:p>
                  <w:pPr>
                    <w:jc w:val="center"/>
                    <w:rPr>
                      <w:szCs w:val="21"/>
                    </w:rPr>
                  </w:pPr>
                  <w:r>
                    <w:rPr>
                      <w:szCs w:val="21"/>
                    </w:rPr>
                    <w:t>61.36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57" w:type="dxa"/>
                  <w:bottom w:w="85" w:type="dxa"/>
                  <w:right w:w="57" w:type="dxa"/>
                </w:tblCellMar>
              </w:tblPrEx>
              <w:trPr>
                <w:trHeight w:val="170" w:hRule="atLeast"/>
                <w:jc w:val="center"/>
              </w:trPr>
              <w:tc>
                <w:tcPr>
                  <w:tcW w:w="4681" w:type="dxa"/>
                  <w:gridSpan w:val="2"/>
                  <w:vAlign w:val="center"/>
                </w:tcPr>
                <w:p>
                  <w:pPr>
                    <w:jc w:val="center"/>
                    <w:rPr>
                      <w:szCs w:val="21"/>
                    </w:rPr>
                  </w:pPr>
                  <w:r>
                    <w:rPr>
                      <w:szCs w:val="21"/>
                    </w:rPr>
                    <w:t>合计</w:t>
                  </w:r>
                </w:p>
              </w:tc>
              <w:tc>
                <w:tcPr>
                  <w:tcW w:w="1807" w:type="dxa"/>
                  <w:vAlign w:val="center"/>
                </w:tcPr>
                <w:p>
                  <w:pPr>
                    <w:jc w:val="center"/>
                    <w:rPr>
                      <w:szCs w:val="21"/>
                    </w:rPr>
                  </w:pPr>
                  <w:r>
                    <w:rPr>
                      <w:szCs w:val="21"/>
                    </w:rPr>
                    <w:t>2.32</w:t>
                  </w:r>
                </w:p>
              </w:tc>
              <w:tc>
                <w:tcPr>
                  <w:tcW w:w="1688" w:type="dxa"/>
                  <w:vAlign w:val="center"/>
                </w:tcPr>
                <w:p>
                  <w:pPr>
                    <w:jc w:val="center"/>
                    <w:rPr>
                      <w:szCs w:val="21"/>
                    </w:rPr>
                  </w:pPr>
                  <w:r>
                    <w:rPr>
                      <w:szCs w:val="21"/>
                    </w:rPr>
                    <w:fldChar w:fldCharType="begin"/>
                  </w:r>
                  <w:r>
                    <w:rPr>
                      <w:szCs w:val="21"/>
                    </w:rPr>
                    <w:instrText xml:space="preserve"> =SUM(ABOVE) </w:instrText>
                  </w:r>
                  <w:r>
                    <w:rPr>
                      <w:szCs w:val="21"/>
                    </w:rPr>
                    <w:fldChar w:fldCharType="separate"/>
                  </w:r>
                  <w:r>
                    <w:rPr>
                      <w:szCs w:val="21"/>
                    </w:rPr>
                    <w:t>100</w:t>
                  </w:r>
                  <w:r>
                    <w:rPr>
                      <w:szCs w:val="21"/>
                    </w:rPr>
                    <w:fldChar w:fldCharType="end"/>
                  </w:r>
                </w:p>
              </w:tc>
            </w:tr>
          </w:tbl>
          <w:p>
            <w:pPr>
              <w:spacing w:line="360" w:lineRule="auto"/>
              <w:ind w:firstLine="480" w:firstLineChars="200"/>
              <w:rPr>
                <w:sz w:val="24"/>
                <w:szCs w:val="24"/>
              </w:rPr>
            </w:pPr>
            <w:r>
              <w:rPr>
                <w:rFonts w:hint="eastAsia"/>
                <w:bCs/>
                <w:sz w:val="24"/>
                <w:szCs w:val="24"/>
                <w:lang w:eastAsia="zh-CN"/>
              </w:rPr>
              <w:t>工程所在区域</w:t>
            </w:r>
            <w:r>
              <w:rPr>
                <w:sz w:val="24"/>
                <w:szCs w:val="24"/>
              </w:rPr>
              <w:t>主要植被类型为灌丛、草丛和栽培植被，灌丛主要为黄刺玫、绣线菊灌丛；草丛主要为长芒草、蒿草杂类草丛；栽培植被主要为核桃林，主要为栽培植被。其中灌丛的占地面积为0.39公顷，占总面积的16.61%；草丛的占地面积为0.51公顷，占总面积的22.03%；栽培植被的占地面积为</w:t>
            </w:r>
            <w:r>
              <w:rPr>
                <w:color w:val="000000"/>
                <w:sz w:val="24"/>
                <w:szCs w:val="24"/>
              </w:rPr>
              <w:t>1.42</w:t>
            </w:r>
            <w:r>
              <w:rPr>
                <w:sz w:val="24"/>
                <w:szCs w:val="24"/>
              </w:rPr>
              <w:t>公顷，占总面积的61.36%。</w:t>
            </w:r>
          </w:p>
          <w:p>
            <w:pPr>
              <w:spacing w:line="360" w:lineRule="auto"/>
              <w:ind w:firstLine="480" w:firstLineChars="200"/>
              <w:jc w:val="left"/>
              <w:rPr>
                <w:sz w:val="24"/>
                <w:szCs w:val="24"/>
              </w:rPr>
            </w:pPr>
            <w:r>
              <w:rPr>
                <w:sz w:val="24"/>
                <w:szCs w:val="24"/>
              </w:rPr>
              <w:t>（3）植被覆盖度现状</w:t>
            </w:r>
          </w:p>
          <w:p>
            <w:pPr>
              <w:spacing w:line="360" w:lineRule="auto"/>
              <w:ind w:firstLine="480" w:firstLineChars="200"/>
              <w:jc w:val="left"/>
              <w:rPr>
                <w:sz w:val="24"/>
                <w:szCs w:val="24"/>
              </w:rPr>
            </w:pPr>
            <w:r>
              <w:rPr>
                <w:sz w:val="24"/>
                <w:szCs w:val="24"/>
              </w:rPr>
              <w:t>植被覆盖度分级及面积统计见表3-</w:t>
            </w:r>
            <w:r>
              <w:rPr>
                <w:rFonts w:hint="eastAsia"/>
                <w:sz w:val="24"/>
                <w:szCs w:val="24"/>
                <w:lang w:val="en-US" w:eastAsia="zh-CN"/>
              </w:rPr>
              <w:t>7</w:t>
            </w:r>
            <w:r>
              <w:rPr>
                <w:sz w:val="24"/>
                <w:szCs w:val="24"/>
              </w:rPr>
              <w:t>，具体见附图1</w:t>
            </w:r>
            <w:r>
              <w:rPr>
                <w:rFonts w:hint="eastAsia"/>
                <w:sz w:val="24"/>
                <w:szCs w:val="24"/>
                <w:lang w:val="en-US" w:eastAsia="zh-CN"/>
              </w:rPr>
              <w:t>8</w:t>
            </w:r>
            <w:r>
              <w:rPr>
                <w:sz w:val="24"/>
                <w:szCs w:val="24"/>
              </w:rPr>
              <w:t>。</w:t>
            </w:r>
          </w:p>
          <w:p>
            <w:pPr>
              <w:ind w:firstLine="420" w:firstLineChars="200"/>
              <w:jc w:val="center"/>
              <w:rPr>
                <w:szCs w:val="21"/>
              </w:rPr>
            </w:pPr>
            <w:r>
              <w:rPr>
                <w:szCs w:val="21"/>
              </w:rPr>
              <w:t>表3-</w:t>
            </w:r>
            <w:r>
              <w:rPr>
                <w:rFonts w:hint="eastAsia"/>
                <w:szCs w:val="21"/>
                <w:lang w:val="en-US" w:eastAsia="zh-CN"/>
              </w:rPr>
              <w:t>7</w:t>
            </w:r>
            <w:r>
              <w:rPr>
                <w:szCs w:val="21"/>
              </w:rPr>
              <w:t>植被覆盖度分级及面积统计表</w:t>
            </w:r>
          </w:p>
          <w:tbl>
            <w:tblPr>
              <w:tblStyle w:val="23"/>
              <w:tblW w:w="817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3409"/>
              <w:gridCol w:w="2455"/>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trHeight w:val="105" w:hRule="atLeast"/>
                <w:jc w:val="center"/>
              </w:trPr>
              <w:tc>
                <w:tcPr>
                  <w:tcW w:w="3409" w:type="dxa"/>
                  <w:tcBorders>
                    <w:right w:val="single" w:color="auto" w:sz="4" w:space="0"/>
                  </w:tcBorders>
                  <w:vAlign w:val="center"/>
                </w:tcPr>
                <w:p>
                  <w:pPr>
                    <w:jc w:val="center"/>
                    <w:rPr>
                      <w:szCs w:val="21"/>
                    </w:rPr>
                  </w:pPr>
                  <w:r>
                    <w:rPr>
                      <w:szCs w:val="21"/>
                    </w:rPr>
                    <w:t>覆盖度</w:t>
                  </w:r>
                </w:p>
              </w:tc>
              <w:tc>
                <w:tcPr>
                  <w:tcW w:w="2455" w:type="dxa"/>
                  <w:tcBorders>
                    <w:left w:val="single" w:color="auto" w:sz="4" w:space="0"/>
                  </w:tcBorders>
                  <w:vAlign w:val="center"/>
                </w:tcPr>
                <w:p>
                  <w:pPr>
                    <w:jc w:val="center"/>
                    <w:rPr>
                      <w:szCs w:val="21"/>
                    </w:rPr>
                  </w:pPr>
                  <w:r>
                    <w:rPr>
                      <w:szCs w:val="21"/>
                    </w:rPr>
                    <w:t>面积(hm</w:t>
                  </w:r>
                  <w:r>
                    <w:rPr>
                      <w:szCs w:val="21"/>
                      <w:vertAlign w:val="superscript"/>
                    </w:rPr>
                    <w:t>2</w:t>
                  </w:r>
                  <w:r>
                    <w:rPr>
                      <w:szCs w:val="21"/>
                    </w:rPr>
                    <w:t>)</w:t>
                  </w:r>
                </w:p>
              </w:tc>
              <w:tc>
                <w:tcPr>
                  <w:tcW w:w="2312" w:type="dxa"/>
                  <w:tcBorders>
                    <w:right w:val="single" w:color="auto" w:sz="4" w:space="0"/>
                  </w:tcBorders>
                  <w:vAlign w:val="center"/>
                </w:tcPr>
                <w:p>
                  <w:pPr>
                    <w:jc w:val="center"/>
                    <w:rPr>
                      <w:szCs w:val="21"/>
                    </w:rPr>
                  </w:pPr>
                  <w:r>
                    <w:rPr>
                      <w:szCs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jc w:val="center"/>
              </w:trPr>
              <w:tc>
                <w:tcPr>
                  <w:tcW w:w="3409" w:type="dxa"/>
                  <w:tcBorders>
                    <w:right w:val="single" w:color="auto" w:sz="4" w:space="0"/>
                  </w:tcBorders>
                  <w:vAlign w:val="center"/>
                </w:tcPr>
                <w:p>
                  <w:pPr>
                    <w:jc w:val="center"/>
                    <w:rPr>
                      <w:szCs w:val="21"/>
                    </w:rPr>
                  </w:pPr>
                  <w:r>
                    <w:rPr>
                      <w:szCs w:val="21"/>
                    </w:rPr>
                    <w:t>中高覆盖：50-70%</w:t>
                  </w:r>
                </w:p>
              </w:tc>
              <w:tc>
                <w:tcPr>
                  <w:tcW w:w="2455" w:type="dxa"/>
                  <w:tcBorders>
                    <w:left w:val="single" w:color="auto" w:sz="4" w:space="0"/>
                  </w:tcBorders>
                  <w:vAlign w:val="center"/>
                </w:tcPr>
                <w:p>
                  <w:pPr>
                    <w:jc w:val="center"/>
                    <w:rPr>
                      <w:color w:val="000000"/>
                      <w:szCs w:val="21"/>
                    </w:rPr>
                  </w:pPr>
                  <w:r>
                    <w:rPr>
                      <w:color w:val="000000"/>
                      <w:szCs w:val="21"/>
                    </w:rPr>
                    <w:t>1.42</w:t>
                  </w:r>
                </w:p>
              </w:tc>
              <w:tc>
                <w:tcPr>
                  <w:tcW w:w="2312" w:type="dxa"/>
                  <w:tcBorders>
                    <w:right w:val="single" w:color="auto" w:sz="4" w:space="0"/>
                  </w:tcBorders>
                  <w:vAlign w:val="center"/>
                </w:tcPr>
                <w:p>
                  <w:pPr>
                    <w:widowControl/>
                    <w:jc w:val="center"/>
                    <w:rPr>
                      <w:rFonts w:eastAsia="等线"/>
                      <w:color w:val="000000"/>
                      <w:kern w:val="0"/>
                      <w:szCs w:val="21"/>
                    </w:rPr>
                  </w:pPr>
                  <w:r>
                    <w:rPr>
                      <w:rFonts w:eastAsia="等线"/>
                      <w:color w:val="000000"/>
                      <w:szCs w:val="21"/>
                    </w:rPr>
                    <w:t>61.36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jc w:val="center"/>
              </w:trPr>
              <w:tc>
                <w:tcPr>
                  <w:tcW w:w="3409" w:type="dxa"/>
                  <w:tcBorders>
                    <w:right w:val="single" w:color="auto" w:sz="4" w:space="0"/>
                  </w:tcBorders>
                  <w:vAlign w:val="center"/>
                </w:tcPr>
                <w:p>
                  <w:pPr>
                    <w:jc w:val="center"/>
                    <w:rPr>
                      <w:szCs w:val="21"/>
                    </w:rPr>
                  </w:pPr>
                  <w:r>
                    <w:rPr>
                      <w:szCs w:val="21"/>
                    </w:rPr>
                    <w:t>中覆盖：30-50%</w:t>
                  </w:r>
                </w:p>
              </w:tc>
              <w:tc>
                <w:tcPr>
                  <w:tcW w:w="2455" w:type="dxa"/>
                  <w:tcBorders>
                    <w:left w:val="single" w:color="auto" w:sz="4" w:space="0"/>
                  </w:tcBorders>
                  <w:vAlign w:val="center"/>
                </w:tcPr>
                <w:p>
                  <w:pPr>
                    <w:jc w:val="center"/>
                    <w:rPr>
                      <w:color w:val="000000"/>
                      <w:szCs w:val="21"/>
                    </w:rPr>
                  </w:pPr>
                  <w:r>
                    <w:rPr>
                      <w:color w:val="000000"/>
                      <w:szCs w:val="21"/>
                    </w:rPr>
                    <w:t>0.57</w:t>
                  </w:r>
                </w:p>
              </w:tc>
              <w:tc>
                <w:tcPr>
                  <w:tcW w:w="2312" w:type="dxa"/>
                  <w:tcBorders>
                    <w:right w:val="single" w:color="auto" w:sz="4" w:space="0"/>
                  </w:tcBorders>
                  <w:vAlign w:val="center"/>
                </w:tcPr>
                <w:p>
                  <w:pPr>
                    <w:jc w:val="center"/>
                    <w:rPr>
                      <w:rFonts w:eastAsia="等线"/>
                      <w:color w:val="000000"/>
                      <w:szCs w:val="21"/>
                    </w:rPr>
                  </w:pPr>
                  <w:r>
                    <w:rPr>
                      <w:rFonts w:eastAsia="等线"/>
                      <w:color w:val="000000"/>
                      <w:szCs w:val="21"/>
                    </w:rPr>
                    <w:t>24.41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jc w:val="center"/>
              </w:trPr>
              <w:tc>
                <w:tcPr>
                  <w:tcW w:w="3409" w:type="dxa"/>
                  <w:tcBorders>
                    <w:right w:val="single" w:color="auto" w:sz="4" w:space="0"/>
                  </w:tcBorders>
                  <w:vAlign w:val="center"/>
                </w:tcPr>
                <w:p>
                  <w:pPr>
                    <w:jc w:val="center"/>
                    <w:rPr>
                      <w:szCs w:val="21"/>
                    </w:rPr>
                  </w:pPr>
                  <w:r>
                    <w:rPr>
                      <w:szCs w:val="21"/>
                    </w:rPr>
                    <w:t>低覆盖：&lt;30%</w:t>
                  </w:r>
                </w:p>
              </w:tc>
              <w:tc>
                <w:tcPr>
                  <w:tcW w:w="2455" w:type="dxa"/>
                  <w:tcBorders>
                    <w:left w:val="single" w:color="auto" w:sz="4" w:space="0"/>
                  </w:tcBorders>
                  <w:vAlign w:val="center"/>
                </w:tcPr>
                <w:p>
                  <w:pPr>
                    <w:jc w:val="center"/>
                    <w:rPr>
                      <w:color w:val="000000"/>
                      <w:szCs w:val="21"/>
                    </w:rPr>
                  </w:pPr>
                  <w:r>
                    <w:rPr>
                      <w:color w:val="000000"/>
                      <w:szCs w:val="21"/>
                    </w:rPr>
                    <w:t>0.33</w:t>
                  </w:r>
                </w:p>
              </w:tc>
              <w:tc>
                <w:tcPr>
                  <w:tcW w:w="2312" w:type="dxa"/>
                  <w:tcBorders>
                    <w:right w:val="single" w:color="auto" w:sz="4" w:space="0"/>
                  </w:tcBorders>
                  <w:vAlign w:val="center"/>
                </w:tcPr>
                <w:p>
                  <w:pPr>
                    <w:jc w:val="center"/>
                    <w:rPr>
                      <w:rFonts w:eastAsia="等线"/>
                      <w:color w:val="000000"/>
                      <w:szCs w:val="21"/>
                    </w:rPr>
                  </w:pPr>
                  <w:r>
                    <w:rPr>
                      <w:rFonts w:eastAsia="等线"/>
                      <w:color w:val="000000"/>
                      <w:szCs w:val="21"/>
                    </w:rPr>
                    <w:t>14.24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Ex>
              <w:trPr>
                <w:jc w:val="center"/>
              </w:trPr>
              <w:tc>
                <w:tcPr>
                  <w:tcW w:w="3409" w:type="dxa"/>
                  <w:tcBorders>
                    <w:right w:val="single" w:color="auto" w:sz="4" w:space="0"/>
                  </w:tcBorders>
                  <w:vAlign w:val="center"/>
                </w:tcPr>
                <w:p>
                  <w:pPr>
                    <w:jc w:val="center"/>
                    <w:rPr>
                      <w:szCs w:val="21"/>
                    </w:rPr>
                  </w:pPr>
                  <w:r>
                    <w:rPr>
                      <w:szCs w:val="21"/>
                    </w:rPr>
                    <w:t>合计</w:t>
                  </w:r>
                </w:p>
              </w:tc>
              <w:tc>
                <w:tcPr>
                  <w:tcW w:w="2455" w:type="dxa"/>
                  <w:tcBorders>
                    <w:left w:val="single" w:color="auto" w:sz="4" w:space="0"/>
                  </w:tcBorders>
                  <w:vAlign w:val="center"/>
                </w:tcPr>
                <w:p>
                  <w:pPr>
                    <w:jc w:val="center"/>
                    <w:rPr>
                      <w:color w:val="000000"/>
                      <w:szCs w:val="21"/>
                    </w:rPr>
                  </w:pPr>
                  <w:r>
                    <w:rPr>
                      <w:color w:val="000000"/>
                      <w:szCs w:val="21"/>
                    </w:rPr>
                    <w:t>2.32</w:t>
                  </w:r>
                </w:p>
              </w:tc>
              <w:tc>
                <w:tcPr>
                  <w:tcW w:w="2312" w:type="dxa"/>
                  <w:tcBorders>
                    <w:right w:val="single" w:color="auto" w:sz="4" w:space="0"/>
                  </w:tcBorders>
                  <w:vAlign w:val="center"/>
                </w:tcPr>
                <w:p>
                  <w:pPr>
                    <w:jc w:val="center"/>
                    <w:rPr>
                      <w:color w:val="000000"/>
                      <w:szCs w:val="21"/>
                    </w:rPr>
                  </w:pPr>
                  <w:r>
                    <w:rPr>
                      <w:color w:val="000000"/>
                      <w:szCs w:val="21"/>
                    </w:rPr>
                    <w:t>100</w:t>
                  </w:r>
                </w:p>
              </w:tc>
            </w:tr>
          </w:tbl>
          <w:p>
            <w:pPr>
              <w:spacing w:line="360" w:lineRule="auto"/>
              <w:ind w:firstLine="480" w:firstLineChars="200"/>
              <w:rPr>
                <w:sz w:val="24"/>
                <w:szCs w:val="24"/>
              </w:rPr>
            </w:pPr>
            <w:r>
              <w:rPr>
                <w:rFonts w:hint="eastAsia"/>
                <w:bCs/>
                <w:sz w:val="24"/>
                <w:szCs w:val="24"/>
                <w:lang w:eastAsia="zh-CN"/>
              </w:rPr>
              <w:t>工程所在区域</w:t>
            </w:r>
            <w:r>
              <w:rPr>
                <w:sz w:val="24"/>
                <w:szCs w:val="24"/>
              </w:rPr>
              <w:t>植被覆盖度主要为中高覆盖度，其次为中覆盖度和低覆盖度。其中中高覆盖度的占地面积为1.42公顷，占总面积的61.36%；中覆盖度的占地面积为0.57公顷，占总面积的24.41%；低覆盖度的占地面积为</w:t>
            </w:r>
            <w:r>
              <w:rPr>
                <w:color w:val="000000"/>
                <w:sz w:val="24"/>
                <w:szCs w:val="24"/>
              </w:rPr>
              <w:t>0.33</w:t>
            </w:r>
            <w:r>
              <w:rPr>
                <w:sz w:val="24"/>
                <w:szCs w:val="24"/>
              </w:rPr>
              <w:t>公顷，占总面积的14.24%。</w:t>
            </w:r>
          </w:p>
          <w:p>
            <w:pPr>
              <w:spacing w:line="360" w:lineRule="auto"/>
              <w:ind w:firstLine="480" w:firstLineChars="200"/>
              <w:jc w:val="left"/>
              <w:rPr>
                <w:sz w:val="24"/>
                <w:szCs w:val="24"/>
              </w:rPr>
            </w:pPr>
            <w:r>
              <w:rPr>
                <w:sz w:val="24"/>
                <w:szCs w:val="24"/>
              </w:rPr>
              <w:t>（4）土壤侵蚀强度现状</w:t>
            </w:r>
          </w:p>
          <w:p>
            <w:pPr>
              <w:spacing w:line="360" w:lineRule="auto"/>
              <w:ind w:firstLine="480" w:firstLineChars="200"/>
              <w:jc w:val="left"/>
              <w:rPr>
                <w:sz w:val="24"/>
                <w:szCs w:val="24"/>
              </w:rPr>
            </w:pPr>
            <w:r>
              <w:rPr>
                <w:rFonts w:hint="eastAsia"/>
                <w:bCs/>
                <w:sz w:val="24"/>
                <w:szCs w:val="24"/>
                <w:lang w:eastAsia="zh-CN"/>
              </w:rPr>
              <w:t>工程所在区域</w:t>
            </w:r>
            <w:r>
              <w:rPr>
                <w:sz w:val="24"/>
                <w:szCs w:val="24"/>
              </w:rPr>
              <w:t>土壤侵蚀强度的划分在区域土壤侵蚀模数的基础上进行，参照《全国土壤侵蚀遥感调查技术规程》的土壤侵蚀类型与强度的分类分级系统，以土地利用类型、植被覆盖和地面坡度等间接指标进行综合分析而实现，将</w:t>
            </w:r>
            <w:r>
              <w:rPr>
                <w:rFonts w:hint="eastAsia"/>
                <w:bCs/>
                <w:sz w:val="24"/>
                <w:szCs w:val="24"/>
                <w:lang w:eastAsia="zh-CN"/>
              </w:rPr>
              <w:t>工程所在区域</w:t>
            </w:r>
            <w:r>
              <w:rPr>
                <w:sz w:val="24"/>
                <w:szCs w:val="24"/>
              </w:rPr>
              <w:t>土壤侵蚀划分为轻度侵蚀、中度侵蚀、强度侵蚀3个级别。土壤侵蚀强度面积统计见表3-</w:t>
            </w:r>
            <w:r>
              <w:rPr>
                <w:rFonts w:hint="eastAsia"/>
                <w:sz w:val="24"/>
                <w:szCs w:val="24"/>
                <w:lang w:val="en-US" w:eastAsia="zh-CN"/>
              </w:rPr>
              <w:t>8</w:t>
            </w:r>
            <w:r>
              <w:rPr>
                <w:sz w:val="24"/>
                <w:szCs w:val="24"/>
              </w:rPr>
              <w:t>，具体见附图2</w:t>
            </w:r>
            <w:r>
              <w:rPr>
                <w:rFonts w:hint="eastAsia"/>
                <w:sz w:val="24"/>
                <w:szCs w:val="24"/>
                <w:lang w:val="en-US" w:eastAsia="zh-CN"/>
              </w:rPr>
              <w:t>9</w:t>
            </w:r>
            <w:r>
              <w:rPr>
                <w:sz w:val="24"/>
                <w:szCs w:val="24"/>
              </w:rPr>
              <w:t>。</w:t>
            </w:r>
          </w:p>
          <w:p>
            <w:pPr>
              <w:ind w:firstLine="420" w:firstLineChars="200"/>
              <w:jc w:val="center"/>
              <w:rPr>
                <w:szCs w:val="21"/>
              </w:rPr>
            </w:pPr>
            <w:r>
              <w:rPr>
                <w:szCs w:val="21"/>
              </w:rPr>
              <w:t>表3-</w:t>
            </w:r>
            <w:r>
              <w:rPr>
                <w:rFonts w:hint="eastAsia"/>
                <w:szCs w:val="21"/>
                <w:lang w:val="en-US" w:eastAsia="zh-CN"/>
              </w:rPr>
              <w:t>8</w:t>
            </w:r>
            <w:r>
              <w:rPr>
                <w:szCs w:val="21"/>
              </w:rPr>
              <w:t>土壤侵蚀强度现状表</w:t>
            </w:r>
          </w:p>
          <w:tbl>
            <w:tblPr>
              <w:tblStyle w:val="23"/>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935"/>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360" w:type="dxa"/>
                  <w:vAlign w:val="center"/>
                </w:tcPr>
                <w:p>
                  <w:pPr>
                    <w:jc w:val="center"/>
                    <w:rPr>
                      <w:szCs w:val="21"/>
                    </w:rPr>
                  </w:pPr>
                  <w:r>
                    <w:rPr>
                      <w:szCs w:val="21"/>
                    </w:rPr>
                    <w:t>侵蚀强度</w:t>
                  </w:r>
                </w:p>
              </w:tc>
              <w:tc>
                <w:tcPr>
                  <w:tcW w:w="2935" w:type="dxa"/>
                  <w:vAlign w:val="center"/>
                </w:tcPr>
                <w:p>
                  <w:pPr>
                    <w:jc w:val="center"/>
                    <w:rPr>
                      <w:szCs w:val="21"/>
                    </w:rPr>
                  </w:pPr>
                  <w:r>
                    <w:rPr>
                      <w:szCs w:val="21"/>
                    </w:rPr>
                    <w:t>面积(hm</w:t>
                  </w:r>
                  <w:r>
                    <w:rPr>
                      <w:szCs w:val="21"/>
                      <w:vertAlign w:val="superscript"/>
                    </w:rPr>
                    <w:t>2</w:t>
                  </w:r>
                  <w:r>
                    <w:rPr>
                      <w:szCs w:val="21"/>
                    </w:rPr>
                    <w:t>)</w:t>
                  </w:r>
                </w:p>
              </w:tc>
              <w:tc>
                <w:tcPr>
                  <w:tcW w:w="2881" w:type="dxa"/>
                  <w:vAlign w:val="center"/>
                </w:tcPr>
                <w:p>
                  <w:pPr>
                    <w:jc w:val="center"/>
                    <w:rPr>
                      <w:szCs w:val="21"/>
                    </w:rPr>
                  </w:pPr>
                  <w:r>
                    <w:rPr>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2360" w:type="dxa"/>
                  <w:vAlign w:val="center"/>
                </w:tcPr>
                <w:p>
                  <w:pPr>
                    <w:jc w:val="center"/>
                    <w:rPr>
                      <w:szCs w:val="21"/>
                    </w:rPr>
                  </w:pPr>
                  <w:r>
                    <w:rPr>
                      <w:szCs w:val="21"/>
                    </w:rPr>
                    <w:t>轻度侵蚀</w:t>
                  </w:r>
                </w:p>
              </w:tc>
              <w:tc>
                <w:tcPr>
                  <w:tcW w:w="2935" w:type="dxa"/>
                  <w:vAlign w:val="center"/>
                </w:tcPr>
                <w:p>
                  <w:pPr>
                    <w:jc w:val="center"/>
                    <w:rPr>
                      <w:color w:val="000000"/>
                      <w:szCs w:val="21"/>
                    </w:rPr>
                  </w:pPr>
                  <w:r>
                    <w:rPr>
                      <w:color w:val="000000"/>
                      <w:szCs w:val="21"/>
                    </w:rPr>
                    <w:t>1.81</w:t>
                  </w:r>
                </w:p>
              </w:tc>
              <w:tc>
                <w:tcPr>
                  <w:tcW w:w="2881" w:type="dxa"/>
                  <w:vAlign w:val="center"/>
                </w:tcPr>
                <w:p>
                  <w:pPr>
                    <w:jc w:val="center"/>
                    <w:rPr>
                      <w:rFonts w:eastAsia="等线"/>
                      <w:color w:val="000000"/>
                      <w:szCs w:val="21"/>
                    </w:rPr>
                  </w:pPr>
                  <w:r>
                    <w:rPr>
                      <w:rFonts w:eastAsia="等线"/>
                      <w:color w:val="000000"/>
                      <w:szCs w:val="21"/>
                    </w:rPr>
                    <w:t>77.97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2360" w:type="dxa"/>
                  <w:vAlign w:val="center"/>
                </w:tcPr>
                <w:p>
                  <w:pPr>
                    <w:jc w:val="center"/>
                    <w:rPr>
                      <w:szCs w:val="21"/>
                    </w:rPr>
                  </w:pPr>
                  <w:r>
                    <w:rPr>
                      <w:szCs w:val="21"/>
                    </w:rPr>
                    <w:t>中度侵蚀</w:t>
                  </w:r>
                </w:p>
              </w:tc>
              <w:tc>
                <w:tcPr>
                  <w:tcW w:w="2935" w:type="dxa"/>
                  <w:vAlign w:val="center"/>
                </w:tcPr>
                <w:p>
                  <w:pPr>
                    <w:jc w:val="center"/>
                    <w:rPr>
                      <w:color w:val="000000"/>
                      <w:szCs w:val="21"/>
                    </w:rPr>
                  </w:pPr>
                  <w:r>
                    <w:rPr>
                      <w:color w:val="000000"/>
                      <w:szCs w:val="21"/>
                    </w:rPr>
                    <w:t>0.18</w:t>
                  </w:r>
                </w:p>
              </w:tc>
              <w:tc>
                <w:tcPr>
                  <w:tcW w:w="2881" w:type="dxa"/>
                  <w:vAlign w:val="center"/>
                </w:tcPr>
                <w:p>
                  <w:pPr>
                    <w:jc w:val="center"/>
                    <w:rPr>
                      <w:rFonts w:eastAsia="等线"/>
                      <w:color w:val="000000"/>
                      <w:szCs w:val="21"/>
                    </w:rPr>
                  </w:pPr>
                  <w:r>
                    <w:rPr>
                      <w:rFonts w:eastAsia="等线"/>
                      <w:color w:val="000000"/>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2360" w:type="dxa"/>
                  <w:vAlign w:val="center"/>
                </w:tcPr>
                <w:p>
                  <w:pPr>
                    <w:jc w:val="center"/>
                    <w:rPr>
                      <w:szCs w:val="21"/>
                    </w:rPr>
                  </w:pPr>
                  <w:r>
                    <w:rPr>
                      <w:szCs w:val="21"/>
                    </w:rPr>
                    <w:t>强度侵蚀</w:t>
                  </w:r>
                </w:p>
              </w:tc>
              <w:tc>
                <w:tcPr>
                  <w:tcW w:w="2935" w:type="dxa"/>
                  <w:vAlign w:val="center"/>
                </w:tcPr>
                <w:p>
                  <w:pPr>
                    <w:jc w:val="center"/>
                    <w:rPr>
                      <w:color w:val="000000"/>
                      <w:szCs w:val="21"/>
                    </w:rPr>
                  </w:pPr>
                  <w:r>
                    <w:rPr>
                      <w:color w:val="000000"/>
                      <w:szCs w:val="21"/>
                    </w:rPr>
                    <w:t>0.33</w:t>
                  </w:r>
                </w:p>
              </w:tc>
              <w:tc>
                <w:tcPr>
                  <w:tcW w:w="2881" w:type="dxa"/>
                  <w:vAlign w:val="center"/>
                </w:tcPr>
                <w:p>
                  <w:pPr>
                    <w:jc w:val="center"/>
                    <w:rPr>
                      <w:rFonts w:eastAsia="等线"/>
                      <w:color w:val="000000"/>
                      <w:szCs w:val="21"/>
                    </w:rPr>
                  </w:pPr>
                  <w:r>
                    <w:rPr>
                      <w:rFonts w:eastAsia="等线"/>
                      <w:color w:val="000000"/>
                      <w:szCs w:val="21"/>
                    </w:rPr>
                    <w:t>14.24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360" w:type="dxa"/>
                  <w:vAlign w:val="center"/>
                </w:tcPr>
                <w:p>
                  <w:pPr>
                    <w:jc w:val="center"/>
                    <w:rPr>
                      <w:szCs w:val="21"/>
                    </w:rPr>
                  </w:pPr>
                  <w:r>
                    <w:rPr>
                      <w:szCs w:val="21"/>
                    </w:rPr>
                    <w:t>合计</w:t>
                  </w:r>
                </w:p>
              </w:tc>
              <w:tc>
                <w:tcPr>
                  <w:tcW w:w="2935" w:type="dxa"/>
                  <w:vAlign w:val="center"/>
                </w:tcPr>
                <w:p>
                  <w:pPr>
                    <w:jc w:val="center"/>
                    <w:rPr>
                      <w:szCs w:val="21"/>
                    </w:rPr>
                  </w:pPr>
                  <w:r>
                    <w:rPr>
                      <w:szCs w:val="21"/>
                    </w:rPr>
                    <w:t>2.32</w:t>
                  </w:r>
                </w:p>
              </w:tc>
              <w:tc>
                <w:tcPr>
                  <w:tcW w:w="2881" w:type="dxa"/>
                  <w:vAlign w:val="center"/>
                </w:tcPr>
                <w:p>
                  <w:pPr>
                    <w:jc w:val="center"/>
                    <w:rPr>
                      <w:szCs w:val="21"/>
                    </w:rPr>
                  </w:pPr>
                  <w:r>
                    <w:rPr>
                      <w:szCs w:val="21"/>
                    </w:rPr>
                    <w:fldChar w:fldCharType="begin"/>
                  </w:r>
                  <w:r>
                    <w:rPr>
                      <w:szCs w:val="21"/>
                    </w:rPr>
                    <w:instrText xml:space="preserve"> =SUM(ABOVE) </w:instrText>
                  </w:r>
                  <w:r>
                    <w:rPr>
                      <w:szCs w:val="21"/>
                    </w:rPr>
                    <w:fldChar w:fldCharType="separate"/>
                  </w:r>
                  <w:r>
                    <w:rPr>
                      <w:szCs w:val="21"/>
                    </w:rPr>
                    <w:t>100</w:t>
                  </w:r>
                  <w:r>
                    <w:rPr>
                      <w:szCs w:val="21"/>
                    </w:rPr>
                    <w:fldChar w:fldCharType="end"/>
                  </w:r>
                </w:p>
              </w:tc>
            </w:tr>
          </w:tbl>
          <w:p>
            <w:pPr>
              <w:spacing w:line="360" w:lineRule="auto"/>
              <w:ind w:firstLine="480" w:firstLineChars="200"/>
              <w:rPr>
                <w:kern w:val="0"/>
                <w:szCs w:val="21"/>
              </w:rPr>
            </w:pPr>
            <w:r>
              <w:rPr>
                <w:rFonts w:hint="eastAsia"/>
                <w:bCs/>
                <w:sz w:val="24"/>
                <w:szCs w:val="24"/>
                <w:lang w:eastAsia="zh-CN"/>
              </w:rPr>
              <w:t>工程所在区域</w:t>
            </w:r>
            <w:r>
              <w:rPr>
                <w:sz w:val="24"/>
                <w:szCs w:val="24"/>
              </w:rPr>
              <w:t>土壤侵蚀强度主要为轻度侵蚀，其次为中度侵蚀和强度侵蚀。其中轻度侵蚀的占地面积为1.81公顷，占总面积的77.97%；强度侵蚀的占地面积为0.33公顷，占总面积的14.24%；中度侵蚀的占地面积为</w:t>
            </w:r>
            <w:r>
              <w:rPr>
                <w:color w:val="000000"/>
                <w:sz w:val="24"/>
                <w:szCs w:val="24"/>
              </w:rPr>
              <w:t>0.18</w:t>
            </w:r>
            <w:r>
              <w:rPr>
                <w:sz w:val="24"/>
                <w:szCs w:val="24"/>
              </w:rPr>
              <w:t>公顷，占总面积的7.80%。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755" w:type="dxa"/>
            <w:vAlign w:val="center"/>
          </w:tcPr>
          <w:p>
            <w:pPr>
              <w:adjustRightInd w:val="0"/>
              <w:snapToGrid w:val="0"/>
              <w:jc w:val="center"/>
              <w:rPr>
                <w:kern w:val="0"/>
                <w:szCs w:val="21"/>
              </w:rPr>
            </w:pPr>
            <w:r>
              <w:rPr>
                <w:bCs/>
                <w:sz w:val="24"/>
                <w:szCs w:val="24"/>
              </w:rPr>
              <w:t>与项目有关的原有环境污染和生态破坏问题</w:t>
            </w:r>
          </w:p>
        </w:tc>
        <w:tc>
          <w:tcPr>
            <w:tcW w:w="8402" w:type="dxa"/>
            <w:vAlign w:val="center"/>
          </w:tcPr>
          <w:p>
            <w:pPr>
              <w:adjustRightInd w:val="0"/>
              <w:snapToGrid w:val="0"/>
              <w:jc w:val="center"/>
              <w:rPr>
                <w:kern w:val="0"/>
                <w:szCs w:val="21"/>
              </w:rPr>
            </w:pPr>
            <w:r>
              <w:rPr>
                <w:kern w:val="0"/>
                <w:sz w:val="24"/>
                <w:szCs w:val="24"/>
              </w:rPr>
              <w:t>本</w:t>
            </w:r>
            <w:r>
              <w:rPr>
                <w:rFonts w:hint="eastAsia"/>
                <w:kern w:val="0"/>
                <w:sz w:val="24"/>
                <w:szCs w:val="24"/>
                <w:lang w:eastAsia="zh-CN"/>
              </w:rPr>
              <w:t>工程</w:t>
            </w:r>
            <w:r>
              <w:rPr>
                <w:kern w:val="0"/>
                <w:sz w:val="24"/>
                <w:szCs w:val="24"/>
              </w:rPr>
              <w:t>为新建项目，</w:t>
            </w:r>
            <w:r>
              <w:rPr>
                <w:rFonts w:hint="eastAsia"/>
                <w:bCs/>
                <w:sz w:val="24"/>
                <w:szCs w:val="24"/>
                <w:lang w:eastAsia="zh-CN"/>
              </w:rPr>
              <w:t>工程所在区域</w:t>
            </w:r>
            <w:r>
              <w:rPr>
                <w:kern w:val="0"/>
                <w:sz w:val="24"/>
                <w:szCs w:val="24"/>
              </w:rPr>
              <w:t>现状为</w:t>
            </w:r>
            <w:r>
              <w:rPr>
                <w:sz w:val="24"/>
                <w:szCs w:val="24"/>
              </w:rPr>
              <w:t>其他林地、灌木林地、其它草地。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47" w:hRule="atLeast"/>
          <w:jc w:val="center"/>
        </w:trPr>
        <w:tc>
          <w:tcPr>
            <w:tcW w:w="755" w:type="dxa"/>
            <w:vAlign w:val="center"/>
          </w:tcPr>
          <w:p>
            <w:pPr>
              <w:adjustRightInd w:val="0"/>
              <w:snapToGrid w:val="0"/>
              <w:jc w:val="center"/>
              <w:rPr>
                <w:kern w:val="0"/>
                <w:szCs w:val="21"/>
              </w:rPr>
            </w:pPr>
            <w:r>
              <w:rPr>
                <w:kern w:val="0"/>
                <w:sz w:val="24"/>
                <w:szCs w:val="24"/>
              </w:rPr>
              <w:t>生态环境保护目标</w:t>
            </w:r>
          </w:p>
        </w:tc>
        <w:tc>
          <w:tcPr>
            <w:tcW w:w="8402" w:type="dxa"/>
            <w:vAlign w:val="center"/>
          </w:tcPr>
          <w:p>
            <w:pPr>
              <w:spacing w:line="360" w:lineRule="auto"/>
              <w:ind w:firstLine="480" w:firstLineChars="200"/>
            </w:pPr>
            <w:r>
              <w:rPr>
                <w:sz w:val="24"/>
                <w:szCs w:val="24"/>
              </w:rPr>
              <w:t>根据现场勘查，对照《建设项目环境影响报告表编制技术指南（污染影响类）（试行）》和《建设项目环境影响报告表编制技术指南（生态影响类）（试行）》，本</w:t>
            </w:r>
            <w:r>
              <w:rPr>
                <w:rFonts w:hint="eastAsia"/>
                <w:sz w:val="24"/>
                <w:szCs w:val="24"/>
                <w:lang w:eastAsia="zh-CN"/>
              </w:rPr>
              <w:t>工程</w:t>
            </w:r>
            <w:r>
              <w:rPr>
                <w:sz w:val="24"/>
                <w:szCs w:val="24"/>
              </w:rPr>
              <w:t>环境保护目标见下表。</w:t>
            </w:r>
          </w:p>
          <w:p>
            <w:pPr>
              <w:adjustRightInd w:val="0"/>
              <w:jc w:val="center"/>
            </w:pPr>
            <w:r>
              <w:t>表3-</w:t>
            </w:r>
            <w:r>
              <w:rPr>
                <w:rFonts w:hint="eastAsia"/>
                <w:lang w:val="en-US" w:eastAsia="zh-CN"/>
              </w:rPr>
              <w:t>9</w:t>
            </w:r>
            <w:r>
              <w:t>环境主要保护目标</w:t>
            </w:r>
          </w:p>
          <w:tbl>
            <w:tblPr>
              <w:tblStyle w:val="23"/>
              <w:tblW w:w="8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39"/>
              <w:gridCol w:w="1254"/>
              <w:gridCol w:w="693"/>
              <w:gridCol w:w="657"/>
              <w:gridCol w:w="1779"/>
              <w:gridCol w:w="84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restart"/>
                  <w:vAlign w:val="center"/>
                </w:tcPr>
                <w:p>
                  <w:pPr>
                    <w:adjustRightInd w:val="0"/>
                    <w:snapToGrid w:val="0"/>
                    <w:jc w:val="center"/>
                    <w:rPr>
                      <w:sz w:val="18"/>
                      <w:szCs w:val="18"/>
                    </w:rPr>
                  </w:pPr>
                  <w:r>
                    <w:rPr>
                      <w:sz w:val="18"/>
                      <w:szCs w:val="18"/>
                    </w:rPr>
                    <w:t>名称</w:t>
                  </w:r>
                </w:p>
              </w:tc>
              <w:tc>
                <w:tcPr>
                  <w:tcW w:w="2593" w:type="dxa"/>
                  <w:gridSpan w:val="2"/>
                  <w:vAlign w:val="center"/>
                </w:tcPr>
                <w:p>
                  <w:pPr>
                    <w:adjustRightInd w:val="0"/>
                    <w:snapToGrid w:val="0"/>
                    <w:jc w:val="center"/>
                    <w:rPr>
                      <w:sz w:val="18"/>
                      <w:szCs w:val="18"/>
                    </w:rPr>
                  </w:pPr>
                  <w:r>
                    <w:rPr>
                      <w:sz w:val="18"/>
                      <w:szCs w:val="18"/>
                    </w:rPr>
                    <w:t>坐标</w:t>
                  </w:r>
                </w:p>
              </w:tc>
              <w:tc>
                <w:tcPr>
                  <w:tcW w:w="693" w:type="dxa"/>
                  <w:vMerge w:val="restart"/>
                  <w:vAlign w:val="center"/>
                </w:tcPr>
                <w:p>
                  <w:pPr>
                    <w:adjustRightInd w:val="0"/>
                    <w:snapToGrid w:val="0"/>
                    <w:jc w:val="center"/>
                    <w:rPr>
                      <w:sz w:val="18"/>
                      <w:szCs w:val="18"/>
                    </w:rPr>
                  </w:pPr>
                  <w:r>
                    <w:rPr>
                      <w:sz w:val="18"/>
                      <w:szCs w:val="18"/>
                    </w:rPr>
                    <w:t>保护对象</w:t>
                  </w:r>
                </w:p>
              </w:tc>
              <w:tc>
                <w:tcPr>
                  <w:tcW w:w="657" w:type="dxa"/>
                  <w:vMerge w:val="restart"/>
                  <w:vAlign w:val="center"/>
                </w:tcPr>
                <w:p>
                  <w:pPr>
                    <w:adjustRightInd w:val="0"/>
                    <w:snapToGrid w:val="0"/>
                    <w:jc w:val="center"/>
                    <w:rPr>
                      <w:sz w:val="18"/>
                      <w:szCs w:val="18"/>
                    </w:rPr>
                  </w:pPr>
                  <w:r>
                    <w:rPr>
                      <w:sz w:val="18"/>
                      <w:szCs w:val="18"/>
                    </w:rPr>
                    <w:t>保护内容</w:t>
                  </w:r>
                </w:p>
              </w:tc>
              <w:tc>
                <w:tcPr>
                  <w:tcW w:w="1779" w:type="dxa"/>
                  <w:vMerge w:val="restart"/>
                  <w:vAlign w:val="center"/>
                </w:tcPr>
                <w:p>
                  <w:pPr>
                    <w:adjustRightInd w:val="0"/>
                    <w:snapToGrid w:val="0"/>
                    <w:jc w:val="center"/>
                    <w:rPr>
                      <w:sz w:val="18"/>
                      <w:szCs w:val="18"/>
                    </w:rPr>
                  </w:pPr>
                  <w:r>
                    <w:rPr>
                      <w:sz w:val="18"/>
                      <w:szCs w:val="18"/>
                    </w:rPr>
                    <w:t>环境功能区</w:t>
                  </w:r>
                </w:p>
              </w:tc>
              <w:tc>
                <w:tcPr>
                  <w:tcW w:w="845" w:type="dxa"/>
                  <w:vMerge w:val="restart"/>
                  <w:vAlign w:val="center"/>
                </w:tcPr>
                <w:p>
                  <w:pPr>
                    <w:adjustRightInd w:val="0"/>
                    <w:snapToGrid w:val="0"/>
                    <w:jc w:val="center"/>
                    <w:rPr>
                      <w:sz w:val="18"/>
                      <w:szCs w:val="18"/>
                    </w:rPr>
                  </w:pPr>
                  <w:r>
                    <w:rPr>
                      <w:sz w:val="18"/>
                      <w:szCs w:val="18"/>
                    </w:rPr>
                    <w:t>相对厂址方位</w:t>
                  </w:r>
                </w:p>
              </w:tc>
              <w:tc>
                <w:tcPr>
                  <w:tcW w:w="973" w:type="dxa"/>
                  <w:vMerge w:val="restart"/>
                  <w:vAlign w:val="center"/>
                </w:tcPr>
                <w:p>
                  <w:pPr>
                    <w:adjustRightInd w:val="0"/>
                    <w:snapToGrid w:val="0"/>
                    <w:jc w:val="center"/>
                    <w:rPr>
                      <w:sz w:val="18"/>
                      <w:szCs w:val="18"/>
                    </w:rPr>
                  </w:pPr>
                  <w:r>
                    <w:rPr>
                      <w:sz w:val="18"/>
                      <w:szCs w:val="18"/>
                    </w:rPr>
                    <w:t>相对厂界</w:t>
                  </w:r>
                </w:p>
                <w:p>
                  <w:pPr>
                    <w:adjustRightInd w:val="0"/>
                    <w:snapToGrid w:val="0"/>
                    <w:jc w:val="center"/>
                    <w:rPr>
                      <w:sz w:val="18"/>
                      <w:szCs w:val="18"/>
                    </w:rPr>
                  </w:pPr>
                  <w:r>
                    <w:rPr>
                      <w:sz w:val="18"/>
                      <w:szCs w:val="18"/>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adjustRightInd w:val="0"/>
                    <w:snapToGrid w:val="0"/>
                    <w:jc w:val="center"/>
                    <w:rPr>
                      <w:sz w:val="18"/>
                      <w:szCs w:val="18"/>
                    </w:rPr>
                  </w:pPr>
                </w:p>
              </w:tc>
              <w:tc>
                <w:tcPr>
                  <w:tcW w:w="1339" w:type="dxa"/>
                  <w:vAlign w:val="center"/>
                </w:tcPr>
                <w:p>
                  <w:pPr>
                    <w:adjustRightInd w:val="0"/>
                    <w:snapToGrid w:val="0"/>
                    <w:jc w:val="center"/>
                    <w:rPr>
                      <w:sz w:val="18"/>
                      <w:szCs w:val="18"/>
                    </w:rPr>
                  </w:pPr>
                  <w:r>
                    <w:rPr>
                      <w:sz w:val="18"/>
                      <w:szCs w:val="18"/>
                    </w:rPr>
                    <w:t>X（°）</w:t>
                  </w:r>
                </w:p>
              </w:tc>
              <w:tc>
                <w:tcPr>
                  <w:tcW w:w="1254" w:type="dxa"/>
                  <w:vAlign w:val="center"/>
                </w:tcPr>
                <w:p>
                  <w:pPr>
                    <w:adjustRightInd w:val="0"/>
                    <w:snapToGrid w:val="0"/>
                    <w:jc w:val="center"/>
                    <w:rPr>
                      <w:sz w:val="18"/>
                      <w:szCs w:val="18"/>
                    </w:rPr>
                  </w:pPr>
                  <w:r>
                    <w:rPr>
                      <w:sz w:val="18"/>
                      <w:szCs w:val="18"/>
                    </w:rPr>
                    <w:t>Y（°）</w:t>
                  </w:r>
                </w:p>
              </w:tc>
              <w:tc>
                <w:tcPr>
                  <w:tcW w:w="693" w:type="dxa"/>
                  <w:vMerge w:val="continue"/>
                  <w:vAlign w:val="center"/>
                </w:tcPr>
                <w:p>
                  <w:pPr>
                    <w:adjustRightInd w:val="0"/>
                    <w:snapToGrid w:val="0"/>
                    <w:jc w:val="center"/>
                    <w:rPr>
                      <w:sz w:val="18"/>
                      <w:szCs w:val="18"/>
                    </w:rPr>
                  </w:pPr>
                </w:p>
              </w:tc>
              <w:tc>
                <w:tcPr>
                  <w:tcW w:w="657" w:type="dxa"/>
                  <w:vMerge w:val="continue"/>
                  <w:vAlign w:val="center"/>
                </w:tcPr>
                <w:p>
                  <w:pPr>
                    <w:adjustRightInd w:val="0"/>
                    <w:snapToGrid w:val="0"/>
                    <w:jc w:val="center"/>
                    <w:rPr>
                      <w:sz w:val="18"/>
                      <w:szCs w:val="18"/>
                    </w:rPr>
                  </w:pPr>
                </w:p>
              </w:tc>
              <w:tc>
                <w:tcPr>
                  <w:tcW w:w="1779" w:type="dxa"/>
                  <w:vMerge w:val="continue"/>
                  <w:vAlign w:val="center"/>
                </w:tcPr>
                <w:p>
                  <w:pPr>
                    <w:adjustRightInd w:val="0"/>
                    <w:snapToGrid w:val="0"/>
                    <w:jc w:val="center"/>
                    <w:rPr>
                      <w:sz w:val="18"/>
                      <w:szCs w:val="18"/>
                    </w:rPr>
                  </w:pPr>
                </w:p>
              </w:tc>
              <w:tc>
                <w:tcPr>
                  <w:tcW w:w="845" w:type="dxa"/>
                  <w:vMerge w:val="continue"/>
                  <w:vAlign w:val="center"/>
                </w:tcPr>
                <w:p>
                  <w:pPr>
                    <w:adjustRightInd w:val="0"/>
                    <w:snapToGrid w:val="0"/>
                    <w:jc w:val="center"/>
                    <w:rPr>
                      <w:sz w:val="18"/>
                      <w:szCs w:val="18"/>
                    </w:rPr>
                  </w:pPr>
                </w:p>
              </w:tc>
              <w:tc>
                <w:tcPr>
                  <w:tcW w:w="973"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restart"/>
                  <w:vAlign w:val="center"/>
                </w:tcPr>
                <w:p>
                  <w:pPr>
                    <w:adjustRightInd w:val="0"/>
                    <w:snapToGrid w:val="0"/>
                    <w:jc w:val="center"/>
                    <w:rPr>
                      <w:sz w:val="18"/>
                      <w:szCs w:val="18"/>
                    </w:rPr>
                  </w:pPr>
                  <w:r>
                    <w:rPr>
                      <w:sz w:val="18"/>
                      <w:szCs w:val="18"/>
                    </w:rPr>
                    <w:t>大气</w:t>
                  </w:r>
                </w:p>
                <w:p>
                  <w:pPr>
                    <w:adjustRightInd w:val="0"/>
                    <w:snapToGrid w:val="0"/>
                    <w:jc w:val="center"/>
                    <w:rPr>
                      <w:sz w:val="18"/>
                      <w:szCs w:val="18"/>
                    </w:rPr>
                  </w:pPr>
                  <w:r>
                    <w:rPr>
                      <w:sz w:val="18"/>
                      <w:szCs w:val="18"/>
                    </w:rPr>
                    <w:t>环境</w:t>
                  </w:r>
                </w:p>
              </w:tc>
              <w:tc>
                <w:tcPr>
                  <w:tcW w:w="1339" w:type="dxa"/>
                  <w:vAlign w:val="center"/>
                </w:tcPr>
                <w:p>
                  <w:pPr>
                    <w:adjustRightInd w:val="0"/>
                    <w:snapToGrid w:val="0"/>
                    <w:jc w:val="center"/>
                    <w:rPr>
                      <w:sz w:val="18"/>
                      <w:szCs w:val="18"/>
                    </w:rPr>
                  </w:pPr>
                  <w:r>
                    <w:rPr>
                      <w:sz w:val="18"/>
                      <w:szCs w:val="18"/>
                    </w:rPr>
                    <w:t>110.339797759</w:t>
                  </w:r>
                </w:p>
              </w:tc>
              <w:tc>
                <w:tcPr>
                  <w:tcW w:w="1254" w:type="dxa"/>
                  <w:vAlign w:val="center"/>
                </w:tcPr>
                <w:p>
                  <w:pPr>
                    <w:adjustRightInd w:val="0"/>
                    <w:snapToGrid w:val="0"/>
                    <w:jc w:val="center"/>
                    <w:rPr>
                      <w:sz w:val="18"/>
                      <w:szCs w:val="18"/>
                    </w:rPr>
                  </w:pPr>
                  <w:r>
                    <w:rPr>
                      <w:sz w:val="18"/>
                      <w:szCs w:val="18"/>
                    </w:rPr>
                    <w:t>34.272299005</w:t>
                  </w:r>
                </w:p>
              </w:tc>
              <w:tc>
                <w:tcPr>
                  <w:tcW w:w="693" w:type="dxa"/>
                  <w:vAlign w:val="center"/>
                </w:tcPr>
                <w:p>
                  <w:pPr>
                    <w:adjustRightInd w:val="0"/>
                    <w:snapToGrid w:val="0"/>
                    <w:jc w:val="center"/>
                    <w:rPr>
                      <w:sz w:val="18"/>
                      <w:szCs w:val="18"/>
                    </w:rPr>
                  </w:pPr>
                  <w:r>
                    <w:rPr>
                      <w:sz w:val="18"/>
                      <w:szCs w:val="18"/>
                    </w:rPr>
                    <w:t>椒树洼组</w:t>
                  </w:r>
                </w:p>
              </w:tc>
              <w:tc>
                <w:tcPr>
                  <w:tcW w:w="657" w:type="dxa"/>
                  <w:vMerge w:val="restart"/>
                  <w:vAlign w:val="center"/>
                </w:tcPr>
                <w:p>
                  <w:pPr>
                    <w:adjustRightInd w:val="0"/>
                    <w:snapToGrid w:val="0"/>
                    <w:jc w:val="center"/>
                    <w:rPr>
                      <w:sz w:val="18"/>
                      <w:szCs w:val="18"/>
                    </w:rPr>
                  </w:pPr>
                  <w:r>
                    <w:rPr>
                      <w:sz w:val="18"/>
                      <w:szCs w:val="18"/>
                    </w:rPr>
                    <w:t>人群健康</w:t>
                  </w:r>
                </w:p>
              </w:tc>
              <w:tc>
                <w:tcPr>
                  <w:tcW w:w="1779" w:type="dxa"/>
                  <w:vMerge w:val="restart"/>
                  <w:vAlign w:val="center"/>
                </w:tcPr>
                <w:p>
                  <w:pPr>
                    <w:adjustRightInd w:val="0"/>
                    <w:snapToGrid w:val="0"/>
                    <w:jc w:val="center"/>
                    <w:rPr>
                      <w:sz w:val="18"/>
                      <w:szCs w:val="18"/>
                    </w:rPr>
                  </w:pPr>
                  <w:r>
                    <w:rPr>
                      <w:sz w:val="18"/>
                      <w:szCs w:val="18"/>
                    </w:rPr>
                    <w:t>《环境空气质量标准》（GB3095-2012）二级标准</w:t>
                  </w:r>
                </w:p>
              </w:tc>
              <w:tc>
                <w:tcPr>
                  <w:tcW w:w="845" w:type="dxa"/>
                  <w:vAlign w:val="center"/>
                </w:tcPr>
                <w:p>
                  <w:pPr>
                    <w:adjustRightInd w:val="0"/>
                    <w:snapToGrid w:val="0"/>
                    <w:jc w:val="center"/>
                    <w:rPr>
                      <w:sz w:val="18"/>
                      <w:szCs w:val="18"/>
                    </w:rPr>
                  </w:pPr>
                  <w:r>
                    <w:rPr>
                      <w:sz w:val="18"/>
                      <w:szCs w:val="18"/>
                    </w:rPr>
                    <w:t>E</w:t>
                  </w:r>
                </w:p>
              </w:tc>
              <w:tc>
                <w:tcPr>
                  <w:tcW w:w="973" w:type="dxa"/>
                  <w:vAlign w:val="center"/>
                </w:tcPr>
                <w:p>
                  <w:pPr>
                    <w:adjustRightInd w:val="0"/>
                    <w:snapToGrid w:val="0"/>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31" w:type="dxa"/>
                  <w:vMerge w:val="continue"/>
                  <w:vAlign w:val="center"/>
                </w:tcPr>
                <w:p>
                  <w:pPr>
                    <w:adjustRightInd w:val="0"/>
                    <w:snapToGrid w:val="0"/>
                    <w:jc w:val="center"/>
                    <w:rPr>
                      <w:sz w:val="18"/>
                      <w:szCs w:val="18"/>
                    </w:rPr>
                  </w:pPr>
                </w:p>
              </w:tc>
              <w:tc>
                <w:tcPr>
                  <w:tcW w:w="1339" w:type="dxa"/>
                  <w:vAlign w:val="center"/>
                </w:tcPr>
                <w:p>
                  <w:pPr>
                    <w:adjustRightInd w:val="0"/>
                    <w:snapToGrid w:val="0"/>
                    <w:jc w:val="center"/>
                    <w:rPr>
                      <w:sz w:val="18"/>
                      <w:szCs w:val="18"/>
                    </w:rPr>
                  </w:pPr>
                  <w:r>
                    <w:rPr>
                      <w:sz w:val="18"/>
                      <w:szCs w:val="18"/>
                    </w:rPr>
                    <w:t>110.344003463</w:t>
                  </w:r>
                </w:p>
              </w:tc>
              <w:tc>
                <w:tcPr>
                  <w:tcW w:w="1254" w:type="dxa"/>
                  <w:vAlign w:val="center"/>
                </w:tcPr>
                <w:p>
                  <w:pPr>
                    <w:adjustRightInd w:val="0"/>
                    <w:snapToGrid w:val="0"/>
                    <w:jc w:val="center"/>
                    <w:rPr>
                      <w:sz w:val="18"/>
                      <w:szCs w:val="18"/>
                    </w:rPr>
                  </w:pPr>
                  <w:r>
                    <w:rPr>
                      <w:sz w:val="18"/>
                      <w:szCs w:val="18"/>
                    </w:rPr>
                    <w:t>33.699250675</w:t>
                  </w:r>
                </w:p>
              </w:tc>
              <w:tc>
                <w:tcPr>
                  <w:tcW w:w="693" w:type="dxa"/>
                  <w:vAlign w:val="center"/>
                </w:tcPr>
                <w:p>
                  <w:pPr>
                    <w:jc w:val="center"/>
                    <w:rPr>
                      <w:sz w:val="18"/>
                      <w:szCs w:val="18"/>
                    </w:rPr>
                  </w:pPr>
                  <w:r>
                    <w:rPr>
                      <w:sz w:val="18"/>
                      <w:szCs w:val="18"/>
                    </w:rPr>
                    <w:t>赵户岭</w:t>
                  </w:r>
                </w:p>
                <w:p>
                  <w:pPr>
                    <w:adjustRightInd w:val="0"/>
                    <w:snapToGrid w:val="0"/>
                    <w:jc w:val="center"/>
                    <w:rPr>
                      <w:sz w:val="18"/>
                      <w:szCs w:val="18"/>
                    </w:rPr>
                  </w:pPr>
                </w:p>
              </w:tc>
              <w:tc>
                <w:tcPr>
                  <w:tcW w:w="657" w:type="dxa"/>
                  <w:vMerge w:val="continue"/>
                  <w:vAlign w:val="center"/>
                </w:tcPr>
                <w:p>
                  <w:pPr>
                    <w:adjustRightInd w:val="0"/>
                    <w:snapToGrid w:val="0"/>
                    <w:jc w:val="center"/>
                    <w:rPr>
                      <w:sz w:val="18"/>
                      <w:szCs w:val="18"/>
                    </w:rPr>
                  </w:pPr>
                </w:p>
              </w:tc>
              <w:tc>
                <w:tcPr>
                  <w:tcW w:w="1779" w:type="dxa"/>
                  <w:vMerge w:val="continue"/>
                  <w:vAlign w:val="center"/>
                </w:tcPr>
                <w:p>
                  <w:pPr>
                    <w:adjustRightInd w:val="0"/>
                    <w:snapToGrid w:val="0"/>
                    <w:jc w:val="center"/>
                    <w:rPr>
                      <w:sz w:val="18"/>
                      <w:szCs w:val="18"/>
                    </w:rPr>
                  </w:pPr>
                </w:p>
              </w:tc>
              <w:tc>
                <w:tcPr>
                  <w:tcW w:w="845" w:type="dxa"/>
                  <w:vAlign w:val="center"/>
                </w:tcPr>
                <w:p>
                  <w:pPr>
                    <w:adjustRightInd w:val="0"/>
                    <w:snapToGrid w:val="0"/>
                    <w:jc w:val="center"/>
                    <w:rPr>
                      <w:sz w:val="18"/>
                      <w:szCs w:val="18"/>
                    </w:rPr>
                  </w:pPr>
                  <w:r>
                    <w:rPr>
                      <w:sz w:val="18"/>
                      <w:szCs w:val="18"/>
                    </w:rPr>
                    <w:t>W</w:t>
                  </w:r>
                </w:p>
              </w:tc>
              <w:tc>
                <w:tcPr>
                  <w:tcW w:w="973" w:type="dxa"/>
                  <w:vAlign w:val="center"/>
                </w:tcPr>
                <w:p>
                  <w:pPr>
                    <w:adjustRightInd w:val="0"/>
                    <w:snapToGrid w:val="0"/>
                    <w:jc w:val="center"/>
                    <w:rPr>
                      <w:sz w:val="18"/>
                      <w:szCs w:val="18"/>
                    </w:rPr>
                  </w:pPr>
                  <w:r>
                    <w:rPr>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adjustRightInd w:val="0"/>
                    <w:snapToGrid w:val="0"/>
                    <w:jc w:val="center"/>
                    <w:rPr>
                      <w:sz w:val="18"/>
                      <w:szCs w:val="18"/>
                    </w:rPr>
                  </w:pPr>
                  <w:r>
                    <w:rPr>
                      <w:sz w:val="18"/>
                      <w:szCs w:val="18"/>
                    </w:rPr>
                    <w:t>噪声</w:t>
                  </w:r>
                </w:p>
              </w:tc>
              <w:tc>
                <w:tcPr>
                  <w:tcW w:w="1339" w:type="dxa"/>
                  <w:vAlign w:val="center"/>
                </w:tcPr>
                <w:p>
                  <w:pPr>
                    <w:adjustRightInd w:val="0"/>
                    <w:snapToGrid w:val="0"/>
                    <w:jc w:val="center"/>
                    <w:rPr>
                      <w:sz w:val="18"/>
                      <w:szCs w:val="18"/>
                    </w:rPr>
                  </w:pPr>
                  <w:r>
                    <w:rPr>
                      <w:sz w:val="18"/>
                      <w:szCs w:val="18"/>
                    </w:rPr>
                    <w:t>110.339797759</w:t>
                  </w:r>
                </w:p>
              </w:tc>
              <w:tc>
                <w:tcPr>
                  <w:tcW w:w="1254" w:type="dxa"/>
                  <w:vAlign w:val="center"/>
                </w:tcPr>
                <w:p>
                  <w:pPr>
                    <w:adjustRightInd w:val="0"/>
                    <w:snapToGrid w:val="0"/>
                    <w:jc w:val="center"/>
                    <w:rPr>
                      <w:sz w:val="18"/>
                      <w:szCs w:val="18"/>
                    </w:rPr>
                  </w:pPr>
                  <w:r>
                    <w:rPr>
                      <w:sz w:val="18"/>
                      <w:szCs w:val="18"/>
                    </w:rPr>
                    <w:t>34.272299005</w:t>
                  </w:r>
                </w:p>
              </w:tc>
              <w:tc>
                <w:tcPr>
                  <w:tcW w:w="693" w:type="dxa"/>
                  <w:vAlign w:val="center"/>
                </w:tcPr>
                <w:p>
                  <w:pPr>
                    <w:adjustRightInd w:val="0"/>
                    <w:snapToGrid w:val="0"/>
                    <w:jc w:val="center"/>
                    <w:rPr>
                      <w:sz w:val="18"/>
                      <w:szCs w:val="18"/>
                    </w:rPr>
                  </w:pPr>
                  <w:r>
                    <w:rPr>
                      <w:sz w:val="18"/>
                      <w:szCs w:val="18"/>
                    </w:rPr>
                    <w:t>椒树洼组</w:t>
                  </w:r>
                </w:p>
              </w:tc>
              <w:tc>
                <w:tcPr>
                  <w:tcW w:w="657" w:type="dxa"/>
                  <w:vMerge w:val="continue"/>
                  <w:vAlign w:val="center"/>
                </w:tcPr>
                <w:p>
                  <w:pPr>
                    <w:adjustRightInd w:val="0"/>
                    <w:snapToGrid w:val="0"/>
                    <w:jc w:val="center"/>
                    <w:rPr>
                      <w:sz w:val="18"/>
                      <w:szCs w:val="18"/>
                    </w:rPr>
                  </w:pPr>
                </w:p>
              </w:tc>
              <w:tc>
                <w:tcPr>
                  <w:tcW w:w="1779" w:type="dxa"/>
                  <w:vAlign w:val="center"/>
                </w:tcPr>
                <w:p>
                  <w:pPr>
                    <w:adjustRightInd w:val="0"/>
                    <w:snapToGrid w:val="0"/>
                    <w:jc w:val="center"/>
                    <w:rPr>
                      <w:sz w:val="18"/>
                      <w:szCs w:val="18"/>
                    </w:rPr>
                  </w:pPr>
                  <w:r>
                    <w:rPr>
                      <w:sz w:val="18"/>
                      <w:szCs w:val="18"/>
                    </w:rPr>
                    <w:t>《声环境质量标准》（GB3096-2008）2类</w:t>
                  </w:r>
                </w:p>
              </w:tc>
              <w:tc>
                <w:tcPr>
                  <w:tcW w:w="845" w:type="dxa"/>
                  <w:vAlign w:val="center"/>
                </w:tcPr>
                <w:p>
                  <w:pPr>
                    <w:adjustRightInd w:val="0"/>
                    <w:snapToGrid w:val="0"/>
                    <w:jc w:val="center"/>
                    <w:rPr>
                      <w:sz w:val="18"/>
                      <w:szCs w:val="18"/>
                    </w:rPr>
                  </w:pPr>
                  <w:r>
                    <w:rPr>
                      <w:sz w:val="18"/>
                      <w:szCs w:val="18"/>
                    </w:rPr>
                    <w:t>E</w:t>
                  </w:r>
                </w:p>
              </w:tc>
              <w:tc>
                <w:tcPr>
                  <w:tcW w:w="973" w:type="dxa"/>
                  <w:vAlign w:val="center"/>
                </w:tcPr>
                <w:p>
                  <w:pPr>
                    <w:adjustRightInd w:val="0"/>
                    <w:snapToGrid w:val="0"/>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adjustRightInd w:val="0"/>
                    <w:snapToGrid w:val="0"/>
                    <w:jc w:val="center"/>
                    <w:rPr>
                      <w:sz w:val="18"/>
                      <w:szCs w:val="18"/>
                    </w:rPr>
                  </w:pPr>
                  <w:r>
                    <w:rPr>
                      <w:sz w:val="18"/>
                      <w:szCs w:val="18"/>
                    </w:rPr>
                    <w:t>生态环境</w:t>
                  </w:r>
                </w:p>
              </w:tc>
              <w:tc>
                <w:tcPr>
                  <w:tcW w:w="1339" w:type="dxa"/>
                  <w:vAlign w:val="center"/>
                </w:tcPr>
                <w:p>
                  <w:pPr>
                    <w:adjustRightInd w:val="0"/>
                    <w:snapToGrid w:val="0"/>
                    <w:jc w:val="center"/>
                    <w:rPr>
                      <w:sz w:val="18"/>
                      <w:szCs w:val="18"/>
                    </w:rPr>
                  </w:pPr>
                  <w:r>
                    <w:rPr>
                      <w:sz w:val="18"/>
                      <w:szCs w:val="18"/>
                    </w:rPr>
                    <w:t>110.340686890</w:t>
                  </w:r>
                </w:p>
              </w:tc>
              <w:tc>
                <w:tcPr>
                  <w:tcW w:w="1254" w:type="dxa"/>
                  <w:vAlign w:val="center"/>
                </w:tcPr>
                <w:p>
                  <w:pPr>
                    <w:adjustRightInd w:val="0"/>
                    <w:snapToGrid w:val="0"/>
                    <w:jc w:val="center"/>
                    <w:rPr>
                      <w:sz w:val="18"/>
                      <w:szCs w:val="18"/>
                    </w:rPr>
                  </w:pPr>
                  <w:r>
                    <w:rPr>
                      <w:sz w:val="18"/>
                      <w:szCs w:val="18"/>
                    </w:rPr>
                    <w:t>33.701140805</w:t>
                  </w:r>
                </w:p>
              </w:tc>
              <w:tc>
                <w:tcPr>
                  <w:tcW w:w="693" w:type="dxa"/>
                  <w:vAlign w:val="center"/>
                </w:tcPr>
                <w:p>
                  <w:pPr>
                    <w:jc w:val="center"/>
                    <w:rPr>
                      <w:sz w:val="18"/>
                      <w:szCs w:val="18"/>
                    </w:rPr>
                  </w:pPr>
                  <w:r>
                    <w:rPr>
                      <w:sz w:val="18"/>
                      <w:szCs w:val="18"/>
                    </w:rPr>
                    <w:t>生态环境</w:t>
                  </w:r>
                </w:p>
              </w:tc>
              <w:tc>
                <w:tcPr>
                  <w:tcW w:w="657" w:type="dxa"/>
                  <w:vAlign w:val="center"/>
                </w:tcPr>
                <w:p>
                  <w:pPr>
                    <w:adjustRightInd w:val="0"/>
                    <w:snapToGrid w:val="0"/>
                    <w:jc w:val="center"/>
                    <w:rPr>
                      <w:sz w:val="18"/>
                      <w:szCs w:val="18"/>
                    </w:rPr>
                  </w:pPr>
                  <w:r>
                    <w:rPr>
                      <w:sz w:val="18"/>
                      <w:szCs w:val="18"/>
                    </w:rPr>
                    <w:t>生态环境</w:t>
                  </w:r>
                </w:p>
              </w:tc>
              <w:tc>
                <w:tcPr>
                  <w:tcW w:w="1779" w:type="dxa"/>
                  <w:vAlign w:val="center"/>
                </w:tcPr>
                <w:p>
                  <w:pPr>
                    <w:adjustRightInd w:val="0"/>
                    <w:snapToGrid w:val="0"/>
                    <w:jc w:val="center"/>
                    <w:rPr>
                      <w:sz w:val="18"/>
                      <w:szCs w:val="18"/>
                    </w:rPr>
                  </w:pPr>
                  <w:r>
                    <w:rPr>
                      <w:sz w:val="18"/>
                      <w:szCs w:val="18"/>
                    </w:rPr>
                    <w:t>/</w:t>
                  </w:r>
                </w:p>
              </w:tc>
              <w:tc>
                <w:tcPr>
                  <w:tcW w:w="1818" w:type="dxa"/>
                  <w:gridSpan w:val="2"/>
                  <w:vAlign w:val="center"/>
                </w:tcPr>
                <w:p>
                  <w:pPr>
                    <w:adjustRightInd w:val="0"/>
                    <w:snapToGrid w:val="0"/>
                    <w:jc w:val="center"/>
                    <w:rPr>
                      <w:sz w:val="18"/>
                      <w:szCs w:val="18"/>
                    </w:rPr>
                  </w:pPr>
                  <w:r>
                    <w:rPr>
                      <w:sz w:val="18"/>
                      <w:szCs w:val="18"/>
                    </w:rPr>
                    <w:t>项目场地占地范围内</w:t>
                  </w:r>
                </w:p>
              </w:tc>
            </w:tr>
          </w:tbl>
          <w:p>
            <w:pPr>
              <w:adjustRightInd w:val="0"/>
              <w:snapToGrid w:val="0"/>
            </w:pPr>
          </w:p>
          <w:p>
            <w:pPr>
              <w:pStyle w:val="2"/>
            </w:pPr>
          </w:p>
          <w:p>
            <w:pPr>
              <w:pStyle w:val="2"/>
            </w:pPr>
          </w:p>
          <w:p>
            <w:pPr>
              <w:pStyle w:val="2"/>
            </w:pPr>
          </w:p>
          <w:p>
            <w:pPr>
              <w:pStyle w:val="2"/>
            </w:pPr>
          </w:p>
          <w:p>
            <w:pPr>
              <w:pStyle w:val="2"/>
            </w:pP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755" w:type="dxa"/>
            <w:vAlign w:val="center"/>
          </w:tcPr>
          <w:p>
            <w:pPr>
              <w:adjustRightInd w:val="0"/>
              <w:snapToGrid w:val="0"/>
              <w:jc w:val="center"/>
              <w:rPr>
                <w:kern w:val="0"/>
                <w:szCs w:val="21"/>
              </w:rPr>
            </w:pPr>
            <w:r>
              <w:rPr>
                <w:kern w:val="0"/>
                <w:sz w:val="24"/>
                <w:szCs w:val="24"/>
              </w:rPr>
              <w:t>评价标准</w:t>
            </w:r>
          </w:p>
        </w:tc>
        <w:tc>
          <w:tcPr>
            <w:tcW w:w="8402" w:type="dxa"/>
            <w:vAlign w:val="center"/>
          </w:tcPr>
          <w:p>
            <w:pPr>
              <w:adjustRightInd w:val="0"/>
              <w:snapToGrid w:val="0"/>
              <w:spacing w:line="360" w:lineRule="auto"/>
              <w:jc w:val="left"/>
              <w:rPr>
                <w:b/>
                <w:kern w:val="0"/>
                <w:sz w:val="24"/>
                <w:szCs w:val="24"/>
              </w:rPr>
            </w:pPr>
            <w:r>
              <w:rPr>
                <w:b/>
                <w:kern w:val="0"/>
                <w:sz w:val="24"/>
                <w:szCs w:val="24"/>
              </w:rPr>
              <w:t>一、环境质量标准</w:t>
            </w:r>
          </w:p>
          <w:p>
            <w:pPr>
              <w:adjustRightInd w:val="0"/>
              <w:snapToGrid w:val="0"/>
              <w:spacing w:line="360" w:lineRule="auto"/>
              <w:jc w:val="left"/>
              <w:rPr>
                <w:b/>
                <w:kern w:val="0"/>
                <w:sz w:val="24"/>
                <w:szCs w:val="24"/>
              </w:rPr>
            </w:pPr>
            <w:r>
              <w:rPr>
                <w:b/>
                <w:kern w:val="0"/>
                <w:sz w:val="24"/>
                <w:szCs w:val="24"/>
              </w:rPr>
              <w:t>1、环境空气</w:t>
            </w:r>
          </w:p>
          <w:p>
            <w:pPr>
              <w:adjustRightInd w:val="0"/>
              <w:snapToGrid w:val="0"/>
              <w:spacing w:line="360" w:lineRule="auto"/>
              <w:ind w:firstLine="480" w:firstLineChars="200"/>
              <w:rPr>
                <w:kern w:val="0"/>
                <w:sz w:val="24"/>
                <w:szCs w:val="24"/>
              </w:rPr>
            </w:pPr>
            <w:r>
              <w:rPr>
                <w:kern w:val="0"/>
                <w:sz w:val="24"/>
                <w:szCs w:val="24"/>
              </w:rPr>
              <w:t>SO</w:t>
            </w:r>
            <w:r>
              <w:rPr>
                <w:kern w:val="0"/>
                <w:sz w:val="24"/>
                <w:szCs w:val="24"/>
                <w:vertAlign w:val="subscript"/>
              </w:rPr>
              <w:t>2</w:t>
            </w:r>
            <w:r>
              <w:rPr>
                <w:kern w:val="0"/>
                <w:sz w:val="24"/>
                <w:szCs w:val="24"/>
              </w:rPr>
              <w:t>、NO</w:t>
            </w:r>
            <w:r>
              <w:rPr>
                <w:kern w:val="0"/>
                <w:sz w:val="24"/>
                <w:szCs w:val="24"/>
                <w:vertAlign w:val="subscript"/>
              </w:rPr>
              <w:t>2</w:t>
            </w:r>
            <w:r>
              <w:rPr>
                <w:kern w:val="0"/>
                <w:sz w:val="24"/>
                <w:szCs w:val="24"/>
              </w:rPr>
              <w:t>、PM</w:t>
            </w:r>
            <w:r>
              <w:rPr>
                <w:kern w:val="0"/>
                <w:sz w:val="24"/>
                <w:szCs w:val="24"/>
                <w:vertAlign w:val="subscript"/>
              </w:rPr>
              <w:t>2.5</w:t>
            </w:r>
            <w:r>
              <w:rPr>
                <w:kern w:val="0"/>
                <w:sz w:val="24"/>
                <w:szCs w:val="24"/>
              </w:rPr>
              <w:t>、PM</w:t>
            </w:r>
            <w:r>
              <w:rPr>
                <w:kern w:val="0"/>
                <w:sz w:val="24"/>
                <w:szCs w:val="24"/>
                <w:vertAlign w:val="subscript"/>
              </w:rPr>
              <w:t>10</w:t>
            </w:r>
            <w:r>
              <w:rPr>
                <w:kern w:val="0"/>
                <w:sz w:val="24"/>
                <w:szCs w:val="24"/>
              </w:rPr>
              <w:t>、CO、O</w:t>
            </w:r>
            <w:r>
              <w:rPr>
                <w:kern w:val="0"/>
                <w:sz w:val="24"/>
                <w:szCs w:val="24"/>
                <w:vertAlign w:val="subscript"/>
              </w:rPr>
              <w:t>3</w:t>
            </w:r>
            <w:r>
              <w:rPr>
                <w:kern w:val="0"/>
                <w:sz w:val="24"/>
                <w:szCs w:val="24"/>
              </w:rPr>
              <w:t>等常规因子及特征污染物TSP均执行《环境空气质量标准》（GB3095-2012）中二级标准，标准值见表3-</w:t>
            </w:r>
            <w:r>
              <w:rPr>
                <w:rFonts w:hint="eastAsia"/>
                <w:kern w:val="0"/>
                <w:sz w:val="24"/>
                <w:szCs w:val="24"/>
                <w:lang w:val="en-US" w:eastAsia="zh-CN"/>
              </w:rPr>
              <w:t>10</w:t>
            </w:r>
            <w:r>
              <w:rPr>
                <w:kern w:val="0"/>
                <w:sz w:val="24"/>
                <w:szCs w:val="24"/>
              </w:rPr>
              <w:t>。</w:t>
            </w:r>
          </w:p>
          <w:p>
            <w:pPr>
              <w:adjustRightInd w:val="0"/>
              <w:snapToGrid w:val="0"/>
              <w:jc w:val="center"/>
              <w:rPr>
                <w:kern w:val="0"/>
                <w:szCs w:val="21"/>
              </w:rPr>
            </w:pPr>
            <w:r>
              <w:rPr>
                <w:kern w:val="0"/>
                <w:szCs w:val="21"/>
              </w:rPr>
              <w:t>表3-</w:t>
            </w:r>
            <w:r>
              <w:rPr>
                <w:rFonts w:hint="eastAsia"/>
                <w:kern w:val="0"/>
                <w:szCs w:val="21"/>
                <w:lang w:val="en-US" w:eastAsia="zh-CN"/>
              </w:rPr>
              <w:t>10</w:t>
            </w:r>
            <w:r>
              <w:rPr>
                <w:kern w:val="0"/>
                <w:szCs w:val="21"/>
              </w:rPr>
              <w:t>环境空气质量标准</w:t>
            </w:r>
          </w:p>
          <w:tbl>
            <w:tblPr>
              <w:tblStyle w:val="23"/>
              <w:tblW w:w="8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134"/>
              <w:gridCol w:w="1843"/>
              <w:gridCol w:w="1134"/>
              <w:gridCol w:w="113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299"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环境要素</w:t>
                  </w:r>
                </w:p>
              </w:tc>
              <w:tc>
                <w:tcPr>
                  <w:tcW w:w="2977" w:type="dxa"/>
                  <w:gridSpan w:val="2"/>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污染物名称</w:t>
                  </w:r>
                </w:p>
              </w:tc>
              <w:tc>
                <w:tcPr>
                  <w:tcW w:w="1134"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标准值</w:t>
                  </w:r>
                </w:p>
              </w:tc>
              <w:tc>
                <w:tcPr>
                  <w:tcW w:w="1134"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单位</w:t>
                  </w:r>
                </w:p>
              </w:tc>
              <w:tc>
                <w:tcPr>
                  <w:tcW w:w="1576"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大</w:t>
                  </w:r>
                </w:p>
                <w:p>
                  <w:pPr>
                    <w:pStyle w:val="49"/>
                    <w:framePr w:hSpace="0" w:wrap="auto" w:vAnchor="margin" w:hAnchor="text" w:xAlign="left" w:yAlign="inline"/>
                    <w:spacing w:line="240" w:lineRule="auto"/>
                    <w:rPr>
                      <w:rFonts w:ascii="Times New Roman" w:hAnsi="Times New Roman"/>
                    </w:rPr>
                  </w:pPr>
                  <w:r>
                    <w:rPr>
                      <w:rFonts w:ascii="Times New Roman" w:hAnsi="Times New Roman"/>
                    </w:rPr>
                    <w:t>气</w:t>
                  </w:r>
                </w:p>
                <w:p>
                  <w:pPr>
                    <w:pStyle w:val="49"/>
                    <w:framePr w:hSpace="0" w:wrap="auto" w:vAnchor="margin" w:hAnchor="text" w:xAlign="left" w:yAlign="inline"/>
                    <w:spacing w:line="240" w:lineRule="auto"/>
                    <w:rPr>
                      <w:rFonts w:ascii="Times New Roman" w:hAnsi="Times New Roman"/>
                    </w:rPr>
                  </w:pPr>
                  <w:r>
                    <w:rPr>
                      <w:rFonts w:ascii="Times New Roman" w:hAnsi="Times New Roman"/>
                    </w:rPr>
                    <w:t>环</w:t>
                  </w:r>
                </w:p>
                <w:p>
                  <w:pPr>
                    <w:pStyle w:val="49"/>
                    <w:framePr w:hSpace="0" w:wrap="auto" w:vAnchor="margin" w:hAnchor="text" w:xAlign="left" w:yAlign="inline"/>
                    <w:spacing w:line="240" w:lineRule="auto"/>
                    <w:rPr>
                      <w:rFonts w:ascii="Times New Roman" w:hAnsi="Times New Roman"/>
                    </w:rPr>
                  </w:pPr>
                  <w:r>
                    <w:rPr>
                      <w:rFonts w:ascii="Times New Roman" w:hAnsi="Times New Roman"/>
                    </w:rPr>
                    <w:t>境</w:t>
                  </w: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SO</w:t>
                  </w:r>
                  <w:r>
                    <w:rPr>
                      <w:rFonts w:ascii="Times New Roman" w:hAnsi="Times New Roman"/>
                      <w:vertAlign w:val="subscript"/>
                    </w:rPr>
                    <w:t>2</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年平均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60</w:t>
                  </w: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μg/m</w:t>
                  </w:r>
                  <w:r>
                    <w:rPr>
                      <w:rFonts w:ascii="Times New Roman" w:hAnsi="Times New Roman"/>
                      <w:vertAlign w:val="superscript"/>
                    </w:rPr>
                    <w:t>3</w:t>
                  </w:r>
                </w:p>
              </w:tc>
              <w:tc>
                <w:tcPr>
                  <w:tcW w:w="1576"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《环境空气质量标准》(GB3095-2012)二级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24小时平均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150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500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NO</w:t>
                  </w:r>
                  <w:r>
                    <w:rPr>
                      <w:rFonts w:ascii="Times New Roman" w:hAnsi="Times New Roman"/>
                      <w:vertAlign w:val="subscript"/>
                    </w:rPr>
                    <w:t>2</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年平均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40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24小时平均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80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200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CO</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24小时平均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4</w:t>
                  </w: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mg/m</w:t>
                  </w:r>
                  <w:r>
                    <w:rPr>
                      <w:rFonts w:ascii="Times New Roman" w:hAnsi="Times New Roman"/>
                      <w:vertAlign w:val="superscript"/>
                    </w:rPr>
                    <w:t>3</w:t>
                  </w: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O</w:t>
                  </w:r>
                  <w:r>
                    <w:rPr>
                      <w:rFonts w:ascii="Times New Roman" w:hAnsi="Times New Roman"/>
                      <w:vertAlign w:val="subscript"/>
                    </w:rPr>
                    <w:t>3</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日最大8小时平均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160</w:t>
                  </w: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μg/m</w:t>
                  </w:r>
                  <w:r>
                    <w:rPr>
                      <w:rFonts w:ascii="Times New Roman" w:hAnsi="Times New Roman"/>
                      <w:vertAlign w:val="superscript"/>
                    </w:rPr>
                    <w:t>3</w:t>
                  </w: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200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PM</w:t>
                  </w:r>
                  <w:r>
                    <w:rPr>
                      <w:rFonts w:ascii="Times New Roman" w:hAnsi="Times New Roman"/>
                      <w:vertAlign w:val="subscript"/>
                    </w:rPr>
                    <w:t>10</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年平均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70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24小时平均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150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PM</w:t>
                  </w:r>
                  <w:r>
                    <w:rPr>
                      <w:rFonts w:ascii="Times New Roman" w:hAnsi="Times New Roman"/>
                      <w:vertAlign w:val="subscript"/>
                    </w:rPr>
                    <w:t>2.5</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年平均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35</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24小时平均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75</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TSP</w:t>
                  </w: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年平均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200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299"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84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24小时平均</w:t>
                  </w:r>
                </w:p>
              </w:tc>
              <w:tc>
                <w:tcPr>
                  <w:tcW w:w="1134"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300</w:t>
                  </w:r>
                </w:p>
              </w:tc>
              <w:tc>
                <w:tcPr>
                  <w:tcW w:w="113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1576" w:type="dxa"/>
                  <w:vMerge w:val="continue"/>
                  <w:vAlign w:val="center"/>
                </w:tcPr>
                <w:p>
                  <w:pPr>
                    <w:pStyle w:val="49"/>
                    <w:framePr w:hSpace="0" w:wrap="auto" w:vAnchor="margin" w:hAnchor="text" w:xAlign="left" w:yAlign="inline"/>
                    <w:spacing w:line="240" w:lineRule="auto"/>
                    <w:rPr>
                      <w:rFonts w:ascii="Times New Roman" w:hAnsi="Times New Roman"/>
                    </w:rPr>
                  </w:pPr>
                </w:p>
              </w:tc>
            </w:tr>
          </w:tbl>
          <w:p>
            <w:pPr>
              <w:spacing w:line="360" w:lineRule="auto"/>
              <w:ind w:firstLine="482" w:firstLineChars="200"/>
              <w:rPr>
                <w:b/>
                <w:sz w:val="24"/>
                <w:szCs w:val="24"/>
              </w:rPr>
            </w:pPr>
            <w:r>
              <w:rPr>
                <w:b/>
                <w:sz w:val="24"/>
                <w:szCs w:val="24"/>
              </w:rPr>
              <w:t>2、地下水环境质量</w:t>
            </w:r>
          </w:p>
          <w:p>
            <w:pPr>
              <w:spacing w:line="360" w:lineRule="auto"/>
              <w:ind w:firstLine="480" w:firstLineChars="200"/>
              <w:rPr>
                <w:sz w:val="24"/>
                <w:szCs w:val="24"/>
              </w:rPr>
            </w:pPr>
            <w:r>
              <w:rPr>
                <w:sz w:val="24"/>
                <w:szCs w:val="24"/>
              </w:rPr>
              <w:t>地下水环境质量执行《地下水质量标准》（GB/T14848-2017）</w:t>
            </w:r>
            <w:r>
              <w:rPr>
                <w:sz w:val="24"/>
                <w:szCs w:val="24"/>
              </w:rPr>
              <w:fldChar w:fldCharType="begin"/>
            </w:r>
            <w:r>
              <w:rPr>
                <w:sz w:val="24"/>
                <w:szCs w:val="24"/>
              </w:rPr>
              <w:instrText xml:space="preserve"> = 3 \* ROMAN </w:instrText>
            </w:r>
            <w:r>
              <w:rPr>
                <w:sz w:val="24"/>
                <w:szCs w:val="24"/>
              </w:rPr>
              <w:fldChar w:fldCharType="separate"/>
            </w:r>
            <w:r>
              <w:rPr>
                <w:sz w:val="24"/>
                <w:szCs w:val="24"/>
              </w:rPr>
              <w:t>III</w:t>
            </w:r>
            <w:r>
              <w:rPr>
                <w:sz w:val="24"/>
                <w:szCs w:val="24"/>
              </w:rPr>
              <w:fldChar w:fldCharType="end"/>
            </w:r>
            <w:r>
              <w:rPr>
                <w:sz w:val="24"/>
                <w:szCs w:val="24"/>
              </w:rPr>
              <w:t>类标准</w:t>
            </w:r>
            <w:r>
              <w:rPr>
                <w:kern w:val="0"/>
                <w:sz w:val="24"/>
                <w:szCs w:val="24"/>
              </w:rPr>
              <w:t>，详见表3-</w:t>
            </w:r>
            <w:r>
              <w:rPr>
                <w:rFonts w:hint="eastAsia"/>
                <w:kern w:val="0"/>
                <w:sz w:val="24"/>
                <w:szCs w:val="24"/>
                <w:lang w:val="en-US" w:eastAsia="zh-CN"/>
              </w:rPr>
              <w:t>11</w:t>
            </w:r>
            <w:r>
              <w:rPr>
                <w:sz w:val="24"/>
                <w:szCs w:val="24"/>
              </w:rPr>
              <w:t>。</w:t>
            </w:r>
          </w:p>
          <w:p>
            <w:pPr>
              <w:ind w:firstLine="420" w:firstLineChars="200"/>
              <w:jc w:val="center"/>
            </w:pPr>
            <w:r>
              <w:rPr>
                <w:bCs/>
                <w:szCs w:val="16"/>
              </w:rPr>
              <w:t>表3-</w:t>
            </w:r>
            <w:r>
              <w:rPr>
                <w:rFonts w:hint="eastAsia"/>
                <w:bCs/>
                <w:szCs w:val="16"/>
                <w:lang w:val="en-US" w:eastAsia="zh-CN"/>
              </w:rPr>
              <w:t>11</w:t>
            </w:r>
            <w:r>
              <w:rPr>
                <w:bCs/>
                <w:szCs w:val="16"/>
              </w:rPr>
              <w:t>地下水质量标准一览表</w:t>
            </w:r>
          </w:p>
          <w:tbl>
            <w:tblPr>
              <w:tblStyle w:val="23"/>
              <w:tblW w:w="8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913"/>
              <w:gridCol w:w="1872"/>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类别</w:t>
                  </w:r>
                </w:p>
              </w:tc>
              <w:tc>
                <w:tcPr>
                  <w:tcW w:w="2913"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污染物名称</w:t>
                  </w:r>
                </w:p>
              </w:tc>
              <w:tc>
                <w:tcPr>
                  <w:tcW w:w="1872"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标准值</w:t>
                  </w:r>
                </w:p>
              </w:tc>
              <w:tc>
                <w:tcPr>
                  <w:tcW w:w="2320" w:type="dxa"/>
                  <w:vAlign w:val="center"/>
                </w:tcPr>
                <w:p>
                  <w:pPr>
                    <w:pStyle w:val="49"/>
                    <w:framePr w:hSpace="0" w:wrap="auto" w:vAnchor="margin" w:hAnchor="text" w:xAlign="left" w:yAlign="inline"/>
                    <w:spacing w:line="240" w:lineRule="auto"/>
                    <w:rPr>
                      <w:rFonts w:ascii="Times New Roman" w:hAnsi="Times New Roman"/>
                      <w:bCs/>
                    </w:rPr>
                  </w:pPr>
                  <w:r>
                    <w:rPr>
                      <w:rFonts w:ascii="Times New Roman" w:hAnsi="Times New Roman"/>
                      <w:bCs/>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地下水</w:t>
                  </w: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色度（倍）</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≤15</w:t>
                  </w:r>
                </w:p>
              </w:tc>
              <w:tc>
                <w:tcPr>
                  <w:tcW w:w="2320" w:type="dxa"/>
                  <w:vMerge w:val="restart"/>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《地下水质量标准》</w:t>
                  </w:r>
                </w:p>
                <w:p>
                  <w:pPr>
                    <w:pStyle w:val="49"/>
                    <w:framePr w:hSpace="0" w:wrap="auto" w:vAnchor="margin" w:hAnchor="text" w:xAlign="left" w:yAlign="inline"/>
                    <w:spacing w:line="240" w:lineRule="auto"/>
                    <w:rPr>
                      <w:rFonts w:ascii="Times New Roman" w:hAnsi="Times New Roman"/>
                    </w:rPr>
                  </w:pPr>
                  <w:r>
                    <w:rPr>
                      <w:rFonts w:ascii="Times New Roman" w:hAnsi="Times New Roman"/>
                    </w:rPr>
                    <w:t>(GB/T14848-2017)</w:t>
                  </w:r>
                  <w:r>
                    <w:rPr>
                      <w:rFonts w:hAnsi="Times New Roman"/>
                    </w:rPr>
                    <w:t>Ⅲ</w:t>
                  </w:r>
                  <w:r>
                    <w:rPr>
                      <w:rFonts w:ascii="Times New Roman" w:hAnsi="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臭和味</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无</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浑浊度</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≤3</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肉眼可见物</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无</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pH值（无量纲）</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6.5-8.5</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总硬度</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≤450mg/L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溶解性总固体</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≤1000mg/L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硫酸盐</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≤250mg/L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氯化物</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≤250mg/L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铁</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≤0.3mg/L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锰</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铜</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锌</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铝</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≤0.2mg/L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挥发性酚类</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≤0.002mg/L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阴离子表面活性剂</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≤0.3mg/L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耗氧量</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≤3mg/L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氨氮</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≤0.5mg/L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硫化物</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≤0.02mg/L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钠</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≤200mg/L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总大肠菌群</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≤3CFU/100mL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菌落总数</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≤100CFU/mL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亚硝酸盐（以N计）</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硝酸盐（以N计）</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≤20mg/L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氰化物</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≤0.05mg/L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氟化物</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碘化物</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≤0.08mg/L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汞</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≤0.001mg/L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砷</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硒</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≤0.01mg/L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镉</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≤0.005mg/L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六价铬（mg/L）</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≤0.05mg/L</w:t>
                  </w:r>
                </w:p>
              </w:tc>
              <w:tc>
                <w:tcPr>
                  <w:tcW w:w="2320" w:type="dxa"/>
                  <w:vMerge w:val="continue"/>
                  <w:vAlign w:val="center"/>
                </w:tcPr>
                <w:p>
                  <w:pPr>
                    <w:pStyle w:val="50"/>
                    <w:spacing w:line="240" w:lineRule="auto"/>
                    <w:ind w:firstLine="42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14" w:type="dxa"/>
                  <w:vMerge w:val="continue"/>
                  <w:vAlign w:val="center"/>
                </w:tcPr>
                <w:p>
                  <w:pPr>
                    <w:pStyle w:val="49"/>
                    <w:framePr w:hSpace="0" w:wrap="auto" w:vAnchor="margin" w:hAnchor="text" w:xAlign="left" w:yAlign="inline"/>
                    <w:spacing w:line="240" w:lineRule="auto"/>
                    <w:rPr>
                      <w:rFonts w:ascii="Times New Roman" w:hAnsi="Times New Roman"/>
                    </w:rPr>
                  </w:pPr>
                </w:p>
              </w:tc>
              <w:tc>
                <w:tcPr>
                  <w:tcW w:w="2913"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铅</w:t>
                  </w:r>
                </w:p>
              </w:tc>
              <w:tc>
                <w:tcPr>
                  <w:tcW w:w="1872" w:type="dxa"/>
                  <w:vAlign w:val="center"/>
                </w:tcPr>
                <w:p>
                  <w:pPr>
                    <w:pStyle w:val="49"/>
                    <w:framePr w:hSpace="0" w:wrap="auto" w:vAnchor="margin" w:hAnchor="text" w:xAlign="left" w:yAlign="inline"/>
                    <w:spacing w:line="240" w:lineRule="auto"/>
                    <w:rPr>
                      <w:rFonts w:ascii="Times New Roman" w:hAnsi="Times New Roman"/>
                    </w:rPr>
                  </w:pPr>
                  <w:r>
                    <w:rPr>
                      <w:rFonts w:ascii="Times New Roman" w:hAnsi="Times New Roman"/>
                    </w:rPr>
                    <w:t>≤0.01mg/L</w:t>
                  </w:r>
                </w:p>
              </w:tc>
              <w:tc>
                <w:tcPr>
                  <w:tcW w:w="2320" w:type="dxa"/>
                  <w:vMerge w:val="continue"/>
                  <w:vAlign w:val="center"/>
                </w:tcPr>
                <w:p>
                  <w:pPr>
                    <w:pStyle w:val="50"/>
                    <w:spacing w:line="240" w:lineRule="auto"/>
                    <w:ind w:firstLine="420"/>
                    <w:rPr>
                      <w:rFonts w:ascii="Times New Roman" w:hAnsi="Times New Roman"/>
                    </w:rPr>
                  </w:pPr>
                </w:p>
              </w:tc>
            </w:tr>
          </w:tbl>
          <w:p>
            <w:pPr>
              <w:spacing w:line="360" w:lineRule="auto"/>
              <w:rPr>
                <w:b/>
                <w:bCs/>
                <w:sz w:val="24"/>
                <w:szCs w:val="24"/>
              </w:rPr>
            </w:pPr>
            <w:r>
              <w:rPr>
                <w:b/>
                <w:sz w:val="24"/>
                <w:szCs w:val="24"/>
              </w:rPr>
              <w:t>4、</w:t>
            </w:r>
            <w:r>
              <w:rPr>
                <w:b/>
                <w:bCs/>
                <w:sz w:val="24"/>
                <w:szCs w:val="24"/>
              </w:rPr>
              <w:t>土壤环境质量标准</w:t>
            </w:r>
          </w:p>
          <w:p>
            <w:pPr>
              <w:spacing w:line="360" w:lineRule="auto"/>
              <w:ind w:firstLine="480" w:firstLineChars="200"/>
              <w:rPr>
                <w:bCs/>
                <w:sz w:val="24"/>
                <w:szCs w:val="24"/>
              </w:rPr>
            </w:pPr>
            <w:r>
              <w:rPr>
                <w:rFonts w:hint="eastAsia"/>
                <w:bCs/>
                <w:sz w:val="24"/>
                <w:szCs w:val="24"/>
                <w:lang w:eastAsia="zh-CN"/>
              </w:rPr>
              <w:t>工程所在区域</w:t>
            </w:r>
            <w:r>
              <w:rPr>
                <w:bCs/>
                <w:sz w:val="24"/>
                <w:szCs w:val="24"/>
              </w:rPr>
              <w:t>建设用地执行《土壤环境质量建设用地土壤污染风险管控标准》（GB36600-2018）表1及表2中第二类用地筛选值标准；</w:t>
            </w:r>
            <w:r>
              <w:rPr>
                <w:rFonts w:hint="eastAsia"/>
                <w:bCs/>
                <w:sz w:val="24"/>
                <w:szCs w:val="24"/>
                <w:lang w:eastAsia="zh-CN"/>
              </w:rPr>
              <w:t>工程</w:t>
            </w:r>
            <w:r>
              <w:rPr>
                <w:bCs/>
                <w:sz w:val="24"/>
                <w:szCs w:val="24"/>
              </w:rPr>
              <w:t>周边农田执行《土壤环境质量农用地用地土壤污染风险管控标准》（GB15618-2018）表1标准。具体见表3-</w:t>
            </w:r>
            <w:r>
              <w:rPr>
                <w:rFonts w:hint="eastAsia"/>
                <w:bCs/>
                <w:sz w:val="24"/>
                <w:szCs w:val="24"/>
                <w:lang w:val="en-US" w:eastAsia="zh-CN"/>
              </w:rPr>
              <w:t>12</w:t>
            </w:r>
            <w:r>
              <w:rPr>
                <w:bCs/>
                <w:sz w:val="24"/>
                <w:szCs w:val="24"/>
              </w:rPr>
              <w:t>及表3-1</w:t>
            </w:r>
            <w:r>
              <w:rPr>
                <w:rFonts w:hint="eastAsia"/>
                <w:bCs/>
                <w:sz w:val="24"/>
                <w:szCs w:val="24"/>
                <w:lang w:val="en-US" w:eastAsia="zh-CN"/>
              </w:rPr>
              <w:t>3</w:t>
            </w:r>
            <w:r>
              <w:rPr>
                <w:bCs/>
                <w:sz w:val="24"/>
                <w:szCs w:val="24"/>
              </w:rPr>
              <w:t>。</w:t>
            </w:r>
          </w:p>
          <w:p>
            <w:pPr>
              <w:pStyle w:val="15"/>
              <w:spacing w:after="0"/>
              <w:ind w:left="0" w:leftChars="0" w:firstLine="0" w:firstLineChars="0"/>
              <w:jc w:val="center"/>
              <w:rPr>
                <w:bCs/>
              </w:rPr>
            </w:pPr>
            <w:r>
              <w:rPr>
                <w:bCs/>
              </w:rPr>
              <w:t>表3-</w:t>
            </w:r>
            <w:r>
              <w:rPr>
                <w:rFonts w:hint="eastAsia"/>
                <w:bCs/>
                <w:lang w:val="en-US" w:eastAsia="zh-CN"/>
              </w:rPr>
              <w:t>12</w:t>
            </w:r>
            <w:r>
              <w:rPr>
                <w:bCs/>
              </w:rPr>
              <w:t>建设用地土壤污染风险管控标准单位：mg/kg</w:t>
            </w:r>
          </w:p>
          <w:tbl>
            <w:tblPr>
              <w:tblStyle w:val="23"/>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90"/>
              <w:gridCol w:w="1398"/>
              <w:gridCol w:w="140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restart"/>
                  <w:vAlign w:val="center"/>
                </w:tcPr>
                <w:p>
                  <w:pPr>
                    <w:spacing w:line="300" w:lineRule="exact"/>
                    <w:jc w:val="center"/>
                    <w:rPr>
                      <w:bCs/>
                      <w:szCs w:val="21"/>
                    </w:rPr>
                  </w:pPr>
                  <w:r>
                    <w:rPr>
                      <w:bCs/>
                      <w:szCs w:val="21"/>
                    </w:rPr>
                    <w:t>序号</w:t>
                  </w:r>
                </w:p>
              </w:tc>
              <w:tc>
                <w:tcPr>
                  <w:tcW w:w="2090" w:type="dxa"/>
                  <w:vMerge w:val="restart"/>
                  <w:vAlign w:val="center"/>
                </w:tcPr>
                <w:p>
                  <w:pPr>
                    <w:spacing w:line="300" w:lineRule="exact"/>
                    <w:jc w:val="center"/>
                    <w:rPr>
                      <w:bCs/>
                      <w:szCs w:val="21"/>
                    </w:rPr>
                  </w:pPr>
                  <w:r>
                    <w:rPr>
                      <w:bCs/>
                      <w:szCs w:val="21"/>
                    </w:rPr>
                    <w:t>污染物项目</w:t>
                  </w:r>
                </w:p>
              </w:tc>
              <w:tc>
                <w:tcPr>
                  <w:tcW w:w="2798" w:type="dxa"/>
                  <w:gridSpan w:val="2"/>
                  <w:vAlign w:val="center"/>
                </w:tcPr>
                <w:p>
                  <w:pPr>
                    <w:spacing w:line="300" w:lineRule="exact"/>
                    <w:jc w:val="center"/>
                    <w:rPr>
                      <w:bCs/>
                      <w:szCs w:val="21"/>
                    </w:rPr>
                  </w:pPr>
                  <w:r>
                    <w:rPr>
                      <w:bCs/>
                      <w:szCs w:val="21"/>
                    </w:rPr>
                    <w:t>筛选值</w:t>
                  </w:r>
                </w:p>
              </w:tc>
              <w:tc>
                <w:tcPr>
                  <w:tcW w:w="2454" w:type="dxa"/>
                  <w:vMerge w:val="restart"/>
                  <w:vAlign w:val="center"/>
                </w:tcPr>
                <w:p>
                  <w:pPr>
                    <w:spacing w:line="300" w:lineRule="exact"/>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Merge w:val="continue"/>
                  <w:vAlign w:val="center"/>
                </w:tcPr>
                <w:p>
                  <w:pPr>
                    <w:spacing w:line="300" w:lineRule="exact"/>
                    <w:jc w:val="center"/>
                    <w:rPr>
                      <w:bCs/>
                      <w:szCs w:val="21"/>
                    </w:rPr>
                  </w:pPr>
                </w:p>
              </w:tc>
              <w:tc>
                <w:tcPr>
                  <w:tcW w:w="2090" w:type="dxa"/>
                  <w:vMerge w:val="continue"/>
                  <w:vAlign w:val="center"/>
                </w:tcPr>
                <w:p>
                  <w:pPr>
                    <w:spacing w:line="300" w:lineRule="exact"/>
                    <w:jc w:val="center"/>
                    <w:rPr>
                      <w:bCs/>
                      <w:szCs w:val="21"/>
                    </w:rPr>
                  </w:pPr>
                </w:p>
              </w:tc>
              <w:tc>
                <w:tcPr>
                  <w:tcW w:w="1398" w:type="dxa"/>
                  <w:vAlign w:val="center"/>
                </w:tcPr>
                <w:p>
                  <w:pPr>
                    <w:spacing w:line="300" w:lineRule="exact"/>
                    <w:jc w:val="center"/>
                    <w:rPr>
                      <w:bCs/>
                      <w:szCs w:val="21"/>
                    </w:rPr>
                  </w:pPr>
                  <w:r>
                    <w:rPr>
                      <w:bCs/>
                      <w:szCs w:val="21"/>
                    </w:rPr>
                    <w:t>第一类用地</w:t>
                  </w:r>
                </w:p>
              </w:tc>
              <w:tc>
                <w:tcPr>
                  <w:tcW w:w="1400" w:type="dxa"/>
                  <w:vAlign w:val="center"/>
                </w:tcPr>
                <w:p>
                  <w:pPr>
                    <w:spacing w:line="300" w:lineRule="exact"/>
                    <w:jc w:val="center"/>
                    <w:rPr>
                      <w:bCs/>
                      <w:szCs w:val="21"/>
                    </w:rPr>
                  </w:pPr>
                  <w:r>
                    <w:rPr>
                      <w:bCs/>
                      <w:szCs w:val="21"/>
                    </w:rPr>
                    <w:t>第二类用地</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2" w:type="dxa"/>
                  <w:gridSpan w:val="4"/>
                  <w:vAlign w:val="center"/>
                </w:tcPr>
                <w:p>
                  <w:pPr>
                    <w:spacing w:line="300" w:lineRule="exact"/>
                    <w:jc w:val="center"/>
                    <w:rPr>
                      <w:bCs/>
                      <w:szCs w:val="21"/>
                    </w:rPr>
                  </w:pPr>
                  <w:r>
                    <w:rPr>
                      <w:bCs/>
                      <w:szCs w:val="21"/>
                    </w:rPr>
                    <w:t>重金属和无机物</w:t>
                  </w:r>
                </w:p>
              </w:tc>
              <w:tc>
                <w:tcPr>
                  <w:tcW w:w="2454" w:type="dxa"/>
                  <w:vMerge w:val="restart"/>
                  <w:vAlign w:val="center"/>
                </w:tcPr>
                <w:p>
                  <w:pPr>
                    <w:spacing w:line="300" w:lineRule="exact"/>
                    <w:jc w:val="center"/>
                    <w:rPr>
                      <w:bCs/>
                      <w:szCs w:val="21"/>
                    </w:rPr>
                  </w:pPr>
                  <w:r>
                    <w:rPr>
                      <w:bCs/>
                      <w:szCs w:val="21"/>
                    </w:rPr>
                    <w:t>《土壤环境质量建设用地土壤污染风险管控标准》（GB36600-2018）表1中筛选值标准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w:t>
                  </w:r>
                </w:p>
              </w:tc>
              <w:tc>
                <w:tcPr>
                  <w:tcW w:w="2090" w:type="dxa"/>
                  <w:vAlign w:val="center"/>
                </w:tcPr>
                <w:p>
                  <w:pPr>
                    <w:spacing w:line="300" w:lineRule="exact"/>
                    <w:jc w:val="center"/>
                    <w:rPr>
                      <w:bCs/>
                      <w:szCs w:val="21"/>
                    </w:rPr>
                  </w:pPr>
                  <w:r>
                    <w:rPr>
                      <w:szCs w:val="21"/>
                    </w:rPr>
                    <w:t>砷</w:t>
                  </w:r>
                </w:p>
              </w:tc>
              <w:tc>
                <w:tcPr>
                  <w:tcW w:w="1398" w:type="dxa"/>
                  <w:vAlign w:val="center"/>
                </w:tcPr>
                <w:p>
                  <w:pPr>
                    <w:spacing w:line="300" w:lineRule="exact"/>
                    <w:jc w:val="center"/>
                    <w:rPr>
                      <w:bCs/>
                      <w:szCs w:val="21"/>
                    </w:rPr>
                  </w:pPr>
                  <w:r>
                    <w:rPr>
                      <w:bCs/>
                      <w:szCs w:val="21"/>
                    </w:rPr>
                    <w:t>20</w:t>
                  </w:r>
                </w:p>
              </w:tc>
              <w:tc>
                <w:tcPr>
                  <w:tcW w:w="1400" w:type="dxa"/>
                  <w:vAlign w:val="center"/>
                </w:tcPr>
                <w:p>
                  <w:pPr>
                    <w:spacing w:line="300" w:lineRule="exact"/>
                    <w:jc w:val="center"/>
                    <w:rPr>
                      <w:bCs/>
                      <w:szCs w:val="21"/>
                    </w:rPr>
                  </w:pPr>
                  <w:r>
                    <w:rPr>
                      <w:bCs/>
                      <w:szCs w:val="21"/>
                    </w:rPr>
                    <w:t>60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w:t>
                  </w:r>
                </w:p>
              </w:tc>
              <w:tc>
                <w:tcPr>
                  <w:tcW w:w="2090" w:type="dxa"/>
                  <w:vAlign w:val="center"/>
                </w:tcPr>
                <w:p>
                  <w:pPr>
                    <w:spacing w:line="300" w:lineRule="exact"/>
                    <w:jc w:val="center"/>
                    <w:rPr>
                      <w:bCs/>
                      <w:szCs w:val="21"/>
                    </w:rPr>
                  </w:pPr>
                  <w:r>
                    <w:rPr>
                      <w:szCs w:val="21"/>
                    </w:rPr>
                    <w:t>镉</w:t>
                  </w:r>
                </w:p>
              </w:tc>
              <w:tc>
                <w:tcPr>
                  <w:tcW w:w="1398" w:type="dxa"/>
                  <w:vAlign w:val="center"/>
                </w:tcPr>
                <w:p>
                  <w:pPr>
                    <w:spacing w:line="300" w:lineRule="exact"/>
                    <w:jc w:val="center"/>
                    <w:rPr>
                      <w:bCs/>
                      <w:szCs w:val="21"/>
                    </w:rPr>
                  </w:pPr>
                  <w:r>
                    <w:rPr>
                      <w:bCs/>
                      <w:szCs w:val="21"/>
                    </w:rPr>
                    <w:t>20</w:t>
                  </w:r>
                </w:p>
              </w:tc>
              <w:tc>
                <w:tcPr>
                  <w:tcW w:w="1400" w:type="dxa"/>
                  <w:vAlign w:val="center"/>
                </w:tcPr>
                <w:p>
                  <w:pPr>
                    <w:spacing w:line="300" w:lineRule="exact"/>
                    <w:jc w:val="center"/>
                    <w:rPr>
                      <w:bCs/>
                      <w:szCs w:val="21"/>
                    </w:rPr>
                  </w:pPr>
                  <w:r>
                    <w:rPr>
                      <w:bCs/>
                      <w:szCs w:val="21"/>
                    </w:rPr>
                    <w:t>65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w:t>
                  </w:r>
                </w:p>
              </w:tc>
              <w:tc>
                <w:tcPr>
                  <w:tcW w:w="2090" w:type="dxa"/>
                  <w:vAlign w:val="center"/>
                </w:tcPr>
                <w:p>
                  <w:pPr>
                    <w:spacing w:line="300" w:lineRule="exact"/>
                    <w:jc w:val="center"/>
                    <w:rPr>
                      <w:bCs/>
                      <w:szCs w:val="21"/>
                    </w:rPr>
                  </w:pPr>
                  <w:r>
                    <w:rPr>
                      <w:szCs w:val="21"/>
                    </w:rPr>
                    <w:t>铬（六价）</w:t>
                  </w:r>
                </w:p>
              </w:tc>
              <w:tc>
                <w:tcPr>
                  <w:tcW w:w="1398" w:type="dxa"/>
                  <w:vAlign w:val="center"/>
                </w:tcPr>
                <w:p>
                  <w:pPr>
                    <w:spacing w:line="300" w:lineRule="exact"/>
                    <w:jc w:val="center"/>
                    <w:rPr>
                      <w:bCs/>
                      <w:szCs w:val="21"/>
                    </w:rPr>
                  </w:pPr>
                  <w:r>
                    <w:rPr>
                      <w:bCs/>
                      <w:szCs w:val="21"/>
                    </w:rPr>
                    <w:t>3.0</w:t>
                  </w:r>
                </w:p>
              </w:tc>
              <w:tc>
                <w:tcPr>
                  <w:tcW w:w="1400" w:type="dxa"/>
                  <w:vAlign w:val="center"/>
                </w:tcPr>
                <w:p>
                  <w:pPr>
                    <w:spacing w:line="300" w:lineRule="exact"/>
                    <w:jc w:val="center"/>
                    <w:rPr>
                      <w:bCs/>
                      <w:szCs w:val="21"/>
                    </w:rPr>
                  </w:pPr>
                  <w:r>
                    <w:rPr>
                      <w:bCs/>
                      <w:szCs w:val="21"/>
                    </w:rPr>
                    <w:t>5.7</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w:t>
                  </w:r>
                </w:p>
              </w:tc>
              <w:tc>
                <w:tcPr>
                  <w:tcW w:w="2090" w:type="dxa"/>
                  <w:vAlign w:val="center"/>
                </w:tcPr>
                <w:p>
                  <w:pPr>
                    <w:spacing w:line="300" w:lineRule="exact"/>
                    <w:jc w:val="center"/>
                    <w:rPr>
                      <w:bCs/>
                      <w:szCs w:val="21"/>
                    </w:rPr>
                  </w:pPr>
                  <w:r>
                    <w:rPr>
                      <w:szCs w:val="21"/>
                    </w:rPr>
                    <w:t>铜</w:t>
                  </w:r>
                </w:p>
              </w:tc>
              <w:tc>
                <w:tcPr>
                  <w:tcW w:w="1398" w:type="dxa"/>
                  <w:vAlign w:val="center"/>
                </w:tcPr>
                <w:p>
                  <w:pPr>
                    <w:spacing w:line="300" w:lineRule="exact"/>
                    <w:jc w:val="center"/>
                    <w:rPr>
                      <w:bCs/>
                      <w:szCs w:val="21"/>
                    </w:rPr>
                  </w:pPr>
                  <w:r>
                    <w:rPr>
                      <w:bCs/>
                      <w:szCs w:val="21"/>
                    </w:rPr>
                    <w:t>2000</w:t>
                  </w:r>
                </w:p>
              </w:tc>
              <w:tc>
                <w:tcPr>
                  <w:tcW w:w="1400" w:type="dxa"/>
                  <w:vAlign w:val="center"/>
                </w:tcPr>
                <w:p>
                  <w:pPr>
                    <w:spacing w:line="300" w:lineRule="exact"/>
                    <w:jc w:val="center"/>
                    <w:rPr>
                      <w:bCs/>
                      <w:szCs w:val="21"/>
                    </w:rPr>
                  </w:pPr>
                  <w:r>
                    <w:rPr>
                      <w:bCs/>
                      <w:szCs w:val="21"/>
                    </w:rPr>
                    <w:t>18000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5</w:t>
                  </w:r>
                </w:p>
              </w:tc>
              <w:tc>
                <w:tcPr>
                  <w:tcW w:w="2090" w:type="dxa"/>
                  <w:vAlign w:val="center"/>
                </w:tcPr>
                <w:p>
                  <w:pPr>
                    <w:spacing w:line="300" w:lineRule="exact"/>
                    <w:jc w:val="center"/>
                    <w:rPr>
                      <w:bCs/>
                      <w:szCs w:val="21"/>
                    </w:rPr>
                  </w:pPr>
                  <w:r>
                    <w:rPr>
                      <w:szCs w:val="21"/>
                    </w:rPr>
                    <w:t>铅</w:t>
                  </w:r>
                </w:p>
              </w:tc>
              <w:tc>
                <w:tcPr>
                  <w:tcW w:w="1398" w:type="dxa"/>
                  <w:vAlign w:val="center"/>
                </w:tcPr>
                <w:p>
                  <w:pPr>
                    <w:spacing w:line="300" w:lineRule="exact"/>
                    <w:jc w:val="center"/>
                    <w:rPr>
                      <w:bCs/>
                      <w:szCs w:val="21"/>
                    </w:rPr>
                  </w:pPr>
                  <w:r>
                    <w:rPr>
                      <w:bCs/>
                      <w:szCs w:val="21"/>
                    </w:rPr>
                    <w:t>400</w:t>
                  </w:r>
                </w:p>
              </w:tc>
              <w:tc>
                <w:tcPr>
                  <w:tcW w:w="1400" w:type="dxa"/>
                  <w:vAlign w:val="center"/>
                </w:tcPr>
                <w:p>
                  <w:pPr>
                    <w:spacing w:line="300" w:lineRule="exact"/>
                    <w:jc w:val="center"/>
                    <w:rPr>
                      <w:bCs/>
                      <w:szCs w:val="21"/>
                    </w:rPr>
                  </w:pPr>
                  <w:r>
                    <w:rPr>
                      <w:bCs/>
                      <w:szCs w:val="21"/>
                    </w:rPr>
                    <w:t>800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6</w:t>
                  </w:r>
                </w:p>
              </w:tc>
              <w:tc>
                <w:tcPr>
                  <w:tcW w:w="2090" w:type="dxa"/>
                  <w:vAlign w:val="center"/>
                </w:tcPr>
                <w:p>
                  <w:pPr>
                    <w:spacing w:line="300" w:lineRule="exact"/>
                    <w:jc w:val="center"/>
                    <w:rPr>
                      <w:bCs/>
                      <w:szCs w:val="21"/>
                    </w:rPr>
                  </w:pPr>
                  <w:r>
                    <w:rPr>
                      <w:szCs w:val="21"/>
                    </w:rPr>
                    <w:t>汞</w:t>
                  </w:r>
                </w:p>
              </w:tc>
              <w:tc>
                <w:tcPr>
                  <w:tcW w:w="1398" w:type="dxa"/>
                  <w:vAlign w:val="center"/>
                </w:tcPr>
                <w:p>
                  <w:pPr>
                    <w:spacing w:line="300" w:lineRule="exact"/>
                    <w:jc w:val="center"/>
                    <w:rPr>
                      <w:bCs/>
                      <w:szCs w:val="21"/>
                    </w:rPr>
                  </w:pPr>
                  <w:r>
                    <w:rPr>
                      <w:bCs/>
                      <w:szCs w:val="21"/>
                    </w:rPr>
                    <w:t>8</w:t>
                  </w:r>
                </w:p>
              </w:tc>
              <w:tc>
                <w:tcPr>
                  <w:tcW w:w="1400" w:type="dxa"/>
                  <w:vAlign w:val="center"/>
                </w:tcPr>
                <w:p>
                  <w:pPr>
                    <w:spacing w:line="300" w:lineRule="exact"/>
                    <w:jc w:val="center"/>
                    <w:rPr>
                      <w:bCs/>
                      <w:szCs w:val="21"/>
                    </w:rPr>
                  </w:pPr>
                  <w:r>
                    <w:rPr>
                      <w:bCs/>
                      <w:szCs w:val="21"/>
                    </w:rPr>
                    <w:t>38</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7</w:t>
                  </w:r>
                </w:p>
              </w:tc>
              <w:tc>
                <w:tcPr>
                  <w:tcW w:w="2090" w:type="dxa"/>
                  <w:vAlign w:val="center"/>
                </w:tcPr>
                <w:p>
                  <w:pPr>
                    <w:spacing w:line="300" w:lineRule="exact"/>
                    <w:jc w:val="center"/>
                    <w:rPr>
                      <w:bCs/>
                      <w:szCs w:val="21"/>
                    </w:rPr>
                  </w:pPr>
                  <w:r>
                    <w:rPr>
                      <w:szCs w:val="21"/>
                    </w:rPr>
                    <w:t>镍</w:t>
                  </w:r>
                </w:p>
              </w:tc>
              <w:tc>
                <w:tcPr>
                  <w:tcW w:w="1398" w:type="dxa"/>
                  <w:vAlign w:val="center"/>
                </w:tcPr>
                <w:p>
                  <w:pPr>
                    <w:spacing w:line="300" w:lineRule="exact"/>
                    <w:jc w:val="center"/>
                    <w:rPr>
                      <w:bCs/>
                      <w:szCs w:val="21"/>
                    </w:rPr>
                  </w:pPr>
                  <w:r>
                    <w:rPr>
                      <w:bCs/>
                      <w:szCs w:val="21"/>
                    </w:rPr>
                    <w:t>150</w:t>
                  </w:r>
                </w:p>
              </w:tc>
              <w:tc>
                <w:tcPr>
                  <w:tcW w:w="1400" w:type="dxa"/>
                  <w:vAlign w:val="center"/>
                </w:tcPr>
                <w:p>
                  <w:pPr>
                    <w:spacing w:line="300" w:lineRule="exact"/>
                    <w:jc w:val="center"/>
                    <w:rPr>
                      <w:bCs/>
                      <w:szCs w:val="21"/>
                    </w:rPr>
                  </w:pPr>
                  <w:r>
                    <w:rPr>
                      <w:bCs/>
                      <w:szCs w:val="21"/>
                    </w:rPr>
                    <w:t>900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2" w:type="dxa"/>
                  <w:gridSpan w:val="4"/>
                  <w:vAlign w:val="center"/>
                </w:tcPr>
                <w:p>
                  <w:pPr>
                    <w:spacing w:line="300" w:lineRule="exact"/>
                    <w:jc w:val="center"/>
                    <w:rPr>
                      <w:bCs/>
                      <w:szCs w:val="21"/>
                    </w:rPr>
                  </w:pPr>
                  <w:r>
                    <w:rPr>
                      <w:bCs/>
                      <w:szCs w:val="21"/>
                    </w:rPr>
                    <w:t>挥发性有机物</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8</w:t>
                  </w:r>
                </w:p>
              </w:tc>
              <w:tc>
                <w:tcPr>
                  <w:tcW w:w="2090" w:type="dxa"/>
                  <w:vAlign w:val="center"/>
                </w:tcPr>
                <w:p>
                  <w:pPr>
                    <w:spacing w:line="300" w:lineRule="exact"/>
                    <w:jc w:val="center"/>
                    <w:rPr>
                      <w:bCs/>
                      <w:szCs w:val="21"/>
                    </w:rPr>
                  </w:pPr>
                  <w:r>
                    <w:rPr>
                      <w:szCs w:val="21"/>
                    </w:rPr>
                    <w:t>四氯化碳</w:t>
                  </w:r>
                </w:p>
              </w:tc>
              <w:tc>
                <w:tcPr>
                  <w:tcW w:w="1398" w:type="dxa"/>
                  <w:vAlign w:val="center"/>
                </w:tcPr>
                <w:p>
                  <w:pPr>
                    <w:spacing w:line="300" w:lineRule="exact"/>
                    <w:jc w:val="center"/>
                    <w:rPr>
                      <w:bCs/>
                      <w:szCs w:val="21"/>
                    </w:rPr>
                  </w:pPr>
                  <w:r>
                    <w:rPr>
                      <w:bCs/>
                      <w:szCs w:val="21"/>
                    </w:rPr>
                    <w:t>0.9</w:t>
                  </w:r>
                </w:p>
              </w:tc>
              <w:tc>
                <w:tcPr>
                  <w:tcW w:w="1400" w:type="dxa"/>
                  <w:vAlign w:val="center"/>
                </w:tcPr>
                <w:p>
                  <w:pPr>
                    <w:spacing w:line="300" w:lineRule="exact"/>
                    <w:jc w:val="center"/>
                    <w:rPr>
                      <w:bCs/>
                      <w:szCs w:val="21"/>
                    </w:rPr>
                  </w:pPr>
                  <w:r>
                    <w:rPr>
                      <w:bCs/>
                      <w:szCs w:val="21"/>
                    </w:rPr>
                    <w:t>2.8</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9</w:t>
                  </w:r>
                </w:p>
              </w:tc>
              <w:tc>
                <w:tcPr>
                  <w:tcW w:w="2090" w:type="dxa"/>
                  <w:vAlign w:val="center"/>
                </w:tcPr>
                <w:p>
                  <w:pPr>
                    <w:spacing w:line="300" w:lineRule="exact"/>
                    <w:jc w:val="center"/>
                    <w:rPr>
                      <w:bCs/>
                      <w:szCs w:val="21"/>
                    </w:rPr>
                  </w:pPr>
                  <w:r>
                    <w:rPr>
                      <w:szCs w:val="21"/>
                    </w:rPr>
                    <w:t>氯仿</w:t>
                  </w:r>
                </w:p>
              </w:tc>
              <w:tc>
                <w:tcPr>
                  <w:tcW w:w="1398" w:type="dxa"/>
                  <w:vAlign w:val="center"/>
                </w:tcPr>
                <w:p>
                  <w:pPr>
                    <w:spacing w:line="300" w:lineRule="exact"/>
                    <w:jc w:val="center"/>
                    <w:rPr>
                      <w:bCs/>
                      <w:szCs w:val="21"/>
                    </w:rPr>
                  </w:pPr>
                  <w:r>
                    <w:rPr>
                      <w:bCs/>
                      <w:szCs w:val="21"/>
                    </w:rPr>
                    <w:t>0.3</w:t>
                  </w:r>
                </w:p>
              </w:tc>
              <w:tc>
                <w:tcPr>
                  <w:tcW w:w="1400" w:type="dxa"/>
                  <w:vAlign w:val="center"/>
                </w:tcPr>
                <w:p>
                  <w:pPr>
                    <w:spacing w:line="300" w:lineRule="exact"/>
                    <w:jc w:val="center"/>
                    <w:rPr>
                      <w:bCs/>
                      <w:szCs w:val="21"/>
                    </w:rPr>
                  </w:pPr>
                  <w:r>
                    <w:rPr>
                      <w:bCs/>
                      <w:szCs w:val="21"/>
                    </w:rPr>
                    <w:t>0.9</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10</w:t>
                  </w:r>
                </w:p>
              </w:tc>
              <w:tc>
                <w:tcPr>
                  <w:tcW w:w="2090" w:type="dxa"/>
                  <w:vAlign w:val="center"/>
                </w:tcPr>
                <w:p>
                  <w:pPr>
                    <w:spacing w:line="300" w:lineRule="exact"/>
                    <w:jc w:val="center"/>
                    <w:rPr>
                      <w:bCs/>
                      <w:szCs w:val="21"/>
                    </w:rPr>
                  </w:pPr>
                  <w:r>
                    <w:rPr>
                      <w:szCs w:val="21"/>
                    </w:rPr>
                    <w:t>氯甲烷</w:t>
                  </w:r>
                </w:p>
              </w:tc>
              <w:tc>
                <w:tcPr>
                  <w:tcW w:w="1398" w:type="dxa"/>
                  <w:vAlign w:val="center"/>
                </w:tcPr>
                <w:p>
                  <w:pPr>
                    <w:spacing w:line="300" w:lineRule="exact"/>
                    <w:jc w:val="center"/>
                    <w:rPr>
                      <w:bCs/>
                      <w:szCs w:val="21"/>
                    </w:rPr>
                  </w:pPr>
                  <w:r>
                    <w:rPr>
                      <w:bCs/>
                      <w:szCs w:val="21"/>
                    </w:rPr>
                    <w:t>12</w:t>
                  </w:r>
                </w:p>
              </w:tc>
              <w:tc>
                <w:tcPr>
                  <w:tcW w:w="1400" w:type="dxa"/>
                  <w:vAlign w:val="center"/>
                </w:tcPr>
                <w:p>
                  <w:pPr>
                    <w:spacing w:line="300" w:lineRule="exact"/>
                    <w:jc w:val="center"/>
                    <w:rPr>
                      <w:bCs/>
                      <w:szCs w:val="21"/>
                    </w:rPr>
                  </w:pPr>
                  <w:r>
                    <w:rPr>
                      <w:bCs/>
                      <w:szCs w:val="21"/>
                    </w:rPr>
                    <w:t>37</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11</w:t>
                  </w:r>
                </w:p>
              </w:tc>
              <w:tc>
                <w:tcPr>
                  <w:tcW w:w="2090" w:type="dxa"/>
                  <w:vAlign w:val="center"/>
                </w:tcPr>
                <w:p>
                  <w:pPr>
                    <w:spacing w:line="300" w:lineRule="exact"/>
                    <w:jc w:val="center"/>
                    <w:rPr>
                      <w:bCs/>
                      <w:szCs w:val="21"/>
                    </w:rPr>
                  </w:pPr>
                  <w:r>
                    <w:rPr>
                      <w:szCs w:val="21"/>
                    </w:rPr>
                    <w:t>1,1-二氯乙烷</w:t>
                  </w:r>
                </w:p>
              </w:tc>
              <w:tc>
                <w:tcPr>
                  <w:tcW w:w="1398" w:type="dxa"/>
                  <w:vAlign w:val="center"/>
                </w:tcPr>
                <w:p>
                  <w:pPr>
                    <w:spacing w:line="300" w:lineRule="exact"/>
                    <w:jc w:val="center"/>
                    <w:rPr>
                      <w:bCs/>
                      <w:szCs w:val="21"/>
                    </w:rPr>
                  </w:pPr>
                  <w:r>
                    <w:rPr>
                      <w:bCs/>
                      <w:szCs w:val="21"/>
                    </w:rPr>
                    <w:t>3</w:t>
                  </w:r>
                </w:p>
              </w:tc>
              <w:tc>
                <w:tcPr>
                  <w:tcW w:w="1400" w:type="dxa"/>
                  <w:vAlign w:val="center"/>
                </w:tcPr>
                <w:p>
                  <w:pPr>
                    <w:spacing w:line="300" w:lineRule="exact"/>
                    <w:jc w:val="center"/>
                    <w:rPr>
                      <w:bCs/>
                      <w:szCs w:val="21"/>
                    </w:rPr>
                  </w:pPr>
                  <w:r>
                    <w:rPr>
                      <w:bCs/>
                      <w:szCs w:val="21"/>
                    </w:rPr>
                    <w:t>9</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12</w:t>
                  </w:r>
                </w:p>
              </w:tc>
              <w:tc>
                <w:tcPr>
                  <w:tcW w:w="2090" w:type="dxa"/>
                  <w:vAlign w:val="center"/>
                </w:tcPr>
                <w:p>
                  <w:pPr>
                    <w:spacing w:line="300" w:lineRule="exact"/>
                    <w:jc w:val="center"/>
                    <w:rPr>
                      <w:bCs/>
                      <w:szCs w:val="21"/>
                    </w:rPr>
                  </w:pPr>
                  <w:r>
                    <w:rPr>
                      <w:szCs w:val="21"/>
                    </w:rPr>
                    <w:t>1,2-二氯乙烷</w:t>
                  </w:r>
                </w:p>
              </w:tc>
              <w:tc>
                <w:tcPr>
                  <w:tcW w:w="1398" w:type="dxa"/>
                  <w:vAlign w:val="center"/>
                </w:tcPr>
                <w:p>
                  <w:pPr>
                    <w:spacing w:line="300" w:lineRule="exact"/>
                    <w:jc w:val="center"/>
                    <w:rPr>
                      <w:bCs/>
                      <w:szCs w:val="21"/>
                    </w:rPr>
                  </w:pPr>
                  <w:r>
                    <w:rPr>
                      <w:bCs/>
                      <w:szCs w:val="21"/>
                    </w:rPr>
                    <w:t>0.52</w:t>
                  </w:r>
                </w:p>
              </w:tc>
              <w:tc>
                <w:tcPr>
                  <w:tcW w:w="1400" w:type="dxa"/>
                  <w:vAlign w:val="center"/>
                </w:tcPr>
                <w:p>
                  <w:pPr>
                    <w:spacing w:line="300" w:lineRule="exact"/>
                    <w:jc w:val="center"/>
                    <w:rPr>
                      <w:bCs/>
                      <w:szCs w:val="21"/>
                    </w:rPr>
                  </w:pPr>
                  <w:r>
                    <w:rPr>
                      <w:bCs/>
                      <w:szCs w:val="21"/>
                    </w:rPr>
                    <w:t>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13</w:t>
                  </w:r>
                </w:p>
              </w:tc>
              <w:tc>
                <w:tcPr>
                  <w:tcW w:w="2090" w:type="dxa"/>
                  <w:vAlign w:val="center"/>
                </w:tcPr>
                <w:p>
                  <w:pPr>
                    <w:spacing w:line="300" w:lineRule="exact"/>
                    <w:jc w:val="center"/>
                    <w:rPr>
                      <w:bCs/>
                      <w:szCs w:val="21"/>
                    </w:rPr>
                  </w:pPr>
                  <w:r>
                    <w:rPr>
                      <w:szCs w:val="21"/>
                    </w:rPr>
                    <w:t>1,1-二氯乙烯</w:t>
                  </w:r>
                </w:p>
              </w:tc>
              <w:tc>
                <w:tcPr>
                  <w:tcW w:w="1398" w:type="dxa"/>
                  <w:vAlign w:val="center"/>
                </w:tcPr>
                <w:p>
                  <w:pPr>
                    <w:spacing w:line="300" w:lineRule="exact"/>
                    <w:jc w:val="center"/>
                    <w:rPr>
                      <w:bCs/>
                      <w:szCs w:val="21"/>
                    </w:rPr>
                  </w:pPr>
                  <w:r>
                    <w:rPr>
                      <w:bCs/>
                      <w:szCs w:val="21"/>
                    </w:rPr>
                    <w:t>12</w:t>
                  </w:r>
                </w:p>
              </w:tc>
              <w:tc>
                <w:tcPr>
                  <w:tcW w:w="1400" w:type="dxa"/>
                  <w:vAlign w:val="center"/>
                </w:tcPr>
                <w:p>
                  <w:pPr>
                    <w:spacing w:line="300" w:lineRule="exact"/>
                    <w:jc w:val="center"/>
                    <w:rPr>
                      <w:bCs/>
                      <w:szCs w:val="21"/>
                    </w:rPr>
                  </w:pPr>
                  <w:r>
                    <w:rPr>
                      <w:bCs/>
                      <w:szCs w:val="21"/>
                    </w:rPr>
                    <w:t>66</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14</w:t>
                  </w:r>
                </w:p>
              </w:tc>
              <w:tc>
                <w:tcPr>
                  <w:tcW w:w="2090" w:type="dxa"/>
                  <w:vAlign w:val="center"/>
                </w:tcPr>
                <w:p>
                  <w:pPr>
                    <w:spacing w:line="300" w:lineRule="exact"/>
                    <w:jc w:val="center"/>
                    <w:rPr>
                      <w:bCs/>
                      <w:szCs w:val="21"/>
                    </w:rPr>
                  </w:pPr>
                  <w:r>
                    <w:rPr>
                      <w:szCs w:val="21"/>
                    </w:rPr>
                    <w:t>顺-1,2-二氯乙烯</w:t>
                  </w:r>
                </w:p>
              </w:tc>
              <w:tc>
                <w:tcPr>
                  <w:tcW w:w="1398" w:type="dxa"/>
                  <w:vAlign w:val="center"/>
                </w:tcPr>
                <w:p>
                  <w:pPr>
                    <w:spacing w:line="300" w:lineRule="exact"/>
                    <w:jc w:val="center"/>
                    <w:rPr>
                      <w:bCs/>
                      <w:szCs w:val="21"/>
                    </w:rPr>
                  </w:pPr>
                  <w:r>
                    <w:rPr>
                      <w:bCs/>
                      <w:szCs w:val="21"/>
                    </w:rPr>
                    <w:t>66</w:t>
                  </w:r>
                </w:p>
              </w:tc>
              <w:tc>
                <w:tcPr>
                  <w:tcW w:w="1400" w:type="dxa"/>
                  <w:vAlign w:val="center"/>
                </w:tcPr>
                <w:p>
                  <w:pPr>
                    <w:spacing w:line="300" w:lineRule="exact"/>
                    <w:jc w:val="center"/>
                    <w:rPr>
                      <w:bCs/>
                      <w:szCs w:val="21"/>
                    </w:rPr>
                  </w:pPr>
                  <w:r>
                    <w:rPr>
                      <w:bCs/>
                      <w:szCs w:val="21"/>
                    </w:rPr>
                    <w:t>596</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15</w:t>
                  </w:r>
                </w:p>
              </w:tc>
              <w:tc>
                <w:tcPr>
                  <w:tcW w:w="2090" w:type="dxa"/>
                  <w:vAlign w:val="center"/>
                </w:tcPr>
                <w:p>
                  <w:pPr>
                    <w:spacing w:line="300" w:lineRule="exact"/>
                    <w:jc w:val="center"/>
                    <w:rPr>
                      <w:bCs/>
                      <w:szCs w:val="21"/>
                    </w:rPr>
                  </w:pPr>
                  <w:r>
                    <w:rPr>
                      <w:szCs w:val="21"/>
                    </w:rPr>
                    <w:t>反1,2-二氯乙烯</w:t>
                  </w:r>
                </w:p>
              </w:tc>
              <w:tc>
                <w:tcPr>
                  <w:tcW w:w="1398" w:type="dxa"/>
                  <w:vAlign w:val="center"/>
                </w:tcPr>
                <w:p>
                  <w:pPr>
                    <w:spacing w:line="300" w:lineRule="exact"/>
                    <w:jc w:val="center"/>
                    <w:rPr>
                      <w:bCs/>
                      <w:szCs w:val="21"/>
                    </w:rPr>
                  </w:pPr>
                  <w:r>
                    <w:rPr>
                      <w:bCs/>
                      <w:szCs w:val="21"/>
                    </w:rPr>
                    <w:t>10</w:t>
                  </w:r>
                </w:p>
              </w:tc>
              <w:tc>
                <w:tcPr>
                  <w:tcW w:w="1400" w:type="dxa"/>
                  <w:vAlign w:val="center"/>
                </w:tcPr>
                <w:p>
                  <w:pPr>
                    <w:spacing w:line="300" w:lineRule="exact"/>
                    <w:jc w:val="center"/>
                    <w:rPr>
                      <w:bCs/>
                      <w:szCs w:val="21"/>
                    </w:rPr>
                  </w:pPr>
                  <w:r>
                    <w:rPr>
                      <w:bCs/>
                      <w:szCs w:val="21"/>
                    </w:rPr>
                    <w:t>54</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16</w:t>
                  </w:r>
                </w:p>
              </w:tc>
              <w:tc>
                <w:tcPr>
                  <w:tcW w:w="2090" w:type="dxa"/>
                  <w:vAlign w:val="center"/>
                </w:tcPr>
                <w:p>
                  <w:pPr>
                    <w:spacing w:line="300" w:lineRule="exact"/>
                    <w:jc w:val="center"/>
                    <w:rPr>
                      <w:bCs/>
                      <w:szCs w:val="21"/>
                    </w:rPr>
                  </w:pPr>
                  <w:r>
                    <w:rPr>
                      <w:szCs w:val="21"/>
                    </w:rPr>
                    <w:t>二氯甲烷</w:t>
                  </w:r>
                </w:p>
              </w:tc>
              <w:tc>
                <w:tcPr>
                  <w:tcW w:w="1398" w:type="dxa"/>
                  <w:vAlign w:val="center"/>
                </w:tcPr>
                <w:p>
                  <w:pPr>
                    <w:spacing w:line="300" w:lineRule="exact"/>
                    <w:jc w:val="center"/>
                    <w:rPr>
                      <w:bCs/>
                      <w:szCs w:val="21"/>
                    </w:rPr>
                  </w:pPr>
                  <w:r>
                    <w:rPr>
                      <w:bCs/>
                      <w:szCs w:val="21"/>
                    </w:rPr>
                    <w:t>94</w:t>
                  </w:r>
                </w:p>
              </w:tc>
              <w:tc>
                <w:tcPr>
                  <w:tcW w:w="1400" w:type="dxa"/>
                  <w:vAlign w:val="center"/>
                </w:tcPr>
                <w:p>
                  <w:pPr>
                    <w:spacing w:line="300" w:lineRule="exact"/>
                    <w:jc w:val="center"/>
                    <w:rPr>
                      <w:bCs/>
                      <w:szCs w:val="21"/>
                    </w:rPr>
                  </w:pPr>
                  <w:r>
                    <w:rPr>
                      <w:bCs/>
                      <w:szCs w:val="21"/>
                    </w:rPr>
                    <w:t>616</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17</w:t>
                  </w:r>
                </w:p>
              </w:tc>
              <w:tc>
                <w:tcPr>
                  <w:tcW w:w="2090" w:type="dxa"/>
                  <w:vAlign w:val="center"/>
                </w:tcPr>
                <w:p>
                  <w:pPr>
                    <w:spacing w:line="300" w:lineRule="exact"/>
                    <w:jc w:val="center"/>
                    <w:rPr>
                      <w:bCs/>
                      <w:szCs w:val="21"/>
                    </w:rPr>
                  </w:pPr>
                  <w:r>
                    <w:rPr>
                      <w:szCs w:val="21"/>
                    </w:rPr>
                    <w:t>1,2-二氯丙烷</w:t>
                  </w:r>
                </w:p>
              </w:tc>
              <w:tc>
                <w:tcPr>
                  <w:tcW w:w="1398" w:type="dxa"/>
                  <w:vAlign w:val="center"/>
                </w:tcPr>
                <w:p>
                  <w:pPr>
                    <w:spacing w:line="300" w:lineRule="exact"/>
                    <w:jc w:val="center"/>
                    <w:rPr>
                      <w:bCs/>
                      <w:szCs w:val="21"/>
                    </w:rPr>
                  </w:pPr>
                  <w:r>
                    <w:rPr>
                      <w:bCs/>
                      <w:szCs w:val="21"/>
                    </w:rPr>
                    <w:t>1</w:t>
                  </w:r>
                </w:p>
              </w:tc>
              <w:tc>
                <w:tcPr>
                  <w:tcW w:w="1400" w:type="dxa"/>
                  <w:vAlign w:val="center"/>
                </w:tcPr>
                <w:p>
                  <w:pPr>
                    <w:spacing w:line="300" w:lineRule="exact"/>
                    <w:jc w:val="center"/>
                    <w:rPr>
                      <w:bCs/>
                      <w:szCs w:val="21"/>
                    </w:rPr>
                  </w:pPr>
                  <w:r>
                    <w:rPr>
                      <w:bCs/>
                      <w:szCs w:val="21"/>
                    </w:rPr>
                    <w:t>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18</w:t>
                  </w:r>
                </w:p>
              </w:tc>
              <w:tc>
                <w:tcPr>
                  <w:tcW w:w="2090" w:type="dxa"/>
                  <w:vAlign w:val="center"/>
                </w:tcPr>
                <w:p>
                  <w:pPr>
                    <w:spacing w:line="300" w:lineRule="exact"/>
                    <w:jc w:val="center"/>
                    <w:rPr>
                      <w:bCs/>
                      <w:szCs w:val="21"/>
                    </w:rPr>
                  </w:pPr>
                  <w:r>
                    <w:rPr>
                      <w:szCs w:val="21"/>
                    </w:rPr>
                    <w:t>1,1,1,2-四氯乙烷</w:t>
                  </w:r>
                </w:p>
              </w:tc>
              <w:tc>
                <w:tcPr>
                  <w:tcW w:w="1398" w:type="dxa"/>
                  <w:vAlign w:val="center"/>
                </w:tcPr>
                <w:p>
                  <w:pPr>
                    <w:spacing w:line="300" w:lineRule="exact"/>
                    <w:jc w:val="center"/>
                    <w:rPr>
                      <w:bCs/>
                      <w:szCs w:val="21"/>
                    </w:rPr>
                  </w:pPr>
                  <w:r>
                    <w:rPr>
                      <w:bCs/>
                      <w:szCs w:val="21"/>
                    </w:rPr>
                    <w:t>2.6</w:t>
                  </w:r>
                </w:p>
              </w:tc>
              <w:tc>
                <w:tcPr>
                  <w:tcW w:w="1400" w:type="dxa"/>
                  <w:vAlign w:val="center"/>
                </w:tcPr>
                <w:p>
                  <w:pPr>
                    <w:spacing w:line="300" w:lineRule="exact"/>
                    <w:jc w:val="center"/>
                    <w:rPr>
                      <w:bCs/>
                      <w:szCs w:val="21"/>
                    </w:rPr>
                  </w:pPr>
                  <w:r>
                    <w:rPr>
                      <w:bCs/>
                      <w:szCs w:val="21"/>
                    </w:rPr>
                    <w:t>10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19</w:t>
                  </w:r>
                </w:p>
              </w:tc>
              <w:tc>
                <w:tcPr>
                  <w:tcW w:w="2090" w:type="dxa"/>
                  <w:vAlign w:val="center"/>
                </w:tcPr>
                <w:p>
                  <w:pPr>
                    <w:spacing w:line="300" w:lineRule="exact"/>
                    <w:jc w:val="center"/>
                    <w:rPr>
                      <w:bCs/>
                      <w:szCs w:val="21"/>
                    </w:rPr>
                  </w:pPr>
                  <w:r>
                    <w:rPr>
                      <w:szCs w:val="21"/>
                    </w:rPr>
                    <w:t>1,1,2,2-四氯乙烷</w:t>
                  </w:r>
                </w:p>
              </w:tc>
              <w:tc>
                <w:tcPr>
                  <w:tcW w:w="1398" w:type="dxa"/>
                  <w:vAlign w:val="center"/>
                </w:tcPr>
                <w:p>
                  <w:pPr>
                    <w:spacing w:line="300" w:lineRule="exact"/>
                    <w:jc w:val="center"/>
                    <w:rPr>
                      <w:bCs/>
                      <w:szCs w:val="21"/>
                    </w:rPr>
                  </w:pPr>
                  <w:r>
                    <w:rPr>
                      <w:bCs/>
                      <w:szCs w:val="21"/>
                    </w:rPr>
                    <w:t>1.6</w:t>
                  </w:r>
                </w:p>
              </w:tc>
              <w:tc>
                <w:tcPr>
                  <w:tcW w:w="1400" w:type="dxa"/>
                  <w:vAlign w:val="center"/>
                </w:tcPr>
                <w:p>
                  <w:pPr>
                    <w:spacing w:line="300" w:lineRule="exact"/>
                    <w:jc w:val="center"/>
                    <w:rPr>
                      <w:bCs/>
                      <w:szCs w:val="21"/>
                    </w:rPr>
                  </w:pPr>
                  <w:r>
                    <w:rPr>
                      <w:bCs/>
                      <w:szCs w:val="21"/>
                    </w:rPr>
                    <w:t>6.8</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20</w:t>
                  </w:r>
                </w:p>
              </w:tc>
              <w:tc>
                <w:tcPr>
                  <w:tcW w:w="2090" w:type="dxa"/>
                  <w:vAlign w:val="center"/>
                </w:tcPr>
                <w:p>
                  <w:pPr>
                    <w:spacing w:line="300" w:lineRule="exact"/>
                    <w:jc w:val="center"/>
                    <w:rPr>
                      <w:bCs/>
                      <w:szCs w:val="21"/>
                    </w:rPr>
                  </w:pPr>
                  <w:r>
                    <w:rPr>
                      <w:szCs w:val="21"/>
                    </w:rPr>
                    <w:t>四氯乙烯</w:t>
                  </w:r>
                </w:p>
              </w:tc>
              <w:tc>
                <w:tcPr>
                  <w:tcW w:w="1398" w:type="dxa"/>
                  <w:vAlign w:val="center"/>
                </w:tcPr>
                <w:p>
                  <w:pPr>
                    <w:spacing w:line="300" w:lineRule="exact"/>
                    <w:jc w:val="center"/>
                    <w:rPr>
                      <w:bCs/>
                      <w:szCs w:val="21"/>
                    </w:rPr>
                  </w:pPr>
                  <w:r>
                    <w:rPr>
                      <w:bCs/>
                      <w:szCs w:val="21"/>
                    </w:rPr>
                    <w:t>11</w:t>
                  </w:r>
                </w:p>
              </w:tc>
              <w:tc>
                <w:tcPr>
                  <w:tcW w:w="1400" w:type="dxa"/>
                  <w:vAlign w:val="center"/>
                </w:tcPr>
                <w:p>
                  <w:pPr>
                    <w:spacing w:line="300" w:lineRule="exact"/>
                    <w:jc w:val="center"/>
                    <w:rPr>
                      <w:bCs/>
                      <w:szCs w:val="21"/>
                    </w:rPr>
                  </w:pPr>
                  <w:r>
                    <w:rPr>
                      <w:bCs/>
                      <w:szCs w:val="21"/>
                    </w:rPr>
                    <w:t>53</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21</w:t>
                  </w:r>
                </w:p>
              </w:tc>
              <w:tc>
                <w:tcPr>
                  <w:tcW w:w="2090" w:type="dxa"/>
                  <w:vAlign w:val="center"/>
                </w:tcPr>
                <w:p>
                  <w:pPr>
                    <w:spacing w:line="300" w:lineRule="exact"/>
                    <w:jc w:val="center"/>
                    <w:rPr>
                      <w:bCs/>
                      <w:szCs w:val="21"/>
                    </w:rPr>
                  </w:pPr>
                  <w:r>
                    <w:rPr>
                      <w:szCs w:val="21"/>
                    </w:rPr>
                    <w:t>1,1,1-三氯乙烷</w:t>
                  </w:r>
                </w:p>
              </w:tc>
              <w:tc>
                <w:tcPr>
                  <w:tcW w:w="1398" w:type="dxa"/>
                  <w:vAlign w:val="center"/>
                </w:tcPr>
                <w:p>
                  <w:pPr>
                    <w:spacing w:line="300" w:lineRule="exact"/>
                    <w:jc w:val="center"/>
                    <w:rPr>
                      <w:bCs/>
                      <w:szCs w:val="21"/>
                    </w:rPr>
                  </w:pPr>
                  <w:r>
                    <w:rPr>
                      <w:bCs/>
                      <w:szCs w:val="21"/>
                    </w:rPr>
                    <w:t>701</w:t>
                  </w:r>
                </w:p>
              </w:tc>
              <w:tc>
                <w:tcPr>
                  <w:tcW w:w="1400" w:type="dxa"/>
                  <w:vAlign w:val="center"/>
                </w:tcPr>
                <w:p>
                  <w:pPr>
                    <w:spacing w:line="300" w:lineRule="exact"/>
                    <w:jc w:val="center"/>
                    <w:rPr>
                      <w:bCs/>
                      <w:szCs w:val="21"/>
                    </w:rPr>
                  </w:pPr>
                  <w:r>
                    <w:rPr>
                      <w:bCs/>
                      <w:szCs w:val="21"/>
                    </w:rPr>
                    <w:t>840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22</w:t>
                  </w:r>
                </w:p>
              </w:tc>
              <w:tc>
                <w:tcPr>
                  <w:tcW w:w="2090" w:type="dxa"/>
                  <w:vAlign w:val="center"/>
                </w:tcPr>
                <w:p>
                  <w:pPr>
                    <w:spacing w:line="300" w:lineRule="exact"/>
                    <w:jc w:val="center"/>
                    <w:rPr>
                      <w:bCs/>
                      <w:szCs w:val="21"/>
                    </w:rPr>
                  </w:pPr>
                  <w:r>
                    <w:rPr>
                      <w:szCs w:val="21"/>
                    </w:rPr>
                    <w:t>1,1,2-三氯乙烷</w:t>
                  </w:r>
                </w:p>
              </w:tc>
              <w:tc>
                <w:tcPr>
                  <w:tcW w:w="1398" w:type="dxa"/>
                  <w:vAlign w:val="center"/>
                </w:tcPr>
                <w:p>
                  <w:pPr>
                    <w:spacing w:line="300" w:lineRule="exact"/>
                    <w:jc w:val="center"/>
                    <w:rPr>
                      <w:bCs/>
                      <w:szCs w:val="21"/>
                    </w:rPr>
                  </w:pPr>
                  <w:r>
                    <w:rPr>
                      <w:bCs/>
                      <w:szCs w:val="21"/>
                    </w:rPr>
                    <w:t>0.6</w:t>
                  </w:r>
                </w:p>
              </w:tc>
              <w:tc>
                <w:tcPr>
                  <w:tcW w:w="1400" w:type="dxa"/>
                  <w:vAlign w:val="center"/>
                </w:tcPr>
                <w:p>
                  <w:pPr>
                    <w:spacing w:line="300" w:lineRule="exact"/>
                    <w:jc w:val="center"/>
                    <w:rPr>
                      <w:bCs/>
                      <w:szCs w:val="21"/>
                    </w:rPr>
                  </w:pPr>
                  <w:r>
                    <w:rPr>
                      <w:bCs/>
                      <w:szCs w:val="21"/>
                    </w:rPr>
                    <w:t>2.8</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23</w:t>
                  </w:r>
                </w:p>
              </w:tc>
              <w:tc>
                <w:tcPr>
                  <w:tcW w:w="2090" w:type="dxa"/>
                  <w:vAlign w:val="center"/>
                </w:tcPr>
                <w:p>
                  <w:pPr>
                    <w:spacing w:line="300" w:lineRule="exact"/>
                    <w:jc w:val="center"/>
                    <w:rPr>
                      <w:bCs/>
                      <w:szCs w:val="21"/>
                    </w:rPr>
                  </w:pPr>
                  <w:r>
                    <w:rPr>
                      <w:szCs w:val="21"/>
                    </w:rPr>
                    <w:t>三氯乙烯</w:t>
                  </w:r>
                </w:p>
              </w:tc>
              <w:tc>
                <w:tcPr>
                  <w:tcW w:w="1398" w:type="dxa"/>
                  <w:vAlign w:val="center"/>
                </w:tcPr>
                <w:p>
                  <w:pPr>
                    <w:spacing w:line="300" w:lineRule="exact"/>
                    <w:jc w:val="center"/>
                    <w:rPr>
                      <w:bCs/>
                      <w:szCs w:val="21"/>
                    </w:rPr>
                  </w:pPr>
                  <w:r>
                    <w:rPr>
                      <w:bCs/>
                      <w:szCs w:val="21"/>
                    </w:rPr>
                    <w:t>0.7</w:t>
                  </w:r>
                </w:p>
              </w:tc>
              <w:tc>
                <w:tcPr>
                  <w:tcW w:w="1400" w:type="dxa"/>
                  <w:vAlign w:val="center"/>
                </w:tcPr>
                <w:p>
                  <w:pPr>
                    <w:spacing w:line="300" w:lineRule="exact"/>
                    <w:jc w:val="center"/>
                    <w:rPr>
                      <w:bCs/>
                      <w:szCs w:val="21"/>
                    </w:rPr>
                  </w:pPr>
                  <w:r>
                    <w:rPr>
                      <w:bCs/>
                      <w:szCs w:val="21"/>
                    </w:rPr>
                    <w:t>2.8</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24</w:t>
                  </w:r>
                </w:p>
              </w:tc>
              <w:tc>
                <w:tcPr>
                  <w:tcW w:w="2090" w:type="dxa"/>
                  <w:vAlign w:val="center"/>
                </w:tcPr>
                <w:p>
                  <w:pPr>
                    <w:spacing w:line="300" w:lineRule="exact"/>
                    <w:jc w:val="center"/>
                    <w:rPr>
                      <w:bCs/>
                      <w:szCs w:val="21"/>
                    </w:rPr>
                  </w:pPr>
                  <w:r>
                    <w:rPr>
                      <w:szCs w:val="21"/>
                    </w:rPr>
                    <w:t>1,2,3-三氯丙烷</w:t>
                  </w:r>
                </w:p>
              </w:tc>
              <w:tc>
                <w:tcPr>
                  <w:tcW w:w="1398" w:type="dxa"/>
                  <w:vAlign w:val="center"/>
                </w:tcPr>
                <w:p>
                  <w:pPr>
                    <w:spacing w:line="300" w:lineRule="exact"/>
                    <w:jc w:val="center"/>
                    <w:rPr>
                      <w:bCs/>
                      <w:szCs w:val="21"/>
                    </w:rPr>
                  </w:pPr>
                  <w:r>
                    <w:rPr>
                      <w:bCs/>
                      <w:szCs w:val="21"/>
                    </w:rPr>
                    <w:t>0.05</w:t>
                  </w:r>
                </w:p>
              </w:tc>
              <w:tc>
                <w:tcPr>
                  <w:tcW w:w="1400" w:type="dxa"/>
                  <w:vAlign w:val="center"/>
                </w:tcPr>
                <w:p>
                  <w:pPr>
                    <w:spacing w:line="300" w:lineRule="exact"/>
                    <w:jc w:val="center"/>
                    <w:rPr>
                      <w:bCs/>
                      <w:szCs w:val="21"/>
                    </w:rPr>
                  </w:pPr>
                  <w:r>
                    <w:rPr>
                      <w:bCs/>
                      <w:szCs w:val="21"/>
                    </w:rPr>
                    <w:t>0.5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25</w:t>
                  </w:r>
                </w:p>
              </w:tc>
              <w:tc>
                <w:tcPr>
                  <w:tcW w:w="2090" w:type="dxa"/>
                  <w:vAlign w:val="center"/>
                </w:tcPr>
                <w:p>
                  <w:pPr>
                    <w:spacing w:line="300" w:lineRule="exact"/>
                    <w:jc w:val="center"/>
                    <w:rPr>
                      <w:bCs/>
                      <w:szCs w:val="21"/>
                    </w:rPr>
                  </w:pPr>
                  <w:r>
                    <w:rPr>
                      <w:szCs w:val="21"/>
                    </w:rPr>
                    <w:t>氯乙烯</w:t>
                  </w:r>
                </w:p>
              </w:tc>
              <w:tc>
                <w:tcPr>
                  <w:tcW w:w="1398" w:type="dxa"/>
                  <w:vAlign w:val="center"/>
                </w:tcPr>
                <w:p>
                  <w:pPr>
                    <w:spacing w:line="300" w:lineRule="exact"/>
                    <w:jc w:val="center"/>
                    <w:rPr>
                      <w:bCs/>
                      <w:szCs w:val="21"/>
                    </w:rPr>
                  </w:pPr>
                  <w:r>
                    <w:rPr>
                      <w:bCs/>
                      <w:szCs w:val="21"/>
                    </w:rPr>
                    <w:t>0.12</w:t>
                  </w:r>
                </w:p>
              </w:tc>
              <w:tc>
                <w:tcPr>
                  <w:tcW w:w="1400" w:type="dxa"/>
                  <w:vAlign w:val="center"/>
                </w:tcPr>
                <w:p>
                  <w:pPr>
                    <w:spacing w:line="300" w:lineRule="exact"/>
                    <w:jc w:val="center"/>
                    <w:rPr>
                      <w:bCs/>
                      <w:szCs w:val="21"/>
                    </w:rPr>
                  </w:pPr>
                  <w:r>
                    <w:rPr>
                      <w:bCs/>
                      <w:szCs w:val="21"/>
                    </w:rPr>
                    <w:t>0.43</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26</w:t>
                  </w:r>
                </w:p>
              </w:tc>
              <w:tc>
                <w:tcPr>
                  <w:tcW w:w="2090" w:type="dxa"/>
                  <w:vAlign w:val="center"/>
                </w:tcPr>
                <w:p>
                  <w:pPr>
                    <w:spacing w:line="300" w:lineRule="exact"/>
                    <w:jc w:val="center"/>
                    <w:rPr>
                      <w:bCs/>
                      <w:szCs w:val="21"/>
                    </w:rPr>
                  </w:pPr>
                  <w:r>
                    <w:rPr>
                      <w:szCs w:val="21"/>
                    </w:rPr>
                    <w:t>苯</w:t>
                  </w:r>
                </w:p>
              </w:tc>
              <w:tc>
                <w:tcPr>
                  <w:tcW w:w="1398" w:type="dxa"/>
                  <w:vAlign w:val="center"/>
                </w:tcPr>
                <w:p>
                  <w:pPr>
                    <w:spacing w:line="300" w:lineRule="exact"/>
                    <w:jc w:val="center"/>
                    <w:rPr>
                      <w:bCs/>
                      <w:szCs w:val="21"/>
                    </w:rPr>
                  </w:pPr>
                  <w:r>
                    <w:rPr>
                      <w:bCs/>
                      <w:szCs w:val="21"/>
                    </w:rPr>
                    <w:t>1</w:t>
                  </w:r>
                </w:p>
              </w:tc>
              <w:tc>
                <w:tcPr>
                  <w:tcW w:w="1400" w:type="dxa"/>
                  <w:vAlign w:val="center"/>
                </w:tcPr>
                <w:p>
                  <w:pPr>
                    <w:spacing w:line="300" w:lineRule="exact"/>
                    <w:jc w:val="center"/>
                    <w:rPr>
                      <w:bCs/>
                      <w:szCs w:val="21"/>
                    </w:rPr>
                  </w:pPr>
                  <w:r>
                    <w:rPr>
                      <w:bCs/>
                      <w:szCs w:val="21"/>
                    </w:rPr>
                    <w:t>4</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27</w:t>
                  </w:r>
                </w:p>
              </w:tc>
              <w:tc>
                <w:tcPr>
                  <w:tcW w:w="2090" w:type="dxa"/>
                  <w:vAlign w:val="center"/>
                </w:tcPr>
                <w:p>
                  <w:pPr>
                    <w:spacing w:line="300" w:lineRule="exact"/>
                    <w:jc w:val="center"/>
                    <w:rPr>
                      <w:bCs/>
                      <w:szCs w:val="21"/>
                    </w:rPr>
                  </w:pPr>
                  <w:r>
                    <w:rPr>
                      <w:szCs w:val="21"/>
                    </w:rPr>
                    <w:t>氯苯</w:t>
                  </w:r>
                </w:p>
              </w:tc>
              <w:tc>
                <w:tcPr>
                  <w:tcW w:w="1398" w:type="dxa"/>
                  <w:vAlign w:val="center"/>
                </w:tcPr>
                <w:p>
                  <w:pPr>
                    <w:spacing w:line="300" w:lineRule="exact"/>
                    <w:jc w:val="center"/>
                    <w:rPr>
                      <w:bCs/>
                      <w:szCs w:val="21"/>
                    </w:rPr>
                  </w:pPr>
                  <w:r>
                    <w:rPr>
                      <w:bCs/>
                      <w:szCs w:val="21"/>
                    </w:rPr>
                    <w:t>68</w:t>
                  </w:r>
                </w:p>
              </w:tc>
              <w:tc>
                <w:tcPr>
                  <w:tcW w:w="1400" w:type="dxa"/>
                  <w:vAlign w:val="center"/>
                </w:tcPr>
                <w:p>
                  <w:pPr>
                    <w:spacing w:line="300" w:lineRule="exact"/>
                    <w:jc w:val="center"/>
                    <w:rPr>
                      <w:bCs/>
                      <w:szCs w:val="21"/>
                    </w:rPr>
                  </w:pPr>
                  <w:r>
                    <w:rPr>
                      <w:bCs/>
                      <w:szCs w:val="21"/>
                    </w:rPr>
                    <w:t>270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28</w:t>
                  </w:r>
                </w:p>
              </w:tc>
              <w:tc>
                <w:tcPr>
                  <w:tcW w:w="2090" w:type="dxa"/>
                  <w:vAlign w:val="center"/>
                </w:tcPr>
                <w:p>
                  <w:pPr>
                    <w:spacing w:line="300" w:lineRule="exact"/>
                    <w:jc w:val="center"/>
                    <w:rPr>
                      <w:bCs/>
                      <w:szCs w:val="21"/>
                    </w:rPr>
                  </w:pPr>
                  <w:r>
                    <w:rPr>
                      <w:szCs w:val="21"/>
                    </w:rPr>
                    <w:t>1,2-二氯苯</w:t>
                  </w:r>
                </w:p>
              </w:tc>
              <w:tc>
                <w:tcPr>
                  <w:tcW w:w="1398" w:type="dxa"/>
                  <w:vAlign w:val="center"/>
                </w:tcPr>
                <w:p>
                  <w:pPr>
                    <w:spacing w:line="300" w:lineRule="exact"/>
                    <w:jc w:val="center"/>
                    <w:rPr>
                      <w:bCs/>
                      <w:szCs w:val="21"/>
                    </w:rPr>
                  </w:pPr>
                  <w:r>
                    <w:rPr>
                      <w:bCs/>
                      <w:szCs w:val="21"/>
                    </w:rPr>
                    <w:t>560</w:t>
                  </w:r>
                </w:p>
              </w:tc>
              <w:tc>
                <w:tcPr>
                  <w:tcW w:w="1400" w:type="dxa"/>
                  <w:vAlign w:val="center"/>
                </w:tcPr>
                <w:p>
                  <w:pPr>
                    <w:spacing w:line="300" w:lineRule="exact"/>
                    <w:jc w:val="center"/>
                    <w:rPr>
                      <w:bCs/>
                      <w:szCs w:val="21"/>
                    </w:rPr>
                  </w:pPr>
                  <w:r>
                    <w:rPr>
                      <w:bCs/>
                      <w:szCs w:val="21"/>
                    </w:rPr>
                    <w:t>560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29</w:t>
                  </w:r>
                </w:p>
              </w:tc>
              <w:tc>
                <w:tcPr>
                  <w:tcW w:w="2090" w:type="dxa"/>
                  <w:vAlign w:val="center"/>
                </w:tcPr>
                <w:p>
                  <w:pPr>
                    <w:spacing w:line="300" w:lineRule="exact"/>
                    <w:jc w:val="center"/>
                    <w:rPr>
                      <w:bCs/>
                      <w:szCs w:val="21"/>
                    </w:rPr>
                  </w:pPr>
                  <w:r>
                    <w:rPr>
                      <w:szCs w:val="21"/>
                    </w:rPr>
                    <w:t>1,4-二氯苯</w:t>
                  </w:r>
                </w:p>
              </w:tc>
              <w:tc>
                <w:tcPr>
                  <w:tcW w:w="1398" w:type="dxa"/>
                  <w:vAlign w:val="center"/>
                </w:tcPr>
                <w:p>
                  <w:pPr>
                    <w:spacing w:line="300" w:lineRule="exact"/>
                    <w:jc w:val="center"/>
                    <w:rPr>
                      <w:bCs/>
                      <w:szCs w:val="21"/>
                    </w:rPr>
                  </w:pPr>
                  <w:r>
                    <w:rPr>
                      <w:bCs/>
                      <w:szCs w:val="21"/>
                    </w:rPr>
                    <w:t>5.6</w:t>
                  </w:r>
                </w:p>
              </w:tc>
              <w:tc>
                <w:tcPr>
                  <w:tcW w:w="1400" w:type="dxa"/>
                  <w:vAlign w:val="center"/>
                </w:tcPr>
                <w:p>
                  <w:pPr>
                    <w:spacing w:line="300" w:lineRule="exact"/>
                    <w:jc w:val="center"/>
                    <w:rPr>
                      <w:bCs/>
                      <w:szCs w:val="21"/>
                    </w:rPr>
                  </w:pPr>
                  <w:r>
                    <w:rPr>
                      <w:bCs/>
                      <w:szCs w:val="21"/>
                    </w:rPr>
                    <w:t>20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30</w:t>
                  </w:r>
                </w:p>
              </w:tc>
              <w:tc>
                <w:tcPr>
                  <w:tcW w:w="2090" w:type="dxa"/>
                  <w:vAlign w:val="center"/>
                </w:tcPr>
                <w:p>
                  <w:pPr>
                    <w:spacing w:line="300" w:lineRule="exact"/>
                    <w:jc w:val="center"/>
                    <w:rPr>
                      <w:bCs/>
                      <w:szCs w:val="21"/>
                    </w:rPr>
                  </w:pPr>
                  <w:r>
                    <w:rPr>
                      <w:szCs w:val="21"/>
                    </w:rPr>
                    <w:t>乙苯</w:t>
                  </w:r>
                </w:p>
              </w:tc>
              <w:tc>
                <w:tcPr>
                  <w:tcW w:w="1398" w:type="dxa"/>
                  <w:vAlign w:val="center"/>
                </w:tcPr>
                <w:p>
                  <w:pPr>
                    <w:spacing w:line="300" w:lineRule="exact"/>
                    <w:jc w:val="center"/>
                    <w:rPr>
                      <w:bCs/>
                      <w:szCs w:val="21"/>
                    </w:rPr>
                  </w:pPr>
                  <w:r>
                    <w:rPr>
                      <w:bCs/>
                      <w:szCs w:val="21"/>
                    </w:rPr>
                    <w:t>7.2</w:t>
                  </w:r>
                </w:p>
              </w:tc>
              <w:tc>
                <w:tcPr>
                  <w:tcW w:w="1400" w:type="dxa"/>
                  <w:vAlign w:val="center"/>
                </w:tcPr>
                <w:p>
                  <w:pPr>
                    <w:spacing w:line="300" w:lineRule="exact"/>
                    <w:jc w:val="center"/>
                    <w:rPr>
                      <w:bCs/>
                      <w:szCs w:val="21"/>
                    </w:rPr>
                  </w:pPr>
                  <w:r>
                    <w:rPr>
                      <w:bCs/>
                      <w:szCs w:val="21"/>
                    </w:rPr>
                    <w:t>28</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31</w:t>
                  </w:r>
                </w:p>
              </w:tc>
              <w:tc>
                <w:tcPr>
                  <w:tcW w:w="2090" w:type="dxa"/>
                  <w:vAlign w:val="center"/>
                </w:tcPr>
                <w:p>
                  <w:pPr>
                    <w:spacing w:line="300" w:lineRule="exact"/>
                    <w:jc w:val="center"/>
                    <w:rPr>
                      <w:bCs/>
                      <w:szCs w:val="21"/>
                    </w:rPr>
                  </w:pPr>
                  <w:r>
                    <w:rPr>
                      <w:szCs w:val="21"/>
                    </w:rPr>
                    <w:t>苯乙烯</w:t>
                  </w:r>
                </w:p>
              </w:tc>
              <w:tc>
                <w:tcPr>
                  <w:tcW w:w="1398" w:type="dxa"/>
                  <w:vAlign w:val="center"/>
                </w:tcPr>
                <w:p>
                  <w:pPr>
                    <w:spacing w:line="300" w:lineRule="exact"/>
                    <w:jc w:val="center"/>
                    <w:rPr>
                      <w:bCs/>
                      <w:szCs w:val="21"/>
                    </w:rPr>
                  </w:pPr>
                  <w:r>
                    <w:rPr>
                      <w:bCs/>
                      <w:szCs w:val="21"/>
                    </w:rPr>
                    <w:t>1290</w:t>
                  </w:r>
                </w:p>
              </w:tc>
              <w:tc>
                <w:tcPr>
                  <w:tcW w:w="1400" w:type="dxa"/>
                  <w:vAlign w:val="center"/>
                </w:tcPr>
                <w:p>
                  <w:pPr>
                    <w:spacing w:line="300" w:lineRule="exact"/>
                    <w:jc w:val="center"/>
                    <w:rPr>
                      <w:bCs/>
                      <w:szCs w:val="21"/>
                    </w:rPr>
                  </w:pPr>
                  <w:r>
                    <w:rPr>
                      <w:bCs/>
                      <w:szCs w:val="21"/>
                    </w:rPr>
                    <w:t>1290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32</w:t>
                  </w:r>
                </w:p>
              </w:tc>
              <w:tc>
                <w:tcPr>
                  <w:tcW w:w="2090" w:type="dxa"/>
                  <w:vAlign w:val="center"/>
                </w:tcPr>
                <w:p>
                  <w:pPr>
                    <w:spacing w:line="300" w:lineRule="exact"/>
                    <w:jc w:val="center"/>
                    <w:rPr>
                      <w:bCs/>
                      <w:szCs w:val="21"/>
                    </w:rPr>
                  </w:pPr>
                  <w:r>
                    <w:rPr>
                      <w:szCs w:val="21"/>
                    </w:rPr>
                    <w:t>甲苯</w:t>
                  </w:r>
                </w:p>
              </w:tc>
              <w:tc>
                <w:tcPr>
                  <w:tcW w:w="1398" w:type="dxa"/>
                  <w:vAlign w:val="center"/>
                </w:tcPr>
                <w:p>
                  <w:pPr>
                    <w:spacing w:line="300" w:lineRule="exact"/>
                    <w:jc w:val="center"/>
                    <w:rPr>
                      <w:bCs/>
                      <w:szCs w:val="21"/>
                    </w:rPr>
                  </w:pPr>
                  <w:r>
                    <w:rPr>
                      <w:bCs/>
                      <w:szCs w:val="21"/>
                    </w:rPr>
                    <w:t>1200</w:t>
                  </w:r>
                </w:p>
              </w:tc>
              <w:tc>
                <w:tcPr>
                  <w:tcW w:w="1400" w:type="dxa"/>
                  <w:vAlign w:val="center"/>
                </w:tcPr>
                <w:p>
                  <w:pPr>
                    <w:spacing w:line="300" w:lineRule="exact"/>
                    <w:jc w:val="center"/>
                    <w:rPr>
                      <w:bCs/>
                      <w:szCs w:val="21"/>
                    </w:rPr>
                  </w:pPr>
                  <w:r>
                    <w:rPr>
                      <w:bCs/>
                      <w:szCs w:val="21"/>
                    </w:rPr>
                    <w:t>1200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33</w:t>
                  </w:r>
                </w:p>
              </w:tc>
              <w:tc>
                <w:tcPr>
                  <w:tcW w:w="2090" w:type="dxa"/>
                  <w:vAlign w:val="center"/>
                </w:tcPr>
                <w:p>
                  <w:pPr>
                    <w:spacing w:line="300" w:lineRule="exact"/>
                    <w:jc w:val="center"/>
                    <w:rPr>
                      <w:bCs/>
                      <w:szCs w:val="21"/>
                    </w:rPr>
                  </w:pPr>
                  <w:r>
                    <w:rPr>
                      <w:szCs w:val="21"/>
                    </w:rPr>
                    <w:t>间二甲苯+对二甲苯</w:t>
                  </w:r>
                </w:p>
              </w:tc>
              <w:tc>
                <w:tcPr>
                  <w:tcW w:w="1398" w:type="dxa"/>
                  <w:vAlign w:val="center"/>
                </w:tcPr>
                <w:p>
                  <w:pPr>
                    <w:spacing w:line="300" w:lineRule="exact"/>
                    <w:jc w:val="center"/>
                    <w:rPr>
                      <w:bCs/>
                      <w:szCs w:val="21"/>
                    </w:rPr>
                  </w:pPr>
                  <w:r>
                    <w:rPr>
                      <w:bCs/>
                      <w:szCs w:val="21"/>
                    </w:rPr>
                    <w:t>163</w:t>
                  </w:r>
                </w:p>
              </w:tc>
              <w:tc>
                <w:tcPr>
                  <w:tcW w:w="1400" w:type="dxa"/>
                  <w:vAlign w:val="center"/>
                </w:tcPr>
                <w:p>
                  <w:pPr>
                    <w:spacing w:line="300" w:lineRule="exact"/>
                    <w:jc w:val="center"/>
                    <w:rPr>
                      <w:bCs/>
                      <w:szCs w:val="21"/>
                    </w:rPr>
                  </w:pPr>
                  <w:r>
                    <w:rPr>
                      <w:bCs/>
                      <w:szCs w:val="21"/>
                    </w:rPr>
                    <w:t>570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34</w:t>
                  </w:r>
                </w:p>
              </w:tc>
              <w:tc>
                <w:tcPr>
                  <w:tcW w:w="2090" w:type="dxa"/>
                  <w:vAlign w:val="center"/>
                </w:tcPr>
                <w:p>
                  <w:pPr>
                    <w:spacing w:line="300" w:lineRule="exact"/>
                    <w:jc w:val="center"/>
                    <w:rPr>
                      <w:bCs/>
                      <w:szCs w:val="21"/>
                    </w:rPr>
                  </w:pPr>
                  <w:r>
                    <w:rPr>
                      <w:szCs w:val="21"/>
                    </w:rPr>
                    <w:t>邻二甲苯</w:t>
                  </w:r>
                </w:p>
              </w:tc>
              <w:tc>
                <w:tcPr>
                  <w:tcW w:w="1398" w:type="dxa"/>
                  <w:vAlign w:val="center"/>
                </w:tcPr>
                <w:p>
                  <w:pPr>
                    <w:spacing w:line="300" w:lineRule="exact"/>
                    <w:jc w:val="center"/>
                    <w:rPr>
                      <w:bCs/>
                      <w:szCs w:val="21"/>
                    </w:rPr>
                  </w:pPr>
                  <w:r>
                    <w:rPr>
                      <w:bCs/>
                      <w:szCs w:val="21"/>
                    </w:rPr>
                    <w:t>222</w:t>
                  </w:r>
                </w:p>
              </w:tc>
              <w:tc>
                <w:tcPr>
                  <w:tcW w:w="1400" w:type="dxa"/>
                  <w:vAlign w:val="center"/>
                </w:tcPr>
                <w:p>
                  <w:pPr>
                    <w:spacing w:line="300" w:lineRule="exact"/>
                    <w:jc w:val="center"/>
                    <w:rPr>
                      <w:bCs/>
                      <w:szCs w:val="21"/>
                    </w:rPr>
                  </w:pPr>
                  <w:r>
                    <w:rPr>
                      <w:bCs/>
                      <w:szCs w:val="21"/>
                    </w:rPr>
                    <w:t>640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2" w:type="dxa"/>
                  <w:gridSpan w:val="4"/>
                  <w:vAlign w:val="center"/>
                </w:tcPr>
                <w:p>
                  <w:pPr>
                    <w:spacing w:line="300" w:lineRule="exact"/>
                    <w:jc w:val="center"/>
                    <w:rPr>
                      <w:bCs/>
                      <w:szCs w:val="21"/>
                    </w:rPr>
                  </w:pPr>
                  <w:r>
                    <w:rPr>
                      <w:bCs/>
                      <w:szCs w:val="21"/>
                    </w:rPr>
                    <w:t>半挥发性有机物</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35</w:t>
                  </w:r>
                </w:p>
              </w:tc>
              <w:tc>
                <w:tcPr>
                  <w:tcW w:w="2090" w:type="dxa"/>
                  <w:vAlign w:val="center"/>
                </w:tcPr>
                <w:p>
                  <w:pPr>
                    <w:spacing w:line="300" w:lineRule="exact"/>
                    <w:jc w:val="center"/>
                    <w:rPr>
                      <w:bCs/>
                      <w:szCs w:val="21"/>
                    </w:rPr>
                  </w:pPr>
                  <w:r>
                    <w:rPr>
                      <w:szCs w:val="21"/>
                    </w:rPr>
                    <w:t>硝基苯</w:t>
                  </w:r>
                </w:p>
              </w:tc>
              <w:tc>
                <w:tcPr>
                  <w:tcW w:w="1398" w:type="dxa"/>
                  <w:vAlign w:val="center"/>
                </w:tcPr>
                <w:p>
                  <w:pPr>
                    <w:spacing w:line="300" w:lineRule="exact"/>
                    <w:jc w:val="center"/>
                    <w:rPr>
                      <w:bCs/>
                      <w:szCs w:val="21"/>
                    </w:rPr>
                  </w:pPr>
                  <w:r>
                    <w:rPr>
                      <w:bCs/>
                      <w:szCs w:val="21"/>
                    </w:rPr>
                    <w:t>34</w:t>
                  </w:r>
                </w:p>
              </w:tc>
              <w:tc>
                <w:tcPr>
                  <w:tcW w:w="1400" w:type="dxa"/>
                  <w:vAlign w:val="center"/>
                </w:tcPr>
                <w:p>
                  <w:pPr>
                    <w:spacing w:line="300" w:lineRule="exact"/>
                    <w:jc w:val="center"/>
                    <w:rPr>
                      <w:bCs/>
                      <w:szCs w:val="21"/>
                    </w:rPr>
                  </w:pPr>
                  <w:r>
                    <w:rPr>
                      <w:bCs/>
                      <w:szCs w:val="21"/>
                    </w:rPr>
                    <w:t>76</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36</w:t>
                  </w:r>
                </w:p>
              </w:tc>
              <w:tc>
                <w:tcPr>
                  <w:tcW w:w="2090" w:type="dxa"/>
                  <w:vAlign w:val="center"/>
                </w:tcPr>
                <w:p>
                  <w:pPr>
                    <w:spacing w:line="300" w:lineRule="exact"/>
                    <w:jc w:val="center"/>
                    <w:rPr>
                      <w:bCs/>
                      <w:szCs w:val="21"/>
                    </w:rPr>
                  </w:pPr>
                  <w:r>
                    <w:rPr>
                      <w:szCs w:val="21"/>
                    </w:rPr>
                    <w:t>苯胺</w:t>
                  </w:r>
                </w:p>
              </w:tc>
              <w:tc>
                <w:tcPr>
                  <w:tcW w:w="1398" w:type="dxa"/>
                  <w:vAlign w:val="center"/>
                </w:tcPr>
                <w:p>
                  <w:pPr>
                    <w:spacing w:line="300" w:lineRule="exact"/>
                    <w:jc w:val="center"/>
                    <w:rPr>
                      <w:bCs/>
                      <w:szCs w:val="21"/>
                    </w:rPr>
                  </w:pPr>
                  <w:r>
                    <w:rPr>
                      <w:bCs/>
                      <w:szCs w:val="21"/>
                    </w:rPr>
                    <w:t>92</w:t>
                  </w:r>
                </w:p>
              </w:tc>
              <w:tc>
                <w:tcPr>
                  <w:tcW w:w="1400" w:type="dxa"/>
                  <w:vAlign w:val="center"/>
                </w:tcPr>
                <w:p>
                  <w:pPr>
                    <w:spacing w:line="300" w:lineRule="exact"/>
                    <w:jc w:val="center"/>
                    <w:rPr>
                      <w:bCs/>
                      <w:szCs w:val="21"/>
                    </w:rPr>
                  </w:pPr>
                  <w:r>
                    <w:rPr>
                      <w:bCs/>
                      <w:szCs w:val="21"/>
                    </w:rPr>
                    <w:t>260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37</w:t>
                  </w:r>
                </w:p>
              </w:tc>
              <w:tc>
                <w:tcPr>
                  <w:tcW w:w="2090" w:type="dxa"/>
                  <w:vAlign w:val="center"/>
                </w:tcPr>
                <w:p>
                  <w:pPr>
                    <w:spacing w:line="300" w:lineRule="exact"/>
                    <w:jc w:val="center"/>
                    <w:rPr>
                      <w:bCs/>
                      <w:szCs w:val="21"/>
                    </w:rPr>
                  </w:pPr>
                  <w:r>
                    <w:rPr>
                      <w:szCs w:val="21"/>
                    </w:rPr>
                    <w:t>2-氯酚</w:t>
                  </w:r>
                </w:p>
              </w:tc>
              <w:tc>
                <w:tcPr>
                  <w:tcW w:w="1398" w:type="dxa"/>
                  <w:vAlign w:val="center"/>
                </w:tcPr>
                <w:p>
                  <w:pPr>
                    <w:spacing w:line="300" w:lineRule="exact"/>
                    <w:jc w:val="center"/>
                    <w:rPr>
                      <w:bCs/>
                      <w:szCs w:val="21"/>
                    </w:rPr>
                  </w:pPr>
                  <w:r>
                    <w:rPr>
                      <w:bCs/>
                      <w:szCs w:val="21"/>
                    </w:rPr>
                    <w:t>250</w:t>
                  </w:r>
                </w:p>
              </w:tc>
              <w:tc>
                <w:tcPr>
                  <w:tcW w:w="1400" w:type="dxa"/>
                  <w:vAlign w:val="center"/>
                </w:tcPr>
                <w:p>
                  <w:pPr>
                    <w:spacing w:line="300" w:lineRule="exact"/>
                    <w:jc w:val="center"/>
                    <w:rPr>
                      <w:bCs/>
                      <w:szCs w:val="21"/>
                    </w:rPr>
                  </w:pPr>
                  <w:r>
                    <w:rPr>
                      <w:bCs/>
                      <w:szCs w:val="21"/>
                    </w:rPr>
                    <w:t>2256</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38</w:t>
                  </w:r>
                </w:p>
              </w:tc>
              <w:tc>
                <w:tcPr>
                  <w:tcW w:w="2090" w:type="dxa"/>
                  <w:vAlign w:val="center"/>
                </w:tcPr>
                <w:p>
                  <w:pPr>
                    <w:spacing w:line="300" w:lineRule="exact"/>
                    <w:jc w:val="center"/>
                    <w:rPr>
                      <w:bCs/>
                      <w:szCs w:val="21"/>
                    </w:rPr>
                  </w:pPr>
                  <w:r>
                    <w:rPr>
                      <w:szCs w:val="21"/>
                    </w:rPr>
                    <w:t>苯并[a]蒽</w:t>
                  </w:r>
                </w:p>
              </w:tc>
              <w:tc>
                <w:tcPr>
                  <w:tcW w:w="1398" w:type="dxa"/>
                  <w:vAlign w:val="center"/>
                </w:tcPr>
                <w:p>
                  <w:pPr>
                    <w:spacing w:line="300" w:lineRule="exact"/>
                    <w:jc w:val="center"/>
                    <w:rPr>
                      <w:bCs/>
                      <w:szCs w:val="21"/>
                    </w:rPr>
                  </w:pPr>
                  <w:r>
                    <w:rPr>
                      <w:bCs/>
                      <w:szCs w:val="21"/>
                    </w:rPr>
                    <w:t>5.5</w:t>
                  </w:r>
                </w:p>
              </w:tc>
              <w:tc>
                <w:tcPr>
                  <w:tcW w:w="1400" w:type="dxa"/>
                  <w:vAlign w:val="center"/>
                </w:tcPr>
                <w:p>
                  <w:pPr>
                    <w:spacing w:line="300" w:lineRule="exact"/>
                    <w:jc w:val="center"/>
                    <w:rPr>
                      <w:bCs/>
                      <w:szCs w:val="21"/>
                    </w:rPr>
                  </w:pPr>
                  <w:r>
                    <w:rPr>
                      <w:bCs/>
                      <w:szCs w:val="21"/>
                    </w:rPr>
                    <w:t>15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39</w:t>
                  </w:r>
                </w:p>
              </w:tc>
              <w:tc>
                <w:tcPr>
                  <w:tcW w:w="2090" w:type="dxa"/>
                  <w:vAlign w:val="center"/>
                </w:tcPr>
                <w:p>
                  <w:pPr>
                    <w:spacing w:line="300" w:lineRule="exact"/>
                    <w:jc w:val="center"/>
                    <w:rPr>
                      <w:bCs/>
                      <w:szCs w:val="21"/>
                    </w:rPr>
                  </w:pPr>
                  <w:r>
                    <w:rPr>
                      <w:szCs w:val="21"/>
                    </w:rPr>
                    <w:t>苯并[a]芘</w:t>
                  </w:r>
                </w:p>
              </w:tc>
              <w:tc>
                <w:tcPr>
                  <w:tcW w:w="1398" w:type="dxa"/>
                  <w:vAlign w:val="center"/>
                </w:tcPr>
                <w:p>
                  <w:pPr>
                    <w:spacing w:line="300" w:lineRule="exact"/>
                    <w:jc w:val="center"/>
                    <w:rPr>
                      <w:bCs/>
                      <w:szCs w:val="21"/>
                    </w:rPr>
                  </w:pPr>
                  <w:r>
                    <w:rPr>
                      <w:bCs/>
                      <w:szCs w:val="21"/>
                    </w:rPr>
                    <w:t>0.55</w:t>
                  </w:r>
                </w:p>
              </w:tc>
              <w:tc>
                <w:tcPr>
                  <w:tcW w:w="1400" w:type="dxa"/>
                  <w:vAlign w:val="center"/>
                </w:tcPr>
                <w:p>
                  <w:pPr>
                    <w:spacing w:line="300" w:lineRule="exact"/>
                    <w:jc w:val="center"/>
                    <w:rPr>
                      <w:bCs/>
                      <w:szCs w:val="21"/>
                    </w:rPr>
                  </w:pPr>
                  <w:r>
                    <w:rPr>
                      <w:bCs/>
                      <w:szCs w:val="21"/>
                    </w:rPr>
                    <w:t>1.5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40</w:t>
                  </w:r>
                </w:p>
              </w:tc>
              <w:tc>
                <w:tcPr>
                  <w:tcW w:w="2090" w:type="dxa"/>
                  <w:vAlign w:val="center"/>
                </w:tcPr>
                <w:p>
                  <w:pPr>
                    <w:spacing w:line="300" w:lineRule="exact"/>
                    <w:jc w:val="center"/>
                    <w:rPr>
                      <w:bCs/>
                      <w:szCs w:val="21"/>
                    </w:rPr>
                  </w:pPr>
                  <w:r>
                    <w:rPr>
                      <w:szCs w:val="21"/>
                    </w:rPr>
                    <w:t>苯并[b]荧蒽</w:t>
                  </w:r>
                </w:p>
              </w:tc>
              <w:tc>
                <w:tcPr>
                  <w:tcW w:w="1398" w:type="dxa"/>
                  <w:vAlign w:val="center"/>
                </w:tcPr>
                <w:p>
                  <w:pPr>
                    <w:spacing w:line="300" w:lineRule="exact"/>
                    <w:jc w:val="center"/>
                    <w:rPr>
                      <w:bCs/>
                      <w:szCs w:val="21"/>
                    </w:rPr>
                  </w:pPr>
                  <w:r>
                    <w:rPr>
                      <w:bCs/>
                      <w:szCs w:val="21"/>
                    </w:rPr>
                    <w:t>5.5</w:t>
                  </w:r>
                </w:p>
              </w:tc>
              <w:tc>
                <w:tcPr>
                  <w:tcW w:w="1400" w:type="dxa"/>
                  <w:vAlign w:val="center"/>
                </w:tcPr>
                <w:p>
                  <w:pPr>
                    <w:spacing w:line="300" w:lineRule="exact"/>
                    <w:jc w:val="center"/>
                    <w:rPr>
                      <w:bCs/>
                      <w:szCs w:val="21"/>
                    </w:rPr>
                  </w:pPr>
                  <w:r>
                    <w:rPr>
                      <w:bCs/>
                      <w:szCs w:val="21"/>
                    </w:rPr>
                    <w:t>15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41</w:t>
                  </w:r>
                </w:p>
              </w:tc>
              <w:tc>
                <w:tcPr>
                  <w:tcW w:w="2090" w:type="dxa"/>
                  <w:vAlign w:val="center"/>
                </w:tcPr>
                <w:p>
                  <w:pPr>
                    <w:spacing w:line="300" w:lineRule="exact"/>
                    <w:jc w:val="center"/>
                    <w:rPr>
                      <w:bCs/>
                      <w:szCs w:val="21"/>
                    </w:rPr>
                  </w:pPr>
                  <w:r>
                    <w:rPr>
                      <w:szCs w:val="21"/>
                    </w:rPr>
                    <w:t>苯并[k]荧蒽</w:t>
                  </w:r>
                </w:p>
              </w:tc>
              <w:tc>
                <w:tcPr>
                  <w:tcW w:w="1398" w:type="dxa"/>
                  <w:vAlign w:val="center"/>
                </w:tcPr>
                <w:p>
                  <w:pPr>
                    <w:spacing w:line="300" w:lineRule="exact"/>
                    <w:jc w:val="center"/>
                    <w:rPr>
                      <w:bCs/>
                      <w:szCs w:val="21"/>
                    </w:rPr>
                  </w:pPr>
                  <w:r>
                    <w:rPr>
                      <w:bCs/>
                      <w:szCs w:val="21"/>
                    </w:rPr>
                    <w:t>55</w:t>
                  </w:r>
                </w:p>
              </w:tc>
              <w:tc>
                <w:tcPr>
                  <w:tcW w:w="1400" w:type="dxa"/>
                  <w:vAlign w:val="center"/>
                </w:tcPr>
                <w:p>
                  <w:pPr>
                    <w:spacing w:line="300" w:lineRule="exact"/>
                    <w:jc w:val="center"/>
                    <w:rPr>
                      <w:bCs/>
                      <w:szCs w:val="21"/>
                    </w:rPr>
                  </w:pPr>
                  <w:r>
                    <w:rPr>
                      <w:bCs/>
                      <w:szCs w:val="21"/>
                    </w:rPr>
                    <w:t>151</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42</w:t>
                  </w:r>
                </w:p>
              </w:tc>
              <w:tc>
                <w:tcPr>
                  <w:tcW w:w="2090" w:type="dxa"/>
                  <w:vAlign w:val="center"/>
                </w:tcPr>
                <w:p>
                  <w:pPr>
                    <w:spacing w:line="300" w:lineRule="exact"/>
                    <w:jc w:val="center"/>
                    <w:rPr>
                      <w:bCs/>
                      <w:szCs w:val="21"/>
                    </w:rPr>
                  </w:pPr>
                  <w:r>
                    <w:rPr>
                      <w:szCs w:val="21"/>
                    </w:rPr>
                    <w:t>䓛</w:t>
                  </w:r>
                </w:p>
              </w:tc>
              <w:tc>
                <w:tcPr>
                  <w:tcW w:w="1398" w:type="dxa"/>
                  <w:vAlign w:val="center"/>
                </w:tcPr>
                <w:p>
                  <w:pPr>
                    <w:spacing w:line="300" w:lineRule="exact"/>
                    <w:jc w:val="center"/>
                    <w:rPr>
                      <w:bCs/>
                      <w:szCs w:val="21"/>
                    </w:rPr>
                  </w:pPr>
                  <w:r>
                    <w:rPr>
                      <w:bCs/>
                      <w:szCs w:val="21"/>
                    </w:rPr>
                    <w:t>490</w:t>
                  </w:r>
                </w:p>
              </w:tc>
              <w:tc>
                <w:tcPr>
                  <w:tcW w:w="1400" w:type="dxa"/>
                  <w:vAlign w:val="center"/>
                </w:tcPr>
                <w:p>
                  <w:pPr>
                    <w:spacing w:line="300" w:lineRule="exact"/>
                    <w:jc w:val="center"/>
                    <w:rPr>
                      <w:bCs/>
                      <w:szCs w:val="21"/>
                    </w:rPr>
                  </w:pPr>
                  <w:r>
                    <w:rPr>
                      <w:bCs/>
                      <w:szCs w:val="21"/>
                    </w:rPr>
                    <w:t>1293</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43</w:t>
                  </w:r>
                </w:p>
              </w:tc>
              <w:tc>
                <w:tcPr>
                  <w:tcW w:w="2090" w:type="dxa"/>
                  <w:vAlign w:val="center"/>
                </w:tcPr>
                <w:p>
                  <w:pPr>
                    <w:spacing w:line="300" w:lineRule="exact"/>
                    <w:jc w:val="center"/>
                    <w:rPr>
                      <w:bCs/>
                      <w:szCs w:val="21"/>
                    </w:rPr>
                  </w:pPr>
                  <w:r>
                    <w:rPr>
                      <w:szCs w:val="21"/>
                    </w:rPr>
                    <w:t>二苯并[a，h]蒽</w:t>
                  </w:r>
                </w:p>
              </w:tc>
              <w:tc>
                <w:tcPr>
                  <w:tcW w:w="1398" w:type="dxa"/>
                  <w:vAlign w:val="center"/>
                </w:tcPr>
                <w:p>
                  <w:pPr>
                    <w:spacing w:line="300" w:lineRule="exact"/>
                    <w:jc w:val="center"/>
                    <w:rPr>
                      <w:bCs/>
                      <w:szCs w:val="21"/>
                    </w:rPr>
                  </w:pPr>
                  <w:r>
                    <w:rPr>
                      <w:bCs/>
                      <w:szCs w:val="21"/>
                    </w:rPr>
                    <w:t>0.55</w:t>
                  </w:r>
                </w:p>
              </w:tc>
              <w:tc>
                <w:tcPr>
                  <w:tcW w:w="1400" w:type="dxa"/>
                  <w:vAlign w:val="center"/>
                </w:tcPr>
                <w:p>
                  <w:pPr>
                    <w:spacing w:line="300" w:lineRule="exact"/>
                    <w:jc w:val="center"/>
                    <w:rPr>
                      <w:bCs/>
                      <w:szCs w:val="21"/>
                    </w:rPr>
                  </w:pPr>
                  <w:r>
                    <w:rPr>
                      <w:bCs/>
                      <w:szCs w:val="21"/>
                    </w:rPr>
                    <w:t>1.5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44</w:t>
                  </w:r>
                </w:p>
              </w:tc>
              <w:tc>
                <w:tcPr>
                  <w:tcW w:w="2090" w:type="dxa"/>
                  <w:vAlign w:val="center"/>
                </w:tcPr>
                <w:p>
                  <w:pPr>
                    <w:spacing w:line="300" w:lineRule="exact"/>
                    <w:jc w:val="center"/>
                    <w:rPr>
                      <w:bCs/>
                      <w:szCs w:val="21"/>
                    </w:rPr>
                  </w:pPr>
                  <w:r>
                    <w:rPr>
                      <w:szCs w:val="21"/>
                    </w:rPr>
                    <w:t>茚并[1,2,3-cd]芘</w:t>
                  </w:r>
                </w:p>
              </w:tc>
              <w:tc>
                <w:tcPr>
                  <w:tcW w:w="1398" w:type="dxa"/>
                  <w:vAlign w:val="center"/>
                </w:tcPr>
                <w:p>
                  <w:pPr>
                    <w:spacing w:line="300" w:lineRule="exact"/>
                    <w:jc w:val="center"/>
                    <w:rPr>
                      <w:bCs/>
                      <w:szCs w:val="21"/>
                    </w:rPr>
                  </w:pPr>
                  <w:r>
                    <w:rPr>
                      <w:bCs/>
                      <w:szCs w:val="21"/>
                    </w:rPr>
                    <w:t>5.5</w:t>
                  </w:r>
                </w:p>
              </w:tc>
              <w:tc>
                <w:tcPr>
                  <w:tcW w:w="1400" w:type="dxa"/>
                  <w:vAlign w:val="center"/>
                </w:tcPr>
                <w:p>
                  <w:pPr>
                    <w:spacing w:line="300" w:lineRule="exact"/>
                    <w:jc w:val="center"/>
                    <w:rPr>
                      <w:bCs/>
                      <w:szCs w:val="21"/>
                    </w:rPr>
                  </w:pPr>
                  <w:r>
                    <w:rPr>
                      <w:bCs/>
                      <w:szCs w:val="21"/>
                    </w:rPr>
                    <w:t>15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45</w:t>
                  </w:r>
                </w:p>
              </w:tc>
              <w:tc>
                <w:tcPr>
                  <w:tcW w:w="2090" w:type="dxa"/>
                  <w:vAlign w:val="center"/>
                </w:tcPr>
                <w:p>
                  <w:pPr>
                    <w:spacing w:line="300" w:lineRule="exact"/>
                    <w:jc w:val="center"/>
                    <w:rPr>
                      <w:bCs/>
                      <w:szCs w:val="21"/>
                    </w:rPr>
                  </w:pPr>
                  <w:r>
                    <w:rPr>
                      <w:szCs w:val="21"/>
                    </w:rPr>
                    <w:t>萘</w:t>
                  </w:r>
                </w:p>
              </w:tc>
              <w:tc>
                <w:tcPr>
                  <w:tcW w:w="1398" w:type="dxa"/>
                  <w:vAlign w:val="center"/>
                </w:tcPr>
                <w:p>
                  <w:pPr>
                    <w:spacing w:line="300" w:lineRule="exact"/>
                    <w:jc w:val="center"/>
                    <w:rPr>
                      <w:bCs/>
                      <w:szCs w:val="21"/>
                    </w:rPr>
                  </w:pPr>
                  <w:r>
                    <w:rPr>
                      <w:bCs/>
                      <w:szCs w:val="21"/>
                    </w:rPr>
                    <w:t>25</w:t>
                  </w:r>
                </w:p>
              </w:tc>
              <w:tc>
                <w:tcPr>
                  <w:tcW w:w="1400" w:type="dxa"/>
                  <w:vAlign w:val="center"/>
                </w:tcPr>
                <w:p>
                  <w:pPr>
                    <w:spacing w:line="300" w:lineRule="exact"/>
                    <w:jc w:val="center"/>
                    <w:rPr>
                      <w:bCs/>
                      <w:szCs w:val="21"/>
                    </w:rPr>
                  </w:pPr>
                  <w:r>
                    <w:rPr>
                      <w:bCs/>
                      <w:szCs w:val="21"/>
                    </w:rPr>
                    <w:t>70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2" w:type="dxa"/>
                  <w:gridSpan w:val="4"/>
                  <w:vAlign w:val="center"/>
                </w:tcPr>
                <w:p>
                  <w:pPr>
                    <w:spacing w:line="300" w:lineRule="exact"/>
                    <w:jc w:val="center"/>
                    <w:rPr>
                      <w:bCs/>
                      <w:szCs w:val="21"/>
                    </w:rPr>
                  </w:pPr>
                  <w:r>
                    <w:rPr>
                      <w:bCs/>
                      <w:szCs w:val="21"/>
                    </w:rPr>
                    <w:t>重金属和无机物</w:t>
                  </w:r>
                </w:p>
              </w:tc>
              <w:tc>
                <w:tcPr>
                  <w:tcW w:w="2454" w:type="dxa"/>
                  <w:vMerge w:val="restart"/>
                  <w:vAlign w:val="center"/>
                </w:tcPr>
                <w:p>
                  <w:pPr>
                    <w:spacing w:line="300" w:lineRule="exact"/>
                    <w:jc w:val="center"/>
                    <w:rPr>
                      <w:bCs/>
                      <w:szCs w:val="21"/>
                    </w:rPr>
                  </w:pPr>
                  <w:r>
                    <w:rPr>
                      <w:bCs/>
                      <w:szCs w:val="21"/>
                    </w:rPr>
                    <w:t>《土壤环境质量建设用地土壤污染风险管控标准》（GB36600-2018）表2中第二类用地筛选值标准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46</w:t>
                  </w:r>
                </w:p>
              </w:tc>
              <w:tc>
                <w:tcPr>
                  <w:tcW w:w="2090" w:type="dxa"/>
                  <w:vAlign w:val="center"/>
                </w:tcPr>
                <w:p>
                  <w:pPr>
                    <w:spacing w:line="300" w:lineRule="exact"/>
                    <w:jc w:val="center"/>
                    <w:rPr>
                      <w:bCs/>
                      <w:szCs w:val="21"/>
                    </w:rPr>
                  </w:pPr>
                  <w:r>
                    <w:rPr>
                      <w:szCs w:val="21"/>
                    </w:rPr>
                    <w:t>锑</w:t>
                  </w:r>
                </w:p>
              </w:tc>
              <w:tc>
                <w:tcPr>
                  <w:tcW w:w="1398" w:type="dxa"/>
                  <w:vAlign w:val="center"/>
                </w:tcPr>
                <w:p>
                  <w:pPr>
                    <w:spacing w:line="300" w:lineRule="exact"/>
                    <w:jc w:val="center"/>
                    <w:rPr>
                      <w:bCs/>
                      <w:szCs w:val="21"/>
                    </w:rPr>
                  </w:pPr>
                  <w:r>
                    <w:rPr>
                      <w:bCs/>
                      <w:szCs w:val="21"/>
                    </w:rPr>
                    <w:t>20</w:t>
                  </w:r>
                </w:p>
              </w:tc>
              <w:tc>
                <w:tcPr>
                  <w:tcW w:w="1400" w:type="dxa"/>
                  <w:vAlign w:val="center"/>
                </w:tcPr>
                <w:p>
                  <w:pPr>
                    <w:spacing w:line="300" w:lineRule="exact"/>
                    <w:jc w:val="center"/>
                    <w:rPr>
                      <w:bCs/>
                      <w:szCs w:val="21"/>
                    </w:rPr>
                  </w:pPr>
                  <w:r>
                    <w:rPr>
                      <w:bCs/>
                      <w:szCs w:val="21"/>
                    </w:rPr>
                    <w:t>180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47</w:t>
                  </w:r>
                </w:p>
              </w:tc>
              <w:tc>
                <w:tcPr>
                  <w:tcW w:w="2090" w:type="dxa"/>
                  <w:vAlign w:val="center"/>
                </w:tcPr>
                <w:p>
                  <w:pPr>
                    <w:spacing w:line="300" w:lineRule="exact"/>
                    <w:jc w:val="center"/>
                    <w:rPr>
                      <w:bCs/>
                      <w:szCs w:val="21"/>
                    </w:rPr>
                  </w:pPr>
                  <w:r>
                    <w:rPr>
                      <w:szCs w:val="21"/>
                    </w:rPr>
                    <w:t>钴</w:t>
                  </w:r>
                </w:p>
              </w:tc>
              <w:tc>
                <w:tcPr>
                  <w:tcW w:w="1398" w:type="dxa"/>
                  <w:vAlign w:val="center"/>
                </w:tcPr>
                <w:p>
                  <w:pPr>
                    <w:spacing w:line="300" w:lineRule="exact"/>
                    <w:jc w:val="center"/>
                    <w:rPr>
                      <w:bCs/>
                      <w:szCs w:val="21"/>
                    </w:rPr>
                  </w:pPr>
                  <w:r>
                    <w:rPr>
                      <w:bCs/>
                      <w:szCs w:val="21"/>
                    </w:rPr>
                    <w:t>20</w:t>
                  </w:r>
                </w:p>
              </w:tc>
              <w:tc>
                <w:tcPr>
                  <w:tcW w:w="1400" w:type="dxa"/>
                  <w:vAlign w:val="center"/>
                </w:tcPr>
                <w:p>
                  <w:pPr>
                    <w:spacing w:line="300" w:lineRule="exact"/>
                    <w:jc w:val="center"/>
                    <w:rPr>
                      <w:bCs/>
                      <w:szCs w:val="21"/>
                    </w:rPr>
                  </w:pPr>
                  <w:r>
                    <w:rPr>
                      <w:bCs/>
                      <w:szCs w:val="21"/>
                    </w:rPr>
                    <w:t>70</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48</w:t>
                  </w:r>
                </w:p>
              </w:tc>
              <w:tc>
                <w:tcPr>
                  <w:tcW w:w="2090" w:type="dxa"/>
                  <w:vAlign w:val="center"/>
                </w:tcPr>
                <w:p>
                  <w:pPr>
                    <w:spacing w:line="300" w:lineRule="exact"/>
                    <w:jc w:val="center"/>
                    <w:rPr>
                      <w:bCs/>
                      <w:szCs w:val="21"/>
                    </w:rPr>
                  </w:pPr>
                  <w:r>
                    <w:rPr>
                      <w:szCs w:val="21"/>
                    </w:rPr>
                    <w:t>钒</w:t>
                  </w:r>
                </w:p>
              </w:tc>
              <w:tc>
                <w:tcPr>
                  <w:tcW w:w="1398" w:type="dxa"/>
                  <w:vAlign w:val="center"/>
                </w:tcPr>
                <w:p>
                  <w:pPr>
                    <w:spacing w:line="300" w:lineRule="exact"/>
                    <w:jc w:val="center"/>
                    <w:rPr>
                      <w:bCs/>
                      <w:szCs w:val="21"/>
                    </w:rPr>
                  </w:pPr>
                  <w:r>
                    <w:rPr>
                      <w:bCs/>
                      <w:szCs w:val="21"/>
                    </w:rPr>
                    <w:t>165</w:t>
                  </w:r>
                </w:p>
              </w:tc>
              <w:tc>
                <w:tcPr>
                  <w:tcW w:w="1400" w:type="dxa"/>
                  <w:vAlign w:val="center"/>
                </w:tcPr>
                <w:p>
                  <w:pPr>
                    <w:spacing w:line="300" w:lineRule="exact"/>
                    <w:jc w:val="center"/>
                    <w:rPr>
                      <w:bCs/>
                      <w:szCs w:val="21"/>
                    </w:rPr>
                  </w:pPr>
                  <w:r>
                    <w:rPr>
                      <w:bCs/>
                      <w:szCs w:val="21"/>
                    </w:rPr>
                    <w:t>752</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49</w:t>
                  </w:r>
                </w:p>
              </w:tc>
              <w:tc>
                <w:tcPr>
                  <w:tcW w:w="2090" w:type="dxa"/>
                  <w:vAlign w:val="center"/>
                </w:tcPr>
                <w:p>
                  <w:pPr>
                    <w:spacing w:line="300" w:lineRule="exact"/>
                    <w:jc w:val="center"/>
                    <w:rPr>
                      <w:bCs/>
                      <w:szCs w:val="21"/>
                    </w:rPr>
                  </w:pPr>
                  <w:r>
                    <w:rPr>
                      <w:szCs w:val="21"/>
                    </w:rPr>
                    <w:t>氰化物</w:t>
                  </w:r>
                </w:p>
              </w:tc>
              <w:tc>
                <w:tcPr>
                  <w:tcW w:w="1398" w:type="dxa"/>
                  <w:vAlign w:val="center"/>
                </w:tcPr>
                <w:p>
                  <w:pPr>
                    <w:spacing w:line="300" w:lineRule="exact"/>
                    <w:jc w:val="center"/>
                    <w:rPr>
                      <w:bCs/>
                      <w:szCs w:val="21"/>
                    </w:rPr>
                  </w:pPr>
                  <w:r>
                    <w:rPr>
                      <w:bCs/>
                      <w:szCs w:val="21"/>
                    </w:rPr>
                    <w:t>22</w:t>
                  </w:r>
                </w:p>
              </w:tc>
              <w:tc>
                <w:tcPr>
                  <w:tcW w:w="1400" w:type="dxa"/>
                  <w:vAlign w:val="center"/>
                </w:tcPr>
                <w:p>
                  <w:pPr>
                    <w:spacing w:line="300" w:lineRule="exact"/>
                    <w:jc w:val="center"/>
                    <w:rPr>
                      <w:bCs/>
                      <w:szCs w:val="21"/>
                    </w:rPr>
                  </w:pPr>
                  <w:r>
                    <w:rPr>
                      <w:bCs/>
                      <w:szCs w:val="21"/>
                    </w:rPr>
                    <w:t>135</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22" w:type="dxa"/>
                  <w:gridSpan w:val="4"/>
                  <w:vAlign w:val="center"/>
                </w:tcPr>
                <w:p>
                  <w:pPr>
                    <w:spacing w:line="300" w:lineRule="exact"/>
                    <w:jc w:val="center"/>
                    <w:rPr>
                      <w:bCs/>
                      <w:szCs w:val="21"/>
                    </w:rPr>
                  </w:pPr>
                  <w:r>
                    <w:rPr>
                      <w:bCs/>
                      <w:szCs w:val="21"/>
                    </w:rPr>
                    <w:t>其他</w:t>
                  </w:r>
                </w:p>
              </w:tc>
              <w:tc>
                <w:tcPr>
                  <w:tcW w:w="2454"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00" w:lineRule="exact"/>
                    <w:jc w:val="center"/>
                    <w:rPr>
                      <w:bCs/>
                      <w:szCs w:val="21"/>
                    </w:rPr>
                  </w:pPr>
                  <w:r>
                    <w:rPr>
                      <w:bCs/>
                      <w:szCs w:val="21"/>
                    </w:rPr>
                    <w:t>50</w:t>
                  </w:r>
                </w:p>
              </w:tc>
              <w:tc>
                <w:tcPr>
                  <w:tcW w:w="2090" w:type="dxa"/>
                  <w:vAlign w:val="center"/>
                </w:tcPr>
                <w:p>
                  <w:pPr>
                    <w:spacing w:line="300" w:lineRule="exact"/>
                    <w:jc w:val="center"/>
                    <w:rPr>
                      <w:szCs w:val="21"/>
                    </w:rPr>
                  </w:pPr>
                  <w:r>
                    <w:rPr>
                      <w:szCs w:val="21"/>
                    </w:rPr>
                    <w:t>石油烃（C</w:t>
                  </w:r>
                  <w:r>
                    <w:rPr>
                      <w:szCs w:val="21"/>
                      <w:vertAlign w:val="subscript"/>
                    </w:rPr>
                    <w:t>10</w:t>
                  </w:r>
                  <w:r>
                    <w:rPr>
                      <w:szCs w:val="21"/>
                    </w:rPr>
                    <w:t>-C</w:t>
                  </w:r>
                  <w:r>
                    <w:rPr>
                      <w:szCs w:val="21"/>
                      <w:vertAlign w:val="subscript"/>
                    </w:rPr>
                    <w:t>40</w:t>
                  </w:r>
                  <w:r>
                    <w:rPr>
                      <w:szCs w:val="21"/>
                    </w:rPr>
                    <w:t>）</w:t>
                  </w:r>
                </w:p>
              </w:tc>
              <w:tc>
                <w:tcPr>
                  <w:tcW w:w="1398" w:type="dxa"/>
                  <w:vAlign w:val="center"/>
                </w:tcPr>
                <w:p>
                  <w:pPr>
                    <w:spacing w:line="300" w:lineRule="exact"/>
                    <w:jc w:val="center"/>
                    <w:rPr>
                      <w:bCs/>
                      <w:szCs w:val="21"/>
                    </w:rPr>
                  </w:pPr>
                  <w:r>
                    <w:rPr>
                      <w:bCs/>
                      <w:szCs w:val="21"/>
                    </w:rPr>
                    <w:t>826</w:t>
                  </w:r>
                </w:p>
              </w:tc>
              <w:tc>
                <w:tcPr>
                  <w:tcW w:w="1400" w:type="dxa"/>
                  <w:vAlign w:val="center"/>
                </w:tcPr>
                <w:p>
                  <w:pPr>
                    <w:spacing w:line="300" w:lineRule="exact"/>
                    <w:jc w:val="center"/>
                    <w:rPr>
                      <w:bCs/>
                      <w:szCs w:val="21"/>
                    </w:rPr>
                  </w:pPr>
                  <w:r>
                    <w:rPr>
                      <w:bCs/>
                      <w:szCs w:val="21"/>
                    </w:rPr>
                    <w:t>4500</w:t>
                  </w:r>
                </w:p>
              </w:tc>
              <w:tc>
                <w:tcPr>
                  <w:tcW w:w="2454" w:type="dxa"/>
                  <w:vMerge w:val="continue"/>
                  <w:vAlign w:val="center"/>
                </w:tcPr>
                <w:p>
                  <w:pPr>
                    <w:spacing w:line="300" w:lineRule="exact"/>
                    <w:jc w:val="center"/>
                    <w:rPr>
                      <w:bCs/>
                      <w:szCs w:val="21"/>
                    </w:rPr>
                  </w:pPr>
                </w:p>
              </w:tc>
            </w:tr>
          </w:tbl>
          <w:p>
            <w:pPr>
              <w:pStyle w:val="15"/>
              <w:spacing w:after="0"/>
              <w:ind w:left="0" w:leftChars="0"/>
              <w:jc w:val="center"/>
            </w:pPr>
            <w:r>
              <w:rPr>
                <w:bCs/>
              </w:rPr>
              <w:t>表3-</w:t>
            </w:r>
            <w:r>
              <w:rPr>
                <w:rFonts w:hint="eastAsia"/>
                <w:bCs/>
                <w:lang w:val="en-US" w:eastAsia="zh-CN"/>
              </w:rPr>
              <w:t>13</w:t>
            </w:r>
            <w:r>
              <w:rPr>
                <w:bCs/>
              </w:rPr>
              <w:t>农用地用地土壤污染风险管控标准单位：mg/kg</w:t>
            </w:r>
          </w:p>
          <w:tbl>
            <w:tblPr>
              <w:tblStyle w:val="23"/>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9"/>
              <w:gridCol w:w="943"/>
              <w:gridCol w:w="1346"/>
              <w:gridCol w:w="1616"/>
              <w:gridCol w:w="137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序号</w:t>
                  </w:r>
                </w:p>
              </w:tc>
              <w:tc>
                <w:tcPr>
                  <w:tcW w:w="1752" w:type="dxa"/>
                  <w:gridSpan w:val="2"/>
                  <w:vMerge w:val="restart"/>
                  <w:vAlign w:val="center"/>
                </w:tcPr>
                <w:p>
                  <w:pPr>
                    <w:spacing w:line="300" w:lineRule="exact"/>
                    <w:jc w:val="center"/>
                    <w:rPr>
                      <w:bCs/>
                      <w:szCs w:val="21"/>
                    </w:rPr>
                  </w:pPr>
                  <w:r>
                    <w:rPr>
                      <w:bCs/>
                      <w:szCs w:val="21"/>
                    </w:rPr>
                    <w:t>污染物项目</w:t>
                  </w:r>
                </w:p>
              </w:tc>
              <w:tc>
                <w:tcPr>
                  <w:tcW w:w="5522" w:type="dxa"/>
                  <w:gridSpan w:val="4"/>
                  <w:vAlign w:val="center"/>
                </w:tcPr>
                <w:p>
                  <w:pPr>
                    <w:spacing w:line="300" w:lineRule="exact"/>
                    <w:jc w:val="center"/>
                    <w:rPr>
                      <w:bCs/>
                      <w:szCs w:val="21"/>
                    </w:rPr>
                  </w:pPr>
                  <w:r>
                    <w:rPr>
                      <w:bCs/>
                      <w:szCs w:val="21"/>
                    </w:rPr>
                    <w:t>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1752" w:type="dxa"/>
                  <w:gridSpan w:val="2"/>
                  <w:vMerge w:val="continue"/>
                  <w:vAlign w:val="center"/>
                </w:tcPr>
                <w:p>
                  <w:pPr>
                    <w:spacing w:line="300" w:lineRule="exact"/>
                    <w:jc w:val="center"/>
                    <w:rPr>
                      <w:bCs/>
                      <w:szCs w:val="21"/>
                    </w:rPr>
                  </w:pPr>
                </w:p>
              </w:tc>
              <w:tc>
                <w:tcPr>
                  <w:tcW w:w="1346" w:type="dxa"/>
                  <w:vAlign w:val="center"/>
                </w:tcPr>
                <w:p>
                  <w:pPr>
                    <w:spacing w:line="300" w:lineRule="exact"/>
                    <w:jc w:val="center"/>
                    <w:rPr>
                      <w:bCs/>
                      <w:szCs w:val="21"/>
                    </w:rPr>
                  </w:pPr>
                  <w:r>
                    <w:rPr>
                      <w:bCs/>
                      <w:szCs w:val="21"/>
                    </w:rPr>
                    <w:t>pH≤5.5</w:t>
                  </w:r>
                </w:p>
              </w:tc>
              <w:tc>
                <w:tcPr>
                  <w:tcW w:w="1616" w:type="dxa"/>
                  <w:vAlign w:val="center"/>
                </w:tcPr>
                <w:p>
                  <w:pPr>
                    <w:spacing w:line="300" w:lineRule="exact"/>
                    <w:jc w:val="center"/>
                    <w:rPr>
                      <w:bCs/>
                      <w:szCs w:val="21"/>
                    </w:rPr>
                  </w:pPr>
                  <w:r>
                    <w:rPr>
                      <w:bCs/>
                      <w:szCs w:val="21"/>
                    </w:rPr>
                    <w:t>5.5＜pH≤6.5</w:t>
                  </w:r>
                </w:p>
              </w:tc>
              <w:tc>
                <w:tcPr>
                  <w:tcW w:w="1373" w:type="dxa"/>
                  <w:vAlign w:val="center"/>
                </w:tcPr>
                <w:p>
                  <w:pPr>
                    <w:spacing w:line="300" w:lineRule="exact"/>
                    <w:jc w:val="center"/>
                    <w:rPr>
                      <w:bCs/>
                      <w:szCs w:val="21"/>
                    </w:rPr>
                  </w:pPr>
                  <w:r>
                    <w:rPr>
                      <w:bCs/>
                      <w:szCs w:val="21"/>
                    </w:rPr>
                    <w:t>6.5＜pH≤7.5</w:t>
                  </w:r>
                </w:p>
              </w:tc>
              <w:tc>
                <w:tcPr>
                  <w:tcW w:w="1187" w:type="dxa"/>
                  <w:vAlign w:val="center"/>
                </w:tcPr>
                <w:p>
                  <w:pPr>
                    <w:spacing w:line="300" w:lineRule="exact"/>
                    <w:jc w:val="center"/>
                    <w:rPr>
                      <w:bCs/>
                      <w:szCs w:val="21"/>
                    </w:rPr>
                  </w:pPr>
                  <w:r>
                    <w:rPr>
                      <w:bCs/>
                      <w:szCs w:val="21"/>
                    </w:rPr>
                    <w:t>pH＞7.5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1</w:t>
                  </w:r>
                </w:p>
              </w:tc>
              <w:tc>
                <w:tcPr>
                  <w:tcW w:w="809" w:type="dxa"/>
                  <w:vMerge w:val="restart"/>
                  <w:vAlign w:val="center"/>
                </w:tcPr>
                <w:p>
                  <w:pPr>
                    <w:spacing w:line="300" w:lineRule="exact"/>
                    <w:jc w:val="center"/>
                    <w:rPr>
                      <w:bCs/>
                      <w:szCs w:val="21"/>
                    </w:rPr>
                  </w:pPr>
                  <w:r>
                    <w:rPr>
                      <w:szCs w:val="21"/>
                    </w:rPr>
                    <w:t>镉</w:t>
                  </w:r>
                </w:p>
              </w:tc>
              <w:tc>
                <w:tcPr>
                  <w:tcW w:w="943" w:type="dxa"/>
                  <w:vAlign w:val="center"/>
                </w:tcPr>
                <w:p>
                  <w:pPr>
                    <w:spacing w:line="300" w:lineRule="exact"/>
                    <w:jc w:val="center"/>
                    <w:rPr>
                      <w:bCs/>
                      <w:szCs w:val="21"/>
                    </w:rPr>
                  </w:pPr>
                  <w:r>
                    <w:rPr>
                      <w:bCs/>
                      <w:szCs w:val="21"/>
                    </w:rPr>
                    <w:t>水田</w:t>
                  </w:r>
                </w:p>
              </w:tc>
              <w:tc>
                <w:tcPr>
                  <w:tcW w:w="1346" w:type="dxa"/>
                  <w:vAlign w:val="center"/>
                </w:tcPr>
                <w:p>
                  <w:pPr>
                    <w:spacing w:line="300" w:lineRule="exact"/>
                    <w:jc w:val="center"/>
                    <w:rPr>
                      <w:bCs/>
                      <w:szCs w:val="21"/>
                    </w:rPr>
                  </w:pPr>
                  <w:r>
                    <w:rPr>
                      <w:bCs/>
                      <w:szCs w:val="21"/>
                    </w:rPr>
                    <w:t>0.3</w:t>
                  </w:r>
                </w:p>
              </w:tc>
              <w:tc>
                <w:tcPr>
                  <w:tcW w:w="1616" w:type="dxa"/>
                  <w:vAlign w:val="center"/>
                </w:tcPr>
                <w:p>
                  <w:pPr>
                    <w:spacing w:line="300" w:lineRule="exact"/>
                    <w:jc w:val="center"/>
                    <w:rPr>
                      <w:bCs/>
                      <w:szCs w:val="21"/>
                    </w:rPr>
                  </w:pPr>
                  <w:r>
                    <w:rPr>
                      <w:bCs/>
                      <w:szCs w:val="21"/>
                    </w:rPr>
                    <w:t>0.4</w:t>
                  </w:r>
                </w:p>
              </w:tc>
              <w:tc>
                <w:tcPr>
                  <w:tcW w:w="1373" w:type="dxa"/>
                  <w:vAlign w:val="center"/>
                </w:tcPr>
                <w:p>
                  <w:pPr>
                    <w:spacing w:line="300" w:lineRule="exact"/>
                    <w:jc w:val="center"/>
                    <w:rPr>
                      <w:bCs/>
                      <w:szCs w:val="21"/>
                    </w:rPr>
                  </w:pPr>
                  <w:r>
                    <w:rPr>
                      <w:bCs/>
                      <w:szCs w:val="21"/>
                    </w:rPr>
                    <w:t>0.6</w:t>
                  </w:r>
                </w:p>
              </w:tc>
              <w:tc>
                <w:tcPr>
                  <w:tcW w:w="1187" w:type="dxa"/>
                  <w:vAlign w:val="center"/>
                </w:tcPr>
                <w:p>
                  <w:pPr>
                    <w:spacing w:line="300" w:lineRule="exact"/>
                    <w:jc w:val="center"/>
                    <w:rPr>
                      <w:bCs/>
                      <w:szCs w:val="21"/>
                    </w:rPr>
                  </w:pPr>
                  <w:r>
                    <w:rPr>
                      <w:bCs/>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809" w:type="dxa"/>
                  <w:vMerge w:val="continue"/>
                  <w:vAlign w:val="center"/>
                </w:tcPr>
                <w:p>
                  <w:pPr>
                    <w:spacing w:line="300" w:lineRule="exact"/>
                    <w:jc w:val="center"/>
                    <w:rPr>
                      <w:bCs/>
                      <w:szCs w:val="21"/>
                    </w:rPr>
                  </w:pPr>
                </w:p>
              </w:tc>
              <w:tc>
                <w:tcPr>
                  <w:tcW w:w="943" w:type="dxa"/>
                  <w:vAlign w:val="center"/>
                </w:tcPr>
                <w:p>
                  <w:pPr>
                    <w:spacing w:line="300" w:lineRule="exact"/>
                    <w:jc w:val="center"/>
                    <w:rPr>
                      <w:bCs/>
                      <w:szCs w:val="21"/>
                    </w:rPr>
                  </w:pPr>
                  <w:r>
                    <w:rPr>
                      <w:bCs/>
                      <w:szCs w:val="21"/>
                    </w:rPr>
                    <w:t>其他</w:t>
                  </w:r>
                </w:p>
              </w:tc>
              <w:tc>
                <w:tcPr>
                  <w:tcW w:w="1346" w:type="dxa"/>
                  <w:vAlign w:val="center"/>
                </w:tcPr>
                <w:p>
                  <w:pPr>
                    <w:spacing w:line="300" w:lineRule="exact"/>
                    <w:jc w:val="center"/>
                    <w:rPr>
                      <w:bCs/>
                      <w:szCs w:val="21"/>
                    </w:rPr>
                  </w:pPr>
                  <w:r>
                    <w:rPr>
                      <w:bCs/>
                      <w:szCs w:val="21"/>
                    </w:rPr>
                    <w:t>0.3</w:t>
                  </w:r>
                </w:p>
              </w:tc>
              <w:tc>
                <w:tcPr>
                  <w:tcW w:w="1616" w:type="dxa"/>
                  <w:vAlign w:val="center"/>
                </w:tcPr>
                <w:p>
                  <w:pPr>
                    <w:spacing w:line="300" w:lineRule="exact"/>
                    <w:jc w:val="center"/>
                    <w:rPr>
                      <w:bCs/>
                      <w:szCs w:val="21"/>
                    </w:rPr>
                  </w:pPr>
                  <w:r>
                    <w:rPr>
                      <w:bCs/>
                      <w:szCs w:val="21"/>
                    </w:rPr>
                    <w:t>0.3</w:t>
                  </w:r>
                </w:p>
              </w:tc>
              <w:tc>
                <w:tcPr>
                  <w:tcW w:w="1373" w:type="dxa"/>
                  <w:vAlign w:val="center"/>
                </w:tcPr>
                <w:p>
                  <w:pPr>
                    <w:spacing w:line="300" w:lineRule="exact"/>
                    <w:jc w:val="center"/>
                    <w:rPr>
                      <w:bCs/>
                      <w:szCs w:val="21"/>
                    </w:rPr>
                  </w:pPr>
                  <w:r>
                    <w:rPr>
                      <w:bCs/>
                      <w:szCs w:val="21"/>
                    </w:rPr>
                    <w:t>0.3</w:t>
                  </w:r>
                </w:p>
              </w:tc>
              <w:tc>
                <w:tcPr>
                  <w:tcW w:w="1187" w:type="dxa"/>
                  <w:vAlign w:val="center"/>
                </w:tcPr>
                <w:p>
                  <w:pPr>
                    <w:spacing w:line="300" w:lineRule="exact"/>
                    <w:jc w:val="center"/>
                    <w:rPr>
                      <w:bCs/>
                      <w:szCs w:val="21"/>
                    </w:rPr>
                  </w:pPr>
                  <w:r>
                    <w:rPr>
                      <w:bCs/>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2</w:t>
                  </w:r>
                </w:p>
              </w:tc>
              <w:tc>
                <w:tcPr>
                  <w:tcW w:w="809" w:type="dxa"/>
                  <w:vMerge w:val="restart"/>
                  <w:vAlign w:val="center"/>
                </w:tcPr>
                <w:p>
                  <w:pPr>
                    <w:spacing w:line="300" w:lineRule="exact"/>
                    <w:jc w:val="center"/>
                    <w:rPr>
                      <w:bCs/>
                      <w:szCs w:val="21"/>
                    </w:rPr>
                  </w:pPr>
                  <w:r>
                    <w:rPr>
                      <w:szCs w:val="21"/>
                    </w:rPr>
                    <w:t>汞</w:t>
                  </w:r>
                </w:p>
              </w:tc>
              <w:tc>
                <w:tcPr>
                  <w:tcW w:w="943" w:type="dxa"/>
                  <w:vAlign w:val="center"/>
                </w:tcPr>
                <w:p>
                  <w:pPr>
                    <w:spacing w:line="300" w:lineRule="exact"/>
                    <w:jc w:val="center"/>
                    <w:rPr>
                      <w:bCs/>
                      <w:szCs w:val="21"/>
                    </w:rPr>
                  </w:pPr>
                  <w:r>
                    <w:rPr>
                      <w:bCs/>
                      <w:szCs w:val="21"/>
                    </w:rPr>
                    <w:t>水田</w:t>
                  </w:r>
                </w:p>
              </w:tc>
              <w:tc>
                <w:tcPr>
                  <w:tcW w:w="1346" w:type="dxa"/>
                  <w:vAlign w:val="center"/>
                </w:tcPr>
                <w:p>
                  <w:pPr>
                    <w:spacing w:line="300" w:lineRule="exact"/>
                    <w:jc w:val="center"/>
                    <w:rPr>
                      <w:bCs/>
                      <w:szCs w:val="21"/>
                    </w:rPr>
                  </w:pPr>
                  <w:r>
                    <w:rPr>
                      <w:bCs/>
                      <w:szCs w:val="21"/>
                    </w:rPr>
                    <w:t>0.5</w:t>
                  </w:r>
                </w:p>
              </w:tc>
              <w:tc>
                <w:tcPr>
                  <w:tcW w:w="1616" w:type="dxa"/>
                  <w:vAlign w:val="center"/>
                </w:tcPr>
                <w:p>
                  <w:pPr>
                    <w:spacing w:line="300" w:lineRule="exact"/>
                    <w:jc w:val="center"/>
                    <w:rPr>
                      <w:bCs/>
                      <w:szCs w:val="21"/>
                    </w:rPr>
                  </w:pPr>
                  <w:r>
                    <w:rPr>
                      <w:bCs/>
                      <w:szCs w:val="21"/>
                    </w:rPr>
                    <w:t>0.5</w:t>
                  </w:r>
                </w:p>
              </w:tc>
              <w:tc>
                <w:tcPr>
                  <w:tcW w:w="1373" w:type="dxa"/>
                  <w:vAlign w:val="center"/>
                </w:tcPr>
                <w:p>
                  <w:pPr>
                    <w:spacing w:line="300" w:lineRule="exact"/>
                    <w:jc w:val="center"/>
                    <w:rPr>
                      <w:bCs/>
                      <w:szCs w:val="21"/>
                    </w:rPr>
                  </w:pPr>
                  <w:r>
                    <w:rPr>
                      <w:bCs/>
                      <w:szCs w:val="21"/>
                    </w:rPr>
                    <w:t>0.6</w:t>
                  </w:r>
                </w:p>
              </w:tc>
              <w:tc>
                <w:tcPr>
                  <w:tcW w:w="1187" w:type="dxa"/>
                  <w:vAlign w:val="center"/>
                </w:tcPr>
                <w:p>
                  <w:pPr>
                    <w:spacing w:line="300" w:lineRule="exact"/>
                    <w:jc w:val="center"/>
                    <w:rPr>
                      <w:bCs/>
                      <w:szCs w:val="21"/>
                    </w:rPr>
                  </w:pPr>
                  <w:r>
                    <w:rPr>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809" w:type="dxa"/>
                  <w:vMerge w:val="continue"/>
                  <w:vAlign w:val="center"/>
                </w:tcPr>
                <w:p>
                  <w:pPr>
                    <w:spacing w:line="300" w:lineRule="exact"/>
                    <w:jc w:val="center"/>
                    <w:rPr>
                      <w:bCs/>
                      <w:szCs w:val="21"/>
                    </w:rPr>
                  </w:pPr>
                </w:p>
              </w:tc>
              <w:tc>
                <w:tcPr>
                  <w:tcW w:w="943" w:type="dxa"/>
                  <w:vAlign w:val="center"/>
                </w:tcPr>
                <w:p>
                  <w:pPr>
                    <w:spacing w:line="300" w:lineRule="exact"/>
                    <w:jc w:val="center"/>
                    <w:rPr>
                      <w:bCs/>
                      <w:szCs w:val="21"/>
                    </w:rPr>
                  </w:pPr>
                  <w:r>
                    <w:rPr>
                      <w:bCs/>
                      <w:szCs w:val="21"/>
                    </w:rPr>
                    <w:t>其他</w:t>
                  </w:r>
                </w:p>
              </w:tc>
              <w:tc>
                <w:tcPr>
                  <w:tcW w:w="1346" w:type="dxa"/>
                  <w:vAlign w:val="center"/>
                </w:tcPr>
                <w:p>
                  <w:pPr>
                    <w:spacing w:line="300" w:lineRule="exact"/>
                    <w:jc w:val="center"/>
                    <w:rPr>
                      <w:bCs/>
                      <w:szCs w:val="21"/>
                    </w:rPr>
                  </w:pPr>
                  <w:r>
                    <w:rPr>
                      <w:bCs/>
                      <w:szCs w:val="21"/>
                    </w:rPr>
                    <w:t>1.3</w:t>
                  </w:r>
                </w:p>
              </w:tc>
              <w:tc>
                <w:tcPr>
                  <w:tcW w:w="1616" w:type="dxa"/>
                  <w:vAlign w:val="center"/>
                </w:tcPr>
                <w:p>
                  <w:pPr>
                    <w:spacing w:line="300" w:lineRule="exact"/>
                    <w:jc w:val="center"/>
                    <w:rPr>
                      <w:bCs/>
                      <w:szCs w:val="21"/>
                    </w:rPr>
                  </w:pPr>
                  <w:r>
                    <w:rPr>
                      <w:bCs/>
                      <w:szCs w:val="21"/>
                    </w:rPr>
                    <w:t>1.8</w:t>
                  </w:r>
                </w:p>
              </w:tc>
              <w:tc>
                <w:tcPr>
                  <w:tcW w:w="1373" w:type="dxa"/>
                  <w:vAlign w:val="center"/>
                </w:tcPr>
                <w:p>
                  <w:pPr>
                    <w:spacing w:line="300" w:lineRule="exact"/>
                    <w:jc w:val="center"/>
                    <w:rPr>
                      <w:bCs/>
                      <w:szCs w:val="21"/>
                    </w:rPr>
                  </w:pPr>
                  <w:r>
                    <w:rPr>
                      <w:bCs/>
                      <w:szCs w:val="21"/>
                    </w:rPr>
                    <w:t>2.4</w:t>
                  </w:r>
                </w:p>
              </w:tc>
              <w:tc>
                <w:tcPr>
                  <w:tcW w:w="1187" w:type="dxa"/>
                  <w:vAlign w:val="center"/>
                </w:tcPr>
                <w:p>
                  <w:pPr>
                    <w:spacing w:line="300" w:lineRule="exact"/>
                    <w:jc w:val="center"/>
                    <w:rPr>
                      <w:bCs/>
                      <w:szCs w:val="21"/>
                    </w:rPr>
                  </w:pPr>
                  <w:r>
                    <w:rPr>
                      <w:bCs/>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3</w:t>
                  </w:r>
                </w:p>
              </w:tc>
              <w:tc>
                <w:tcPr>
                  <w:tcW w:w="809" w:type="dxa"/>
                  <w:vMerge w:val="restart"/>
                  <w:vAlign w:val="center"/>
                </w:tcPr>
                <w:p>
                  <w:pPr>
                    <w:spacing w:line="300" w:lineRule="exact"/>
                    <w:jc w:val="center"/>
                    <w:rPr>
                      <w:bCs/>
                      <w:szCs w:val="21"/>
                    </w:rPr>
                  </w:pPr>
                  <w:r>
                    <w:rPr>
                      <w:szCs w:val="21"/>
                    </w:rPr>
                    <w:t>砷</w:t>
                  </w:r>
                </w:p>
              </w:tc>
              <w:tc>
                <w:tcPr>
                  <w:tcW w:w="943" w:type="dxa"/>
                  <w:vAlign w:val="center"/>
                </w:tcPr>
                <w:p>
                  <w:pPr>
                    <w:spacing w:line="300" w:lineRule="exact"/>
                    <w:jc w:val="center"/>
                    <w:rPr>
                      <w:bCs/>
                      <w:szCs w:val="21"/>
                    </w:rPr>
                  </w:pPr>
                  <w:r>
                    <w:rPr>
                      <w:bCs/>
                      <w:szCs w:val="21"/>
                    </w:rPr>
                    <w:t>水田</w:t>
                  </w:r>
                </w:p>
              </w:tc>
              <w:tc>
                <w:tcPr>
                  <w:tcW w:w="1346" w:type="dxa"/>
                  <w:vAlign w:val="center"/>
                </w:tcPr>
                <w:p>
                  <w:pPr>
                    <w:spacing w:line="300" w:lineRule="exact"/>
                    <w:jc w:val="center"/>
                    <w:rPr>
                      <w:bCs/>
                      <w:szCs w:val="21"/>
                    </w:rPr>
                  </w:pPr>
                  <w:r>
                    <w:rPr>
                      <w:bCs/>
                      <w:szCs w:val="21"/>
                    </w:rPr>
                    <w:t>30</w:t>
                  </w:r>
                </w:p>
              </w:tc>
              <w:tc>
                <w:tcPr>
                  <w:tcW w:w="1616" w:type="dxa"/>
                  <w:vAlign w:val="center"/>
                </w:tcPr>
                <w:p>
                  <w:pPr>
                    <w:spacing w:line="300" w:lineRule="exact"/>
                    <w:jc w:val="center"/>
                    <w:rPr>
                      <w:bCs/>
                      <w:szCs w:val="21"/>
                    </w:rPr>
                  </w:pPr>
                  <w:r>
                    <w:rPr>
                      <w:bCs/>
                      <w:szCs w:val="21"/>
                    </w:rPr>
                    <w:t>30</w:t>
                  </w:r>
                </w:p>
              </w:tc>
              <w:tc>
                <w:tcPr>
                  <w:tcW w:w="1373" w:type="dxa"/>
                  <w:vAlign w:val="center"/>
                </w:tcPr>
                <w:p>
                  <w:pPr>
                    <w:spacing w:line="300" w:lineRule="exact"/>
                    <w:jc w:val="center"/>
                    <w:rPr>
                      <w:bCs/>
                      <w:szCs w:val="21"/>
                    </w:rPr>
                  </w:pPr>
                  <w:r>
                    <w:rPr>
                      <w:bCs/>
                      <w:szCs w:val="21"/>
                    </w:rPr>
                    <w:t>25</w:t>
                  </w:r>
                </w:p>
              </w:tc>
              <w:tc>
                <w:tcPr>
                  <w:tcW w:w="1187" w:type="dxa"/>
                  <w:vAlign w:val="center"/>
                </w:tcPr>
                <w:p>
                  <w:pPr>
                    <w:spacing w:line="300" w:lineRule="exact"/>
                    <w:jc w:val="center"/>
                    <w:rPr>
                      <w:bCs/>
                      <w:szCs w:val="21"/>
                    </w:rPr>
                  </w:pPr>
                  <w:r>
                    <w:rPr>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809" w:type="dxa"/>
                  <w:vMerge w:val="continue"/>
                  <w:vAlign w:val="center"/>
                </w:tcPr>
                <w:p>
                  <w:pPr>
                    <w:spacing w:line="300" w:lineRule="exact"/>
                    <w:jc w:val="center"/>
                    <w:rPr>
                      <w:bCs/>
                      <w:szCs w:val="21"/>
                    </w:rPr>
                  </w:pPr>
                </w:p>
              </w:tc>
              <w:tc>
                <w:tcPr>
                  <w:tcW w:w="943" w:type="dxa"/>
                  <w:vAlign w:val="center"/>
                </w:tcPr>
                <w:p>
                  <w:pPr>
                    <w:spacing w:line="300" w:lineRule="exact"/>
                    <w:jc w:val="center"/>
                    <w:rPr>
                      <w:bCs/>
                      <w:szCs w:val="21"/>
                    </w:rPr>
                  </w:pPr>
                  <w:r>
                    <w:rPr>
                      <w:bCs/>
                      <w:szCs w:val="21"/>
                    </w:rPr>
                    <w:t>其他</w:t>
                  </w:r>
                </w:p>
              </w:tc>
              <w:tc>
                <w:tcPr>
                  <w:tcW w:w="1346" w:type="dxa"/>
                  <w:vAlign w:val="center"/>
                </w:tcPr>
                <w:p>
                  <w:pPr>
                    <w:spacing w:line="300" w:lineRule="exact"/>
                    <w:jc w:val="center"/>
                    <w:rPr>
                      <w:bCs/>
                      <w:szCs w:val="21"/>
                    </w:rPr>
                  </w:pPr>
                  <w:r>
                    <w:rPr>
                      <w:bCs/>
                      <w:szCs w:val="21"/>
                    </w:rPr>
                    <w:t>40</w:t>
                  </w:r>
                </w:p>
              </w:tc>
              <w:tc>
                <w:tcPr>
                  <w:tcW w:w="1616" w:type="dxa"/>
                  <w:vAlign w:val="center"/>
                </w:tcPr>
                <w:p>
                  <w:pPr>
                    <w:spacing w:line="300" w:lineRule="exact"/>
                    <w:jc w:val="center"/>
                    <w:rPr>
                      <w:bCs/>
                      <w:szCs w:val="21"/>
                    </w:rPr>
                  </w:pPr>
                  <w:r>
                    <w:rPr>
                      <w:bCs/>
                      <w:szCs w:val="21"/>
                    </w:rPr>
                    <w:t>40</w:t>
                  </w:r>
                </w:p>
              </w:tc>
              <w:tc>
                <w:tcPr>
                  <w:tcW w:w="1373" w:type="dxa"/>
                  <w:vAlign w:val="center"/>
                </w:tcPr>
                <w:p>
                  <w:pPr>
                    <w:spacing w:line="300" w:lineRule="exact"/>
                    <w:jc w:val="center"/>
                    <w:rPr>
                      <w:bCs/>
                      <w:szCs w:val="21"/>
                    </w:rPr>
                  </w:pPr>
                  <w:r>
                    <w:rPr>
                      <w:bCs/>
                      <w:szCs w:val="21"/>
                    </w:rPr>
                    <w:t>30</w:t>
                  </w:r>
                </w:p>
              </w:tc>
              <w:tc>
                <w:tcPr>
                  <w:tcW w:w="1187" w:type="dxa"/>
                  <w:vAlign w:val="center"/>
                </w:tcPr>
                <w:p>
                  <w:pPr>
                    <w:spacing w:line="300" w:lineRule="exact"/>
                    <w:jc w:val="center"/>
                    <w:rPr>
                      <w:bCs/>
                      <w:szCs w:val="21"/>
                    </w:rPr>
                  </w:pPr>
                  <w:r>
                    <w:rPr>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4</w:t>
                  </w:r>
                </w:p>
              </w:tc>
              <w:tc>
                <w:tcPr>
                  <w:tcW w:w="809" w:type="dxa"/>
                  <w:vMerge w:val="restart"/>
                  <w:vAlign w:val="center"/>
                </w:tcPr>
                <w:p>
                  <w:pPr>
                    <w:spacing w:line="300" w:lineRule="exact"/>
                    <w:jc w:val="center"/>
                    <w:rPr>
                      <w:bCs/>
                      <w:szCs w:val="21"/>
                    </w:rPr>
                  </w:pPr>
                  <w:r>
                    <w:rPr>
                      <w:szCs w:val="21"/>
                    </w:rPr>
                    <w:t>铅</w:t>
                  </w:r>
                </w:p>
              </w:tc>
              <w:tc>
                <w:tcPr>
                  <w:tcW w:w="943" w:type="dxa"/>
                  <w:vAlign w:val="center"/>
                </w:tcPr>
                <w:p>
                  <w:pPr>
                    <w:spacing w:line="300" w:lineRule="exact"/>
                    <w:jc w:val="center"/>
                    <w:rPr>
                      <w:bCs/>
                      <w:szCs w:val="21"/>
                    </w:rPr>
                  </w:pPr>
                  <w:r>
                    <w:rPr>
                      <w:bCs/>
                      <w:szCs w:val="21"/>
                    </w:rPr>
                    <w:t>水田</w:t>
                  </w:r>
                </w:p>
              </w:tc>
              <w:tc>
                <w:tcPr>
                  <w:tcW w:w="1346" w:type="dxa"/>
                  <w:vAlign w:val="center"/>
                </w:tcPr>
                <w:p>
                  <w:pPr>
                    <w:spacing w:line="300" w:lineRule="exact"/>
                    <w:jc w:val="center"/>
                    <w:rPr>
                      <w:bCs/>
                      <w:szCs w:val="21"/>
                    </w:rPr>
                  </w:pPr>
                  <w:r>
                    <w:rPr>
                      <w:bCs/>
                      <w:szCs w:val="21"/>
                    </w:rPr>
                    <w:t>80</w:t>
                  </w:r>
                </w:p>
              </w:tc>
              <w:tc>
                <w:tcPr>
                  <w:tcW w:w="1616" w:type="dxa"/>
                  <w:vAlign w:val="center"/>
                </w:tcPr>
                <w:p>
                  <w:pPr>
                    <w:spacing w:line="300" w:lineRule="exact"/>
                    <w:jc w:val="center"/>
                    <w:rPr>
                      <w:bCs/>
                      <w:szCs w:val="21"/>
                    </w:rPr>
                  </w:pPr>
                  <w:r>
                    <w:rPr>
                      <w:bCs/>
                      <w:szCs w:val="21"/>
                    </w:rPr>
                    <w:t>100</w:t>
                  </w:r>
                </w:p>
              </w:tc>
              <w:tc>
                <w:tcPr>
                  <w:tcW w:w="1373" w:type="dxa"/>
                  <w:vAlign w:val="center"/>
                </w:tcPr>
                <w:p>
                  <w:pPr>
                    <w:spacing w:line="300" w:lineRule="exact"/>
                    <w:jc w:val="center"/>
                    <w:rPr>
                      <w:bCs/>
                      <w:szCs w:val="21"/>
                    </w:rPr>
                  </w:pPr>
                  <w:r>
                    <w:rPr>
                      <w:bCs/>
                      <w:szCs w:val="21"/>
                    </w:rPr>
                    <w:t>140</w:t>
                  </w:r>
                </w:p>
              </w:tc>
              <w:tc>
                <w:tcPr>
                  <w:tcW w:w="1187" w:type="dxa"/>
                  <w:vAlign w:val="center"/>
                </w:tcPr>
                <w:p>
                  <w:pPr>
                    <w:spacing w:line="300" w:lineRule="exact"/>
                    <w:jc w:val="center"/>
                    <w:rPr>
                      <w:bCs/>
                      <w:szCs w:val="21"/>
                    </w:rPr>
                  </w:pPr>
                  <w:r>
                    <w:rPr>
                      <w:bCs/>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809" w:type="dxa"/>
                  <w:vMerge w:val="continue"/>
                  <w:vAlign w:val="center"/>
                </w:tcPr>
                <w:p>
                  <w:pPr>
                    <w:spacing w:line="300" w:lineRule="exact"/>
                    <w:jc w:val="center"/>
                    <w:rPr>
                      <w:bCs/>
                      <w:szCs w:val="21"/>
                    </w:rPr>
                  </w:pPr>
                </w:p>
              </w:tc>
              <w:tc>
                <w:tcPr>
                  <w:tcW w:w="943" w:type="dxa"/>
                  <w:vAlign w:val="center"/>
                </w:tcPr>
                <w:p>
                  <w:pPr>
                    <w:spacing w:line="300" w:lineRule="exact"/>
                    <w:jc w:val="center"/>
                    <w:rPr>
                      <w:bCs/>
                      <w:szCs w:val="21"/>
                    </w:rPr>
                  </w:pPr>
                  <w:r>
                    <w:rPr>
                      <w:bCs/>
                      <w:szCs w:val="21"/>
                    </w:rPr>
                    <w:t>其他</w:t>
                  </w:r>
                </w:p>
              </w:tc>
              <w:tc>
                <w:tcPr>
                  <w:tcW w:w="1346" w:type="dxa"/>
                  <w:vAlign w:val="center"/>
                </w:tcPr>
                <w:p>
                  <w:pPr>
                    <w:spacing w:line="300" w:lineRule="exact"/>
                    <w:jc w:val="center"/>
                    <w:rPr>
                      <w:bCs/>
                      <w:szCs w:val="21"/>
                    </w:rPr>
                  </w:pPr>
                  <w:r>
                    <w:rPr>
                      <w:bCs/>
                      <w:szCs w:val="21"/>
                    </w:rPr>
                    <w:t>70</w:t>
                  </w:r>
                </w:p>
              </w:tc>
              <w:tc>
                <w:tcPr>
                  <w:tcW w:w="1616" w:type="dxa"/>
                  <w:vAlign w:val="center"/>
                </w:tcPr>
                <w:p>
                  <w:pPr>
                    <w:spacing w:line="300" w:lineRule="exact"/>
                    <w:jc w:val="center"/>
                    <w:rPr>
                      <w:bCs/>
                      <w:szCs w:val="21"/>
                    </w:rPr>
                  </w:pPr>
                  <w:r>
                    <w:rPr>
                      <w:bCs/>
                      <w:szCs w:val="21"/>
                    </w:rPr>
                    <w:t>90</w:t>
                  </w:r>
                </w:p>
              </w:tc>
              <w:tc>
                <w:tcPr>
                  <w:tcW w:w="1373" w:type="dxa"/>
                  <w:vAlign w:val="center"/>
                </w:tcPr>
                <w:p>
                  <w:pPr>
                    <w:spacing w:line="300" w:lineRule="exact"/>
                    <w:jc w:val="center"/>
                    <w:rPr>
                      <w:bCs/>
                      <w:szCs w:val="21"/>
                    </w:rPr>
                  </w:pPr>
                  <w:r>
                    <w:rPr>
                      <w:bCs/>
                      <w:szCs w:val="21"/>
                    </w:rPr>
                    <w:t>120</w:t>
                  </w:r>
                </w:p>
              </w:tc>
              <w:tc>
                <w:tcPr>
                  <w:tcW w:w="1187" w:type="dxa"/>
                  <w:vAlign w:val="center"/>
                </w:tcPr>
                <w:p>
                  <w:pPr>
                    <w:spacing w:line="300" w:lineRule="exact"/>
                    <w:jc w:val="center"/>
                    <w:rPr>
                      <w:bCs/>
                      <w:szCs w:val="21"/>
                    </w:rPr>
                  </w:pPr>
                  <w:r>
                    <w:rPr>
                      <w:bCs/>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5</w:t>
                  </w:r>
                </w:p>
              </w:tc>
              <w:tc>
                <w:tcPr>
                  <w:tcW w:w="809" w:type="dxa"/>
                  <w:vMerge w:val="restart"/>
                  <w:vAlign w:val="center"/>
                </w:tcPr>
                <w:p>
                  <w:pPr>
                    <w:spacing w:line="300" w:lineRule="exact"/>
                    <w:jc w:val="center"/>
                    <w:rPr>
                      <w:bCs/>
                      <w:szCs w:val="21"/>
                    </w:rPr>
                  </w:pPr>
                  <w:r>
                    <w:rPr>
                      <w:szCs w:val="21"/>
                    </w:rPr>
                    <w:t>铬</w:t>
                  </w:r>
                </w:p>
              </w:tc>
              <w:tc>
                <w:tcPr>
                  <w:tcW w:w="943" w:type="dxa"/>
                  <w:vAlign w:val="center"/>
                </w:tcPr>
                <w:p>
                  <w:pPr>
                    <w:spacing w:line="300" w:lineRule="exact"/>
                    <w:jc w:val="center"/>
                    <w:rPr>
                      <w:bCs/>
                      <w:szCs w:val="21"/>
                    </w:rPr>
                  </w:pPr>
                  <w:r>
                    <w:rPr>
                      <w:bCs/>
                      <w:szCs w:val="21"/>
                    </w:rPr>
                    <w:t>水田</w:t>
                  </w:r>
                </w:p>
              </w:tc>
              <w:tc>
                <w:tcPr>
                  <w:tcW w:w="1346" w:type="dxa"/>
                  <w:vAlign w:val="center"/>
                </w:tcPr>
                <w:p>
                  <w:pPr>
                    <w:spacing w:line="300" w:lineRule="exact"/>
                    <w:jc w:val="center"/>
                    <w:rPr>
                      <w:bCs/>
                      <w:szCs w:val="21"/>
                    </w:rPr>
                  </w:pPr>
                  <w:r>
                    <w:rPr>
                      <w:bCs/>
                      <w:szCs w:val="21"/>
                    </w:rPr>
                    <w:t>250</w:t>
                  </w:r>
                </w:p>
              </w:tc>
              <w:tc>
                <w:tcPr>
                  <w:tcW w:w="1616" w:type="dxa"/>
                  <w:vAlign w:val="center"/>
                </w:tcPr>
                <w:p>
                  <w:pPr>
                    <w:spacing w:line="300" w:lineRule="exact"/>
                    <w:jc w:val="center"/>
                    <w:rPr>
                      <w:bCs/>
                      <w:szCs w:val="21"/>
                    </w:rPr>
                  </w:pPr>
                  <w:r>
                    <w:rPr>
                      <w:bCs/>
                      <w:szCs w:val="21"/>
                    </w:rPr>
                    <w:t>250</w:t>
                  </w:r>
                </w:p>
              </w:tc>
              <w:tc>
                <w:tcPr>
                  <w:tcW w:w="1373" w:type="dxa"/>
                  <w:vAlign w:val="center"/>
                </w:tcPr>
                <w:p>
                  <w:pPr>
                    <w:spacing w:line="300" w:lineRule="exact"/>
                    <w:jc w:val="center"/>
                    <w:rPr>
                      <w:bCs/>
                      <w:szCs w:val="21"/>
                    </w:rPr>
                  </w:pPr>
                  <w:r>
                    <w:rPr>
                      <w:bCs/>
                      <w:szCs w:val="21"/>
                    </w:rPr>
                    <w:t>300</w:t>
                  </w:r>
                </w:p>
              </w:tc>
              <w:tc>
                <w:tcPr>
                  <w:tcW w:w="1187" w:type="dxa"/>
                  <w:vAlign w:val="center"/>
                </w:tcPr>
                <w:p>
                  <w:pPr>
                    <w:spacing w:line="300" w:lineRule="exact"/>
                    <w:jc w:val="center"/>
                    <w:rPr>
                      <w:bCs/>
                      <w:szCs w:val="21"/>
                    </w:rPr>
                  </w:pPr>
                  <w:r>
                    <w:rPr>
                      <w:bCs/>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809" w:type="dxa"/>
                  <w:vMerge w:val="continue"/>
                  <w:vAlign w:val="center"/>
                </w:tcPr>
                <w:p>
                  <w:pPr>
                    <w:spacing w:line="300" w:lineRule="exact"/>
                    <w:jc w:val="center"/>
                    <w:rPr>
                      <w:bCs/>
                      <w:szCs w:val="21"/>
                    </w:rPr>
                  </w:pPr>
                </w:p>
              </w:tc>
              <w:tc>
                <w:tcPr>
                  <w:tcW w:w="943" w:type="dxa"/>
                  <w:vAlign w:val="center"/>
                </w:tcPr>
                <w:p>
                  <w:pPr>
                    <w:spacing w:line="300" w:lineRule="exact"/>
                    <w:jc w:val="center"/>
                    <w:rPr>
                      <w:bCs/>
                      <w:szCs w:val="21"/>
                    </w:rPr>
                  </w:pPr>
                  <w:r>
                    <w:rPr>
                      <w:bCs/>
                      <w:szCs w:val="21"/>
                    </w:rPr>
                    <w:t>其他</w:t>
                  </w:r>
                </w:p>
              </w:tc>
              <w:tc>
                <w:tcPr>
                  <w:tcW w:w="1346" w:type="dxa"/>
                  <w:vAlign w:val="center"/>
                </w:tcPr>
                <w:p>
                  <w:pPr>
                    <w:spacing w:line="300" w:lineRule="exact"/>
                    <w:jc w:val="center"/>
                    <w:rPr>
                      <w:bCs/>
                      <w:szCs w:val="21"/>
                    </w:rPr>
                  </w:pPr>
                  <w:r>
                    <w:rPr>
                      <w:bCs/>
                      <w:szCs w:val="21"/>
                    </w:rPr>
                    <w:t>150</w:t>
                  </w:r>
                </w:p>
              </w:tc>
              <w:tc>
                <w:tcPr>
                  <w:tcW w:w="1616" w:type="dxa"/>
                  <w:vAlign w:val="center"/>
                </w:tcPr>
                <w:p>
                  <w:pPr>
                    <w:spacing w:line="300" w:lineRule="exact"/>
                    <w:jc w:val="center"/>
                    <w:rPr>
                      <w:bCs/>
                      <w:szCs w:val="21"/>
                    </w:rPr>
                  </w:pPr>
                  <w:r>
                    <w:rPr>
                      <w:bCs/>
                      <w:szCs w:val="21"/>
                    </w:rPr>
                    <w:t>150</w:t>
                  </w:r>
                </w:p>
              </w:tc>
              <w:tc>
                <w:tcPr>
                  <w:tcW w:w="1373" w:type="dxa"/>
                  <w:vAlign w:val="center"/>
                </w:tcPr>
                <w:p>
                  <w:pPr>
                    <w:spacing w:line="300" w:lineRule="exact"/>
                    <w:jc w:val="center"/>
                    <w:rPr>
                      <w:bCs/>
                      <w:szCs w:val="21"/>
                    </w:rPr>
                  </w:pPr>
                  <w:r>
                    <w:rPr>
                      <w:bCs/>
                      <w:szCs w:val="21"/>
                    </w:rPr>
                    <w:t>200</w:t>
                  </w:r>
                </w:p>
              </w:tc>
              <w:tc>
                <w:tcPr>
                  <w:tcW w:w="1187" w:type="dxa"/>
                  <w:vAlign w:val="center"/>
                </w:tcPr>
                <w:p>
                  <w:pPr>
                    <w:spacing w:line="300" w:lineRule="exact"/>
                    <w:jc w:val="center"/>
                    <w:rPr>
                      <w:bCs/>
                      <w:szCs w:val="21"/>
                    </w:rPr>
                  </w:pPr>
                  <w:r>
                    <w:rPr>
                      <w:bCs/>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Merge w:val="restart"/>
                  <w:vAlign w:val="center"/>
                </w:tcPr>
                <w:p>
                  <w:pPr>
                    <w:spacing w:line="300" w:lineRule="exact"/>
                    <w:jc w:val="center"/>
                    <w:rPr>
                      <w:bCs/>
                      <w:szCs w:val="21"/>
                    </w:rPr>
                  </w:pPr>
                  <w:r>
                    <w:rPr>
                      <w:bCs/>
                      <w:szCs w:val="21"/>
                    </w:rPr>
                    <w:t>6</w:t>
                  </w:r>
                </w:p>
              </w:tc>
              <w:tc>
                <w:tcPr>
                  <w:tcW w:w="809" w:type="dxa"/>
                  <w:vMerge w:val="restart"/>
                  <w:vAlign w:val="center"/>
                </w:tcPr>
                <w:p>
                  <w:pPr>
                    <w:spacing w:line="300" w:lineRule="exact"/>
                    <w:jc w:val="center"/>
                    <w:rPr>
                      <w:bCs/>
                      <w:szCs w:val="21"/>
                    </w:rPr>
                  </w:pPr>
                  <w:r>
                    <w:rPr>
                      <w:szCs w:val="21"/>
                    </w:rPr>
                    <w:t>铜</w:t>
                  </w:r>
                </w:p>
              </w:tc>
              <w:tc>
                <w:tcPr>
                  <w:tcW w:w="943" w:type="dxa"/>
                  <w:vAlign w:val="center"/>
                </w:tcPr>
                <w:p>
                  <w:pPr>
                    <w:spacing w:line="300" w:lineRule="exact"/>
                    <w:jc w:val="center"/>
                    <w:rPr>
                      <w:bCs/>
                      <w:szCs w:val="21"/>
                    </w:rPr>
                  </w:pPr>
                  <w:r>
                    <w:rPr>
                      <w:bCs/>
                      <w:szCs w:val="21"/>
                    </w:rPr>
                    <w:t>果园</w:t>
                  </w:r>
                </w:p>
              </w:tc>
              <w:tc>
                <w:tcPr>
                  <w:tcW w:w="1346" w:type="dxa"/>
                  <w:vAlign w:val="center"/>
                </w:tcPr>
                <w:p>
                  <w:pPr>
                    <w:spacing w:line="300" w:lineRule="exact"/>
                    <w:jc w:val="center"/>
                    <w:rPr>
                      <w:bCs/>
                      <w:szCs w:val="21"/>
                    </w:rPr>
                  </w:pPr>
                  <w:r>
                    <w:rPr>
                      <w:bCs/>
                      <w:szCs w:val="21"/>
                    </w:rPr>
                    <w:t>150</w:t>
                  </w:r>
                </w:p>
              </w:tc>
              <w:tc>
                <w:tcPr>
                  <w:tcW w:w="1616" w:type="dxa"/>
                  <w:vAlign w:val="center"/>
                </w:tcPr>
                <w:p>
                  <w:pPr>
                    <w:spacing w:line="300" w:lineRule="exact"/>
                    <w:jc w:val="center"/>
                    <w:rPr>
                      <w:bCs/>
                      <w:szCs w:val="21"/>
                    </w:rPr>
                  </w:pPr>
                  <w:r>
                    <w:rPr>
                      <w:bCs/>
                      <w:szCs w:val="21"/>
                    </w:rPr>
                    <w:t>150</w:t>
                  </w:r>
                </w:p>
              </w:tc>
              <w:tc>
                <w:tcPr>
                  <w:tcW w:w="1373" w:type="dxa"/>
                  <w:vAlign w:val="center"/>
                </w:tcPr>
                <w:p>
                  <w:pPr>
                    <w:spacing w:line="300" w:lineRule="exact"/>
                    <w:jc w:val="center"/>
                    <w:rPr>
                      <w:bCs/>
                      <w:szCs w:val="21"/>
                    </w:rPr>
                  </w:pPr>
                  <w:r>
                    <w:rPr>
                      <w:bCs/>
                      <w:szCs w:val="21"/>
                    </w:rPr>
                    <w:t>200</w:t>
                  </w:r>
                </w:p>
              </w:tc>
              <w:tc>
                <w:tcPr>
                  <w:tcW w:w="1187" w:type="dxa"/>
                  <w:vAlign w:val="center"/>
                </w:tcPr>
                <w:p>
                  <w:pPr>
                    <w:spacing w:line="300" w:lineRule="exact"/>
                    <w:jc w:val="center"/>
                    <w:rPr>
                      <w:bCs/>
                      <w:szCs w:val="21"/>
                    </w:rPr>
                  </w:pPr>
                  <w:r>
                    <w:rPr>
                      <w:bCs/>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806" w:type="dxa"/>
                  <w:vMerge w:val="continue"/>
                  <w:vAlign w:val="center"/>
                </w:tcPr>
                <w:p>
                  <w:pPr>
                    <w:spacing w:line="300" w:lineRule="exact"/>
                    <w:jc w:val="center"/>
                    <w:rPr>
                      <w:bCs/>
                      <w:szCs w:val="21"/>
                    </w:rPr>
                  </w:pPr>
                </w:p>
              </w:tc>
              <w:tc>
                <w:tcPr>
                  <w:tcW w:w="809" w:type="dxa"/>
                  <w:vMerge w:val="continue"/>
                  <w:vAlign w:val="center"/>
                </w:tcPr>
                <w:p>
                  <w:pPr>
                    <w:spacing w:line="300" w:lineRule="exact"/>
                    <w:jc w:val="center"/>
                    <w:rPr>
                      <w:bCs/>
                      <w:szCs w:val="21"/>
                    </w:rPr>
                  </w:pPr>
                </w:p>
              </w:tc>
              <w:tc>
                <w:tcPr>
                  <w:tcW w:w="943" w:type="dxa"/>
                  <w:vAlign w:val="center"/>
                </w:tcPr>
                <w:p>
                  <w:pPr>
                    <w:spacing w:line="300" w:lineRule="exact"/>
                    <w:jc w:val="center"/>
                    <w:rPr>
                      <w:bCs/>
                      <w:szCs w:val="21"/>
                    </w:rPr>
                  </w:pPr>
                  <w:r>
                    <w:rPr>
                      <w:bCs/>
                      <w:szCs w:val="21"/>
                    </w:rPr>
                    <w:t>其他</w:t>
                  </w:r>
                </w:p>
              </w:tc>
              <w:tc>
                <w:tcPr>
                  <w:tcW w:w="1346" w:type="dxa"/>
                  <w:vAlign w:val="center"/>
                </w:tcPr>
                <w:p>
                  <w:pPr>
                    <w:spacing w:line="300" w:lineRule="exact"/>
                    <w:jc w:val="center"/>
                    <w:rPr>
                      <w:bCs/>
                      <w:szCs w:val="21"/>
                    </w:rPr>
                  </w:pPr>
                  <w:r>
                    <w:rPr>
                      <w:bCs/>
                      <w:szCs w:val="21"/>
                    </w:rPr>
                    <w:t>50</w:t>
                  </w:r>
                </w:p>
              </w:tc>
              <w:tc>
                <w:tcPr>
                  <w:tcW w:w="1616" w:type="dxa"/>
                  <w:vAlign w:val="center"/>
                </w:tcPr>
                <w:p>
                  <w:pPr>
                    <w:spacing w:line="300" w:lineRule="exact"/>
                    <w:jc w:val="center"/>
                    <w:rPr>
                      <w:bCs/>
                      <w:szCs w:val="21"/>
                    </w:rPr>
                  </w:pPr>
                  <w:r>
                    <w:rPr>
                      <w:bCs/>
                      <w:szCs w:val="21"/>
                    </w:rPr>
                    <w:t>50</w:t>
                  </w:r>
                </w:p>
              </w:tc>
              <w:tc>
                <w:tcPr>
                  <w:tcW w:w="1373" w:type="dxa"/>
                  <w:vAlign w:val="center"/>
                </w:tcPr>
                <w:p>
                  <w:pPr>
                    <w:spacing w:line="300" w:lineRule="exact"/>
                    <w:jc w:val="center"/>
                    <w:rPr>
                      <w:bCs/>
                      <w:szCs w:val="21"/>
                    </w:rPr>
                  </w:pPr>
                  <w:r>
                    <w:rPr>
                      <w:bCs/>
                      <w:szCs w:val="21"/>
                    </w:rPr>
                    <w:t>100</w:t>
                  </w:r>
                </w:p>
              </w:tc>
              <w:tc>
                <w:tcPr>
                  <w:tcW w:w="1187" w:type="dxa"/>
                  <w:vAlign w:val="center"/>
                </w:tcPr>
                <w:p>
                  <w:pPr>
                    <w:spacing w:line="300" w:lineRule="exact"/>
                    <w:jc w:val="center"/>
                    <w:rPr>
                      <w:bCs/>
                      <w:szCs w:val="21"/>
                    </w:rPr>
                  </w:pPr>
                  <w:r>
                    <w:rPr>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06" w:type="dxa"/>
                  <w:vAlign w:val="center"/>
                </w:tcPr>
                <w:p>
                  <w:pPr>
                    <w:spacing w:line="300" w:lineRule="exact"/>
                    <w:jc w:val="center"/>
                    <w:rPr>
                      <w:bCs/>
                      <w:szCs w:val="21"/>
                    </w:rPr>
                  </w:pPr>
                  <w:r>
                    <w:rPr>
                      <w:bCs/>
                      <w:szCs w:val="21"/>
                    </w:rPr>
                    <w:t>7</w:t>
                  </w:r>
                </w:p>
              </w:tc>
              <w:tc>
                <w:tcPr>
                  <w:tcW w:w="1752" w:type="dxa"/>
                  <w:gridSpan w:val="2"/>
                  <w:vAlign w:val="center"/>
                </w:tcPr>
                <w:p>
                  <w:pPr>
                    <w:spacing w:line="300" w:lineRule="exact"/>
                    <w:jc w:val="center"/>
                    <w:rPr>
                      <w:bCs/>
                      <w:szCs w:val="21"/>
                    </w:rPr>
                  </w:pPr>
                  <w:r>
                    <w:rPr>
                      <w:szCs w:val="21"/>
                    </w:rPr>
                    <w:t>镍</w:t>
                  </w:r>
                </w:p>
              </w:tc>
              <w:tc>
                <w:tcPr>
                  <w:tcW w:w="1346" w:type="dxa"/>
                  <w:vAlign w:val="center"/>
                </w:tcPr>
                <w:p>
                  <w:pPr>
                    <w:spacing w:line="300" w:lineRule="exact"/>
                    <w:jc w:val="center"/>
                    <w:rPr>
                      <w:bCs/>
                      <w:szCs w:val="21"/>
                    </w:rPr>
                  </w:pPr>
                  <w:r>
                    <w:rPr>
                      <w:bCs/>
                      <w:szCs w:val="21"/>
                    </w:rPr>
                    <w:t>60</w:t>
                  </w:r>
                </w:p>
              </w:tc>
              <w:tc>
                <w:tcPr>
                  <w:tcW w:w="1616" w:type="dxa"/>
                  <w:vAlign w:val="center"/>
                </w:tcPr>
                <w:p>
                  <w:pPr>
                    <w:spacing w:line="300" w:lineRule="exact"/>
                    <w:jc w:val="center"/>
                    <w:rPr>
                      <w:bCs/>
                      <w:szCs w:val="21"/>
                    </w:rPr>
                  </w:pPr>
                  <w:r>
                    <w:rPr>
                      <w:bCs/>
                      <w:szCs w:val="21"/>
                    </w:rPr>
                    <w:t>70</w:t>
                  </w:r>
                </w:p>
              </w:tc>
              <w:tc>
                <w:tcPr>
                  <w:tcW w:w="1373" w:type="dxa"/>
                  <w:vAlign w:val="center"/>
                </w:tcPr>
                <w:p>
                  <w:pPr>
                    <w:spacing w:line="300" w:lineRule="exact"/>
                    <w:jc w:val="center"/>
                    <w:rPr>
                      <w:bCs/>
                      <w:szCs w:val="21"/>
                    </w:rPr>
                  </w:pPr>
                  <w:r>
                    <w:rPr>
                      <w:bCs/>
                      <w:szCs w:val="21"/>
                    </w:rPr>
                    <w:t>100</w:t>
                  </w:r>
                </w:p>
              </w:tc>
              <w:tc>
                <w:tcPr>
                  <w:tcW w:w="1187" w:type="dxa"/>
                  <w:vAlign w:val="center"/>
                </w:tcPr>
                <w:p>
                  <w:pPr>
                    <w:spacing w:line="300" w:lineRule="exact"/>
                    <w:jc w:val="center"/>
                    <w:rPr>
                      <w:bCs/>
                      <w:szCs w:val="21"/>
                    </w:rPr>
                  </w:pPr>
                  <w:r>
                    <w:rPr>
                      <w:bCs/>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806" w:type="dxa"/>
                  <w:vAlign w:val="center"/>
                </w:tcPr>
                <w:p>
                  <w:pPr>
                    <w:spacing w:line="300" w:lineRule="exact"/>
                    <w:jc w:val="center"/>
                    <w:rPr>
                      <w:bCs/>
                      <w:szCs w:val="21"/>
                    </w:rPr>
                  </w:pPr>
                  <w:r>
                    <w:rPr>
                      <w:bCs/>
                      <w:szCs w:val="21"/>
                    </w:rPr>
                    <w:t>8</w:t>
                  </w:r>
                </w:p>
              </w:tc>
              <w:tc>
                <w:tcPr>
                  <w:tcW w:w="1752" w:type="dxa"/>
                  <w:gridSpan w:val="2"/>
                  <w:vAlign w:val="center"/>
                </w:tcPr>
                <w:p>
                  <w:pPr>
                    <w:spacing w:line="300" w:lineRule="exact"/>
                    <w:jc w:val="center"/>
                    <w:rPr>
                      <w:bCs/>
                      <w:szCs w:val="21"/>
                    </w:rPr>
                  </w:pPr>
                  <w:r>
                    <w:rPr>
                      <w:szCs w:val="21"/>
                    </w:rPr>
                    <w:t>锌</w:t>
                  </w:r>
                </w:p>
              </w:tc>
              <w:tc>
                <w:tcPr>
                  <w:tcW w:w="1346" w:type="dxa"/>
                  <w:vAlign w:val="center"/>
                </w:tcPr>
                <w:p>
                  <w:pPr>
                    <w:spacing w:line="300" w:lineRule="exact"/>
                    <w:jc w:val="center"/>
                    <w:rPr>
                      <w:bCs/>
                      <w:szCs w:val="21"/>
                    </w:rPr>
                  </w:pPr>
                  <w:r>
                    <w:rPr>
                      <w:bCs/>
                      <w:szCs w:val="21"/>
                    </w:rPr>
                    <w:t>200</w:t>
                  </w:r>
                </w:p>
              </w:tc>
              <w:tc>
                <w:tcPr>
                  <w:tcW w:w="1616" w:type="dxa"/>
                  <w:vAlign w:val="center"/>
                </w:tcPr>
                <w:p>
                  <w:pPr>
                    <w:spacing w:line="300" w:lineRule="exact"/>
                    <w:jc w:val="center"/>
                    <w:rPr>
                      <w:bCs/>
                      <w:szCs w:val="21"/>
                    </w:rPr>
                  </w:pPr>
                  <w:r>
                    <w:rPr>
                      <w:bCs/>
                      <w:szCs w:val="21"/>
                    </w:rPr>
                    <w:t>200</w:t>
                  </w:r>
                </w:p>
              </w:tc>
              <w:tc>
                <w:tcPr>
                  <w:tcW w:w="1373" w:type="dxa"/>
                  <w:vAlign w:val="center"/>
                </w:tcPr>
                <w:p>
                  <w:pPr>
                    <w:spacing w:line="300" w:lineRule="exact"/>
                    <w:jc w:val="center"/>
                    <w:rPr>
                      <w:bCs/>
                      <w:szCs w:val="21"/>
                    </w:rPr>
                  </w:pPr>
                  <w:r>
                    <w:rPr>
                      <w:bCs/>
                      <w:szCs w:val="21"/>
                    </w:rPr>
                    <w:t>250</w:t>
                  </w:r>
                </w:p>
              </w:tc>
              <w:tc>
                <w:tcPr>
                  <w:tcW w:w="1187" w:type="dxa"/>
                  <w:vAlign w:val="center"/>
                </w:tcPr>
                <w:p>
                  <w:pPr>
                    <w:spacing w:line="300" w:lineRule="exact"/>
                    <w:jc w:val="center"/>
                    <w:rPr>
                      <w:bCs/>
                      <w:szCs w:val="21"/>
                    </w:rPr>
                  </w:pPr>
                  <w:r>
                    <w:rPr>
                      <w:bCs/>
                      <w:szCs w:val="21"/>
                    </w:rPr>
                    <w:t>300</w:t>
                  </w:r>
                </w:p>
              </w:tc>
            </w:tr>
          </w:tbl>
          <w:p>
            <w:pPr>
              <w:spacing w:line="360" w:lineRule="auto"/>
              <w:jc w:val="left"/>
              <w:rPr>
                <w:b/>
                <w:sz w:val="24"/>
                <w:szCs w:val="24"/>
              </w:rPr>
            </w:pPr>
            <w:r>
              <w:rPr>
                <w:b/>
                <w:sz w:val="24"/>
                <w:szCs w:val="24"/>
              </w:rPr>
              <w:t>5、声环境质量标准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sz w:val="24"/>
                <w:szCs w:val="24"/>
              </w:rPr>
            </w:pPr>
            <w:r>
              <w:rPr>
                <w:sz w:val="24"/>
                <w:szCs w:val="24"/>
              </w:rPr>
              <w:t>声环境质量标准执行《声环境质量标准》(GB3096-2008)中的2类标准</w:t>
            </w:r>
            <w:r>
              <w:rPr>
                <w:kern w:val="0"/>
                <w:sz w:val="24"/>
                <w:szCs w:val="24"/>
              </w:rPr>
              <w:t>，详见表3-1</w:t>
            </w:r>
            <w:r>
              <w:rPr>
                <w:rFonts w:hint="eastAsia"/>
                <w:kern w:val="0"/>
                <w:sz w:val="24"/>
                <w:szCs w:val="24"/>
                <w:lang w:val="en-US" w:eastAsia="zh-CN"/>
              </w:rPr>
              <w:t>4</w:t>
            </w:r>
            <w:r>
              <w:rPr>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1"/>
                <w:b w:val="0"/>
                <w:szCs w:val="24"/>
              </w:rPr>
            </w:pPr>
            <w:r>
              <w:rPr>
                <w:rStyle w:val="21"/>
                <w:b w:val="0"/>
              </w:rPr>
              <w:t>表3-1</w:t>
            </w:r>
            <w:r>
              <w:rPr>
                <w:rStyle w:val="21"/>
                <w:rFonts w:hint="eastAsia"/>
                <w:b w:val="0"/>
                <w:lang w:val="en-US" w:eastAsia="zh-CN"/>
              </w:rPr>
              <w:t>4</w:t>
            </w:r>
            <w:r>
              <w:rPr>
                <w:rStyle w:val="21"/>
                <w:b w:val="0"/>
              </w:rPr>
              <w:t>声环境质量标准一览表</w:t>
            </w:r>
          </w:p>
          <w:tbl>
            <w:tblPr>
              <w:tblStyle w:val="23"/>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255"/>
              <w:gridCol w:w="226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9"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类别</w:t>
                  </w:r>
                </w:p>
              </w:tc>
              <w:tc>
                <w:tcPr>
                  <w:tcW w:w="2255"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污染物名称</w:t>
                  </w:r>
                </w:p>
              </w:tc>
              <w:tc>
                <w:tcPr>
                  <w:tcW w:w="2268"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标准值</w:t>
                  </w:r>
                </w:p>
              </w:tc>
              <w:tc>
                <w:tcPr>
                  <w:tcW w:w="2548"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009" w:type="dxa"/>
                  <w:vAlign w:val="center"/>
                </w:tcPr>
                <w:p>
                  <w:pPr>
                    <w:pStyle w:val="49"/>
                    <w:framePr w:hSpace="0" w:wrap="auto" w:vAnchor="margin" w:hAnchor="text" w:xAlign="left" w:yAlign="inline"/>
                    <w:rPr>
                      <w:rFonts w:ascii="Times New Roman" w:hAnsi="Times New Roman"/>
                    </w:rPr>
                  </w:pPr>
                  <w:r>
                    <w:rPr>
                      <w:rFonts w:ascii="Times New Roman" w:hAnsi="Times New Roman"/>
                    </w:rPr>
                    <w:t>声环境</w:t>
                  </w:r>
                </w:p>
              </w:tc>
              <w:tc>
                <w:tcPr>
                  <w:tcW w:w="2255" w:type="dxa"/>
                  <w:vAlign w:val="center"/>
                </w:tcPr>
                <w:p>
                  <w:pPr>
                    <w:pStyle w:val="49"/>
                    <w:framePr w:hSpace="0" w:wrap="auto" w:vAnchor="margin" w:hAnchor="text" w:xAlign="left" w:yAlign="inline"/>
                    <w:rPr>
                      <w:rFonts w:ascii="Times New Roman" w:hAnsi="Times New Roman"/>
                    </w:rPr>
                  </w:pPr>
                  <w:r>
                    <w:rPr>
                      <w:rFonts w:ascii="Times New Roman" w:hAnsi="Times New Roman"/>
                    </w:rPr>
                    <w:t>等效连续A声级</w:t>
                  </w:r>
                </w:p>
              </w:tc>
              <w:tc>
                <w:tcPr>
                  <w:tcW w:w="2268" w:type="dxa"/>
                  <w:vAlign w:val="center"/>
                </w:tcPr>
                <w:p>
                  <w:pPr>
                    <w:pStyle w:val="49"/>
                    <w:framePr w:hSpace="0" w:wrap="auto" w:vAnchor="margin" w:hAnchor="text" w:xAlign="left" w:yAlign="inline"/>
                    <w:rPr>
                      <w:rFonts w:ascii="Times New Roman" w:hAnsi="Times New Roman"/>
                    </w:rPr>
                  </w:pPr>
                  <w:r>
                    <w:rPr>
                      <w:rFonts w:ascii="Times New Roman" w:hAnsi="Times New Roman"/>
                    </w:rPr>
                    <w:t>昼间≤60dB(A)</w:t>
                  </w:r>
                </w:p>
                <w:p>
                  <w:pPr>
                    <w:pStyle w:val="49"/>
                    <w:framePr w:hSpace="0" w:wrap="auto" w:vAnchor="margin" w:hAnchor="text" w:xAlign="left" w:yAlign="inline"/>
                    <w:rPr>
                      <w:rFonts w:ascii="Times New Roman" w:hAnsi="Times New Roman"/>
                    </w:rPr>
                  </w:pPr>
                  <w:r>
                    <w:rPr>
                      <w:rFonts w:ascii="Times New Roman" w:hAnsi="Times New Roman"/>
                    </w:rPr>
                    <w:t>夜间≤50dB(A)</w:t>
                  </w:r>
                </w:p>
              </w:tc>
              <w:tc>
                <w:tcPr>
                  <w:tcW w:w="2548" w:type="dxa"/>
                  <w:vAlign w:val="center"/>
                </w:tcPr>
                <w:p>
                  <w:pPr>
                    <w:pStyle w:val="49"/>
                    <w:framePr w:hSpace="0" w:wrap="auto" w:vAnchor="margin" w:hAnchor="text" w:xAlign="left" w:yAlign="inline"/>
                    <w:rPr>
                      <w:rFonts w:ascii="Times New Roman" w:hAnsi="Times New Roman"/>
                    </w:rPr>
                  </w:pPr>
                  <w:r>
                    <w:rPr>
                      <w:rFonts w:ascii="Times New Roman" w:hAnsi="Times New Roman"/>
                    </w:rPr>
                    <w:t>《声环境质量标准》（GB3096-2008）2类区</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kern w:val="0"/>
                <w:sz w:val="24"/>
                <w:szCs w:val="24"/>
              </w:rPr>
            </w:pPr>
            <w:r>
              <w:rPr>
                <w:b/>
                <w:kern w:val="0"/>
                <w:sz w:val="24"/>
                <w:szCs w:val="24"/>
              </w:rPr>
              <w:t>二、污染物排放标准</w:t>
            </w:r>
          </w:p>
          <w:p>
            <w:pPr>
              <w:keepNext w:val="0"/>
              <w:keepLines w:val="0"/>
              <w:pageBreakBefore w:val="0"/>
              <w:widowControl w:val="0"/>
              <w:kinsoku/>
              <w:wordWrap/>
              <w:overflowPunct/>
              <w:topLinePunct w:val="0"/>
              <w:autoSpaceDE/>
              <w:autoSpaceDN/>
              <w:bidi w:val="0"/>
              <w:spacing w:line="360" w:lineRule="auto"/>
              <w:ind w:firstLine="480"/>
              <w:textAlignment w:val="auto"/>
              <w:rPr>
                <w:sz w:val="24"/>
                <w:szCs w:val="24"/>
              </w:rPr>
            </w:pPr>
            <w:r>
              <w:rPr>
                <w:sz w:val="24"/>
                <w:szCs w:val="24"/>
              </w:rPr>
              <w:t>（1）建设阶段</w:t>
            </w:r>
          </w:p>
          <w:p>
            <w:pPr>
              <w:spacing w:line="360" w:lineRule="auto"/>
              <w:ind w:firstLine="480"/>
              <w:rPr>
                <w:sz w:val="24"/>
                <w:szCs w:val="24"/>
              </w:rPr>
            </w:pPr>
            <w:r>
              <w:rPr>
                <w:sz w:val="24"/>
                <w:szCs w:val="24"/>
              </w:rPr>
              <w:t>①废气：扬尘排放执行《施工场地扬尘排放标准》（DB13/2934—2019）表1中扬尘排放浓度限值；</w:t>
            </w:r>
          </w:p>
          <w:p>
            <w:pPr>
              <w:spacing w:line="360" w:lineRule="auto"/>
              <w:ind w:firstLine="480"/>
              <w:rPr>
                <w:sz w:val="24"/>
                <w:szCs w:val="24"/>
              </w:rPr>
            </w:pPr>
            <w:r>
              <w:rPr>
                <w:sz w:val="24"/>
                <w:szCs w:val="24"/>
              </w:rPr>
              <w:t>②噪声：噪声排放执行《建筑施工场界噪声限值》（GB12523-2011）相关标准。</w:t>
            </w:r>
          </w:p>
          <w:p>
            <w:pPr>
              <w:spacing w:line="360" w:lineRule="auto"/>
              <w:ind w:firstLine="480"/>
              <w:rPr>
                <w:sz w:val="24"/>
                <w:szCs w:val="24"/>
              </w:rPr>
            </w:pPr>
            <w:r>
              <w:rPr>
                <w:sz w:val="24"/>
                <w:szCs w:val="24"/>
              </w:rPr>
              <w:t>建设阶段污染物排放标准见表3-1</w:t>
            </w:r>
            <w:r>
              <w:rPr>
                <w:rFonts w:hint="eastAsia"/>
                <w:sz w:val="24"/>
                <w:szCs w:val="24"/>
                <w:lang w:val="en-US" w:eastAsia="zh-CN"/>
              </w:rPr>
              <w:t>5</w:t>
            </w:r>
            <w:r>
              <w:rPr>
                <w:sz w:val="24"/>
                <w:szCs w:val="24"/>
              </w:rPr>
              <w:t>。</w:t>
            </w:r>
          </w:p>
          <w:p>
            <w:pPr>
              <w:ind w:firstLine="420"/>
              <w:jc w:val="center"/>
              <w:rPr>
                <w:rStyle w:val="21"/>
                <w:b w:val="0"/>
              </w:rPr>
            </w:pPr>
            <w:r>
              <w:rPr>
                <w:rStyle w:val="21"/>
                <w:b w:val="0"/>
              </w:rPr>
              <w:t>表3-1</w:t>
            </w:r>
            <w:r>
              <w:rPr>
                <w:rStyle w:val="21"/>
                <w:rFonts w:hint="eastAsia"/>
                <w:b w:val="0"/>
                <w:lang w:val="en-US" w:eastAsia="zh-CN"/>
              </w:rPr>
              <w:t>5</w:t>
            </w:r>
            <w:r>
              <w:rPr>
                <w:rStyle w:val="21"/>
                <w:b w:val="0"/>
              </w:rPr>
              <w:t>建设阶段污染物排放标准</w:t>
            </w:r>
          </w:p>
          <w:tbl>
            <w:tblPr>
              <w:tblStyle w:val="23"/>
              <w:tblpPr w:leftFromText="180" w:rightFromText="180" w:vertAnchor="text" w:tblpXSpec="center" w:tblpY="1"/>
              <w:tblOverlap w:val="never"/>
              <w:tblW w:w="81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2"/>
              <w:gridCol w:w="966"/>
              <w:gridCol w:w="1409"/>
              <w:gridCol w:w="1569"/>
              <w:gridCol w:w="36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75" w:hRule="exact"/>
                <w:tblHeader/>
                <w:jc w:val="center"/>
              </w:trPr>
              <w:tc>
                <w:tcPr>
                  <w:tcW w:w="612" w:type="dxa"/>
                  <w:tcBorders>
                    <w:left w:val="single" w:color="auto" w:sz="4" w:space="0"/>
                  </w:tcBorders>
                  <w:vAlign w:val="center"/>
                </w:tcPr>
                <w:p>
                  <w:pPr>
                    <w:topLinePunct/>
                    <w:adjustRightInd w:val="0"/>
                    <w:spacing w:line="300" w:lineRule="exact"/>
                    <w:jc w:val="center"/>
                    <w:textAlignment w:val="center"/>
                    <w:rPr>
                      <w:szCs w:val="21"/>
                    </w:rPr>
                  </w:pPr>
                  <w:r>
                    <w:rPr>
                      <w:szCs w:val="21"/>
                    </w:rPr>
                    <w:t>类别</w:t>
                  </w:r>
                </w:p>
              </w:tc>
              <w:tc>
                <w:tcPr>
                  <w:tcW w:w="966" w:type="dxa"/>
                  <w:vAlign w:val="center"/>
                </w:tcPr>
                <w:p>
                  <w:pPr>
                    <w:topLinePunct/>
                    <w:adjustRightInd w:val="0"/>
                    <w:spacing w:line="300" w:lineRule="exact"/>
                    <w:jc w:val="center"/>
                    <w:textAlignment w:val="center"/>
                    <w:rPr>
                      <w:szCs w:val="21"/>
                    </w:rPr>
                  </w:pPr>
                  <w:r>
                    <w:rPr>
                      <w:szCs w:val="21"/>
                    </w:rPr>
                    <w:t>适用范围</w:t>
                  </w:r>
                </w:p>
              </w:tc>
              <w:tc>
                <w:tcPr>
                  <w:tcW w:w="1409" w:type="dxa"/>
                  <w:vAlign w:val="center"/>
                </w:tcPr>
                <w:p>
                  <w:pPr>
                    <w:topLinePunct/>
                    <w:adjustRightInd w:val="0"/>
                    <w:spacing w:line="300" w:lineRule="exact"/>
                    <w:jc w:val="center"/>
                    <w:textAlignment w:val="center"/>
                    <w:rPr>
                      <w:szCs w:val="21"/>
                    </w:rPr>
                  </w:pPr>
                  <w:r>
                    <w:rPr>
                      <w:szCs w:val="21"/>
                    </w:rPr>
                    <w:t>污染物名称</w:t>
                  </w:r>
                </w:p>
              </w:tc>
              <w:tc>
                <w:tcPr>
                  <w:tcW w:w="1569" w:type="dxa"/>
                  <w:vAlign w:val="center"/>
                </w:tcPr>
                <w:p>
                  <w:pPr>
                    <w:topLinePunct/>
                    <w:adjustRightInd w:val="0"/>
                    <w:spacing w:line="300" w:lineRule="exact"/>
                    <w:jc w:val="center"/>
                    <w:textAlignment w:val="center"/>
                    <w:rPr>
                      <w:szCs w:val="21"/>
                    </w:rPr>
                  </w:pPr>
                  <w:r>
                    <w:rPr>
                      <w:szCs w:val="21"/>
                    </w:rPr>
                    <w:t>标准值</w:t>
                  </w:r>
                </w:p>
              </w:tc>
              <w:tc>
                <w:tcPr>
                  <w:tcW w:w="3612" w:type="dxa"/>
                  <w:vAlign w:val="center"/>
                </w:tcPr>
                <w:p>
                  <w:pPr>
                    <w:topLinePunct/>
                    <w:adjustRightInd w:val="0"/>
                    <w:spacing w:line="300" w:lineRule="exact"/>
                    <w:jc w:val="center"/>
                    <w:textAlignment w:val="center"/>
                    <w:rPr>
                      <w:szCs w:val="21"/>
                    </w:rPr>
                  </w:pPr>
                  <w:r>
                    <w:rPr>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85" w:hRule="atLeast"/>
                <w:tblHeader/>
                <w:jc w:val="center"/>
              </w:trPr>
              <w:tc>
                <w:tcPr>
                  <w:tcW w:w="612" w:type="dxa"/>
                  <w:tcBorders>
                    <w:top w:val="single" w:color="auto" w:sz="4" w:space="0"/>
                    <w:left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废气</w:t>
                  </w:r>
                </w:p>
              </w:tc>
              <w:tc>
                <w:tcPr>
                  <w:tcW w:w="966" w:type="dxa"/>
                  <w:tcBorders>
                    <w:top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施工扬尘</w:t>
                  </w:r>
                </w:p>
              </w:tc>
              <w:tc>
                <w:tcPr>
                  <w:tcW w:w="1409" w:type="dxa"/>
                  <w:vAlign w:val="center"/>
                </w:tcPr>
                <w:p>
                  <w:pPr>
                    <w:topLinePunct/>
                    <w:adjustRightInd w:val="0"/>
                    <w:spacing w:line="300" w:lineRule="exact"/>
                    <w:jc w:val="center"/>
                    <w:textAlignment w:val="center"/>
                    <w:rPr>
                      <w:szCs w:val="21"/>
                    </w:rPr>
                  </w:pPr>
                  <w:r>
                    <w:rPr>
                      <w:szCs w:val="21"/>
                    </w:rPr>
                    <w:t>PM</w:t>
                  </w:r>
                  <w:r>
                    <w:rPr>
                      <w:szCs w:val="21"/>
                      <w:vertAlign w:val="subscript"/>
                    </w:rPr>
                    <w:t>10</w:t>
                  </w:r>
                </w:p>
              </w:tc>
              <w:tc>
                <w:tcPr>
                  <w:tcW w:w="1569" w:type="dxa"/>
                  <w:vAlign w:val="center"/>
                </w:tcPr>
                <w:p>
                  <w:pPr>
                    <w:topLinePunct/>
                    <w:adjustRightInd w:val="0"/>
                    <w:spacing w:line="300" w:lineRule="exact"/>
                    <w:jc w:val="center"/>
                    <w:textAlignment w:val="center"/>
                    <w:rPr>
                      <w:szCs w:val="21"/>
                    </w:rPr>
                  </w:pPr>
                  <w:r>
                    <w:rPr>
                      <w:szCs w:val="21"/>
                    </w:rPr>
                    <w:t>≤80ug/m</w:t>
                  </w:r>
                  <w:r>
                    <w:rPr>
                      <w:szCs w:val="21"/>
                      <w:vertAlign w:val="superscript"/>
                    </w:rPr>
                    <w:t>3</w:t>
                  </w:r>
                </w:p>
              </w:tc>
              <w:tc>
                <w:tcPr>
                  <w:tcW w:w="3612" w:type="dxa"/>
                  <w:vAlign w:val="center"/>
                </w:tcPr>
                <w:p>
                  <w:pPr>
                    <w:topLinePunct/>
                    <w:adjustRightInd w:val="0"/>
                    <w:spacing w:line="300" w:lineRule="exact"/>
                    <w:jc w:val="center"/>
                    <w:textAlignment w:val="center"/>
                    <w:rPr>
                      <w:szCs w:val="21"/>
                    </w:rPr>
                  </w:pPr>
                  <w:r>
                    <w:rPr>
                      <w:szCs w:val="21"/>
                    </w:rPr>
                    <w:t>《施工场地扬尘排放标准》（DB13/2934—2019）表1中扬尘排放浓度限值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91" w:hRule="atLeast"/>
                <w:tblHeader/>
                <w:jc w:val="center"/>
              </w:trPr>
              <w:tc>
                <w:tcPr>
                  <w:tcW w:w="612" w:type="dxa"/>
                  <w:tcBorders>
                    <w:top w:val="single" w:color="auto" w:sz="4" w:space="0"/>
                    <w:left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噪声</w:t>
                  </w:r>
                </w:p>
              </w:tc>
              <w:tc>
                <w:tcPr>
                  <w:tcW w:w="966" w:type="dxa"/>
                  <w:tcBorders>
                    <w:top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施工噪声</w:t>
                  </w:r>
                </w:p>
              </w:tc>
              <w:tc>
                <w:tcPr>
                  <w:tcW w:w="1409" w:type="dxa"/>
                  <w:vAlign w:val="center"/>
                </w:tcPr>
                <w:p>
                  <w:pPr>
                    <w:topLinePunct/>
                    <w:adjustRightInd w:val="0"/>
                    <w:spacing w:line="300" w:lineRule="exact"/>
                    <w:jc w:val="center"/>
                    <w:textAlignment w:val="center"/>
                    <w:rPr>
                      <w:szCs w:val="21"/>
                    </w:rPr>
                  </w:pPr>
                  <w:r>
                    <w:rPr>
                      <w:szCs w:val="21"/>
                    </w:rPr>
                    <w:t>等效连续</w:t>
                  </w:r>
                </w:p>
                <w:p>
                  <w:pPr>
                    <w:topLinePunct/>
                    <w:adjustRightInd w:val="0"/>
                    <w:spacing w:line="300" w:lineRule="exact"/>
                    <w:jc w:val="center"/>
                    <w:textAlignment w:val="center"/>
                    <w:rPr>
                      <w:szCs w:val="21"/>
                    </w:rPr>
                  </w:pPr>
                  <w:r>
                    <w:rPr>
                      <w:szCs w:val="21"/>
                    </w:rPr>
                    <w:t>A声级</w:t>
                  </w:r>
                </w:p>
              </w:tc>
              <w:tc>
                <w:tcPr>
                  <w:tcW w:w="1569" w:type="dxa"/>
                  <w:vAlign w:val="center"/>
                </w:tcPr>
                <w:p>
                  <w:pPr>
                    <w:topLinePunct/>
                    <w:adjustRightInd w:val="0"/>
                    <w:spacing w:line="300" w:lineRule="exact"/>
                    <w:jc w:val="center"/>
                    <w:textAlignment w:val="center"/>
                    <w:rPr>
                      <w:szCs w:val="21"/>
                    </w:rPr>
                  </w:pPr>
                  <w:r>
                    <w:rPr>
                      <w:szCs w:val="21"/>
                    </w:rPr>
                    <w:t>昼间≤70dB(A)</w:t>
                  </w:r>
                </w:p>
                <w:p>
                  <w:pPr>
                    <w:topLinePunct/>
                    <w:adjustRightInd w:val="0"/>
                    <w:spacing w:line="300" w:lineRule="exact"/>
                    <w:jc w:val="center"/>
                    <w:textAlignment w:val="center"/>
                    <w:rPr>
                      <w:szCs w:val="21"/>
                    </w:rPr>
                  </w:pPr>
                  <w:r>
                    <w:rPr>
                      <w:szCs w:val="21"/>
                    </w:rPr>
                    <w:t>夜间≤55dB(A)</w:t>
                  </w:r>
                </w:p>
              </w:tc>
              <w:tc>
                <w:tcPr>
                  <w:tcW w:w="3612" w:type="dxa"/>
                  <w:vAlign w:val="center"/>
                </w:tcPr>
                <w:p>
                  <w:pPr>
                    <w:topLinePunct/>
                    <w:adjustRightInd w:val="0"/>
                    <w:spacing w:line="300" w:lineRule="exact"/>
                    <w:jc w:val="center"/>
                    <w:textAlignment w:val="center"/>
                    <w:rPr>
                      <w:szCs w:val="21"/>
                    </w:rPr>
                  </w:pPr>
                  <w:r>
                    <w:rPr>
                      <w:szCs w:val="21"/>
                    </w:rPr>
                    <w:t>《</w:t>
                  </w:r>
                  <w:r>
                    <w:fldChar w:fldCharType="begin"/>
                  </w:r>
                  <w:r>
                    <w:instrText xml:space="preserve"> HYPERLINK "http://kjs.mep.gov.cn/hjbhbz/bzwb/wlhj/hjzspfbz/201112/t20111222_221680.htm" \t "_blank" </w:instrText>
                  </w:r>
                  <w:r>
                    <w:fldChar w:fldCharType="separate"/>
                  </w:r>
                  <w:r>
                    <w:rPr>
                      <w:szCs w:val="21"/>
                    </w:rPr>
                    <w:t>建筑施工场界环境噪声排放标准</w:t>
                  </w:r>
                  <w:r>
                    <w:rPr>
                      <w:szCs w:val="21"/>
                    </w:rPr>
                    <w:fldChar w:fldCharType="end"/>
                  </w:r>
                  <w:r>
                    <w:rPr>
                      <w:szCs w:val="21"/>
                    </w:rPr>
                    <w:t>》</w:t>
                  </w:r>
                  <w:r>
                    <w:rPr>
                      <w:bCs/>
                      <w:szCs w:val="21"/>
                    </w:rPr>
                    <w:t>(GB12523-2011)</w:t>
                  </w:r>
                </w:p>
              </w:tc>
            </w:tr>
          </w:tbl>
          <w:p>
            <w:pPr>
              <w:spacing w:line="360" w:lineRule="auto"/>
              <w:ind w:firstLine="480"/>
              <w:rPr>
                <w:sz w:val="24"/>
                <w:szCs w:val="24"/>
              </w:rPr>
            </w:pPr>
            <w:r>
              <w:rPr>
                <w:sz w:val="24"/>
                <w:szCs w:val="24"/>
              </w:rPr>
              <w:t>（2）生产运行阶段</w:t>
            </w:r>
          </w:p>
          <w:p>
            <w:pPr>
              <w:spacing w:line="360" w:lineRule="auto"/>
              <w:ind w:firstLine="480"/>
              <w:rPr>
                <w:sz w:val="24"/>
                <w:szCs w:val="24"/>
              </w:rPr>
            </w:pPr>
            <w:r>
              <w:rPr>
                <w:sz w:val="24"/>
                <w:szCs w:val="24"/>
              </w:rPr>
              <w:t>①废气：运输扬尘、堆填场区扬尘中的颗粒物无组织排放执行《大气污染物综合排放标准》（GB16297-1996）表2无组织监控浓度限值，详见表3-1</w:t>
            </w:r>
            <w:r>
              <w:rPr>
                <w:rFonts w:hint="eastAsia"/>
                <w:sz w:val="24"/>
                <w:szCs w:val="24"/>
                <w:lang w:val="en-US" w:eastAsia="zh-CN"/>
              </w:rPr>
              <w:t>6</w:t>
            </w:r>
            <w:r>
              <w:rPr>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szCs w:val="22"/>
              </w:rPr>
            </w:pPr>
            <w:r>
              <w:rPr>
                <w:rStyle w:val="21"/>
                <w:b w:val="0"/>
              </w:rPr>
              <w:t>表3-1</w:t>
            </w:r>
            <w:r>
              <w:rPr>
                <w:rStyle w:val="21"/>
                <w:rFonts w:hint="eastAsia"/>
                <w:b w:val="0"/>
                <w:lang w:val="en-US" w:eastAsia="zh-CN"/>
              </w:rPr>
              <w:t>6</w:t>
            </w:r>
            <w:r>
              <w:rPr>
                <w:rStyle w:val="21"/>
                <w:b w:val="0"/>
              </w:rPr>
              <w:t>大气污染物排放标准</w:t>
            </w:r>
          </w:p>
          <w:tbl>
            <w:tblPr>
              <w:tblStyle w:val="23"/>
              <w:tblpPr w:leftFromText="180" w:rightFromText="180" w:vertAnchor="text" w:tblpXSpec="center" w:tblpY="1"/>
              <w:tblOverlap w:val="never"/>
              <w:tblW w:w="81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3"/>
              <w:gridCol w:w="1173"/>
              <w:gridCol w:w="1203"/>
              <w:gridCol w:w="1284"/>
              <w:gridCol w:w="38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04" w:hRule="atLeast"/>
                <w:tblHeader/>
                <w:jc w:val="center"/>
              </w:trPr>
              <w:tc>
                <w:tcPr>
                  <w:tcW w:w="613" w:type="dxa"/>
                  <w:tcBorders>
                    <w:left w:val="single" w:color="auto" w:sz="4" w:space="0"/>
                  </w:tcBorders>
                  <w:vAlign w:val="center"/>
                </w:tcPr>
                <w:p>
                  <w:pPr>
                    <w:topLinePunct/>
                    <w:adjustRightInd w:val="0"/>
                    <w:spacing w:line="300" w:lineRule="exact"/>
                    <w:jc w:val="center"/>
                    <w:textAlignment w:val="center"/>
                    <w:rPr>
                      <w:szCs w:val="21"/>
                    </w:rPr>
                  </w:pPr>
                  <w:r>
                    <w:rPr>
                      <w:szCs w:val="21"/>
                    </w:rPr>
                    <w:t>类别</w:t>
                  </w:r>
                </w:p>
              </w:tc>
              <w:tc>
                <w:tcPr>
                  <w:tcW w:w="1173" w:type="dxa"/>
                  <w:vAlign w:val="center"/>
                </w:tcPr>
                <w:p>
                  <w:pPr>
                    <w:topLinePunct/>
                    <w:adjustRightInd w:val="0"/>
                    <w:spacing w:line="300" w:lineRule="exact"/>
                    <w:jc w:val="center"/>
                    <w:textAlignment w:val="center"/>
                    <w:rPr>
                      <w:szCs w:val="21"/>
                    </w:rPr>
                  </w:pPr>
                  <w:r>
                    <w:rPr>
                      <w:szCs w:val="21"/>
                    </w:rPr>
                    <w:t>适用范围</w:t>
                  </w:r>
                </w:p>
              </w:tc>
              <w:tc>
                <w:tcPr>
                  <w:tcW w:w="1203" w:type="dxa"/>
                  <w:vAlign w:val="center"/>
                </w:tcPr>
                <w:p>
                  <w:pPr>
                    <w:topLinePunct/>
                    <w:adjustRightInd w:val="0"/>
                    <w:spacing w:line="300" w:lineRule="exact"/>
                    <w:jc w:val="center"/>
                    <w:textAlignment w:val="center"/>
                    <w:rPr>
                      <w:szCs w:val="21"/>
                    </w:rPr>
                  </w:pPr>
                  <w:r>
                    <w:rPr>
                      <w:szCs w:val="21"/>
                    </w:rPr>
                    <w:t>污染物名称</w:t>
                  </w:r>
                </w:p>
              </w:tc>
              <w:tc>
                <w:tcPr>
                  <w:tcW w:w="1284" w:type="dxa"/>
                  <w:vAlign w:val="center"/>
                </w:tcPr>
                <w:p>
                  <w:pPr>
                    <w:topLinePunct/>
                    <w:adjustRightInd w:val="0"/>
                    <w:spacing w:line="300" w:lineRule="exact"/>
                    <w:jc w:val="center"/>
                    <w:textAlignment w:val="center"/>
                    <w:rPr>
                      <w:szCs w:val="21"/>
                    </w:rPr>
                  </w:pPr>
                  <w:r>
                    <w:rPr>
                      <w:szCs w:val="21"/>
                    </w:rPr>
                    <w:t>标准值</w:t>
                  </w:r>
                </w:p>
              </w:tc>
              <w:tc>
                <w:tcPr>
                  <w:tcW w:w="3895" w:type="dxa"/>
                  <w:vAlign w:val="center"/>
                </w:tcPr>
                <w:p>
                  <w:pPr>
                    <w:topLinePunct/>
                    <w:adjustRightInd w:val="0"/>
                    <w:spacing w:line="300" w:lineRule="exact"/>
                    <w:jc w:val="center"/>
                    <w:textAlignment w:val="center"/>
                    <w:rPr>
                      <w:szCs w:val="21"/>
                    </w:rPr>
                  </w:pPr>
                  <w:r>
                    <w:rPr>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04" w:hRule="atLeast"/>
                <w:tblHeader/>
                <w:jc w:val="center"/>
              </w:trPr>
              <w:tc>
                <w:tcPr>
                  <w:tcW w:w="613" w:type="dxa"/>
                  <w:tcBorders>
                    <w:top w:val="single" w:color="auto" w:sz="4" w:space="0"/>
                    <w:left w:val="single" w:color="auto" w:sz="4" w:space="0"/>
                  </w:tcBorders>
                  <w:vAlign w:val="center"/>
                </w:tcPr>
                <w:p>
                  <w:pPr>
                    <w:topLinePunct/>
                    <w:adjustRightInd w:val="0"/>
                    <w:spacing w:line="300" w:lineRule="exact"/>
                    <w:jc w:val="center"/>
                    <w:textAlignment w:val="center"/>
                    <w:rPr>
                      <w:szCs w:val="21"/>
                    </w:rPr>
                  </w:pPr>
                  <w:r>
                    <w:rPr>
                      <w:szCs w:val="21"/>
                    </w:rPr>
                    <w:t>废气</w:t>
                  </w:r>
                </w:p>
              </w:tc>
              <w:tc>
                <w:tcPr>
                  <w:tcW w:w="1173" w:type="dxa"/>
                  <w:tcBorders>
                    <w:top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运输扬尘、作业扬尘</w:t>
                  </w:r>
                </w:p>
              </w:tc>
              <w:tc>
                <w:tcPr>
                  <w:tcW w:w="1203" w:type="dxa"/>
                  <w:vAlign w:val="center"/>
                </w:tcPr>
                <w:p>
                  <w:pPr>
                    <w:topLinePunct/>
                    <w:adjustRightInd w:val="0"/>
                    <w:spacing w:line="300" w:lineRule="exact"/>
                    <w:jc w:val="center"/>
                    <w:textAlignment w:val="center"/>
                    <w:rPr>
                      <w:szCs w:val="21"/>
                    </w:rPr>
                  </w:pPr>
                  <w:r>
                    <w:rPr>
                      <w:szCs w:val="21"/>
                    </w:rPr>
                    <w:t>颗粒物</w:t>
                  </w:r>
                </w:p>
              </w:tc>
              <w:tc>
                <w:tcPr>
                  <w:tcW w:w="1284" w:type="dxa"/>
                  <w:vAlign w:val="center"/>
                </w:tcPr>
                <w:p>
                  <w:pPr>
                    <w:topLinePunct/>
                    <w:adjustRightInd w:val="0"/>
                    <w:spacing w:line="300" w:lineRule="exact"/>
                    <w:jc w:val="center"/>
                    <w:textAlignment w:val="center"/>
                    <w:rPr>
                      <w:szCs w:val="21"/>
                    </w:rPr>
                  </w:pPr>
                  <w:r>
                    <w:rPr>
                      <w:szCs w:val="21"/>
                    </w:rPr>
                    <w:t>≤1.0mg/m</w:t>
                  </w:r>
                  <w:r>
                    <w:rPr>
                      <w:szCs w:val="21"/>
                      <w:vertAlign w:val="superscript"/>
                    </w:rPr>
                    <w:t>3</w:t>
                  </w:r>
                </w:p>
              </w:tc>
              <w:tc>
                <w:tcPr>
                  <w:tcW w:w="3895" w:type="dxa"/>
                  <w:vAlign w:val="center"/>
                </w:tcPr>
                <w:p>
                  <w:pPr>
                    <w:topLinePunct/>
                    <w:adjustRightInd w:val="0"/>
                    <w:spacing w:line="300" w:lineRule="exact"/>
                    <w:jc w:val="center"/>
                    <w:textAlignment w:val="center"/>
                    <w:rPr>
                      <w:szCs w:val="21"/>
                    </w:rPr>
                  </w:pPr>
                  <w:r>
                    <w:rPr>
                      <w:szCs w:val="21"/>
                    </w:rPr>
                    <w:t>《大气污染物综合排放标准》（GB16297-1996）表2无组织监控浓度限值</w:t>
                  </w:r>
                </w:p>
              </w:tc>
            </w:tr>
          </w:tbl>
          <w:p>
            <w:pPr>
              <w:spacing w:line="360" w:lineRule="auto"/>
              <w:ind w:firstLine="480"/>
              <w:rPr>
                <w:sz w:val="24"/>
                <w:szCs w:val="24"/>
              </w:rPr>
            </w:pPr>
            <w:r>
              <w:rPr>
                <w:rFonts w:ascii="宋体"/>
                <w:sz w:val="24"/>
                <w:szCs w:val="24"/>
              </w:rPr>
              <w:t>②</w:t>
            </w:r>
            <w:r>
              <w:rPr>
                <w:sz w:val="24"/>
                <w:szCs w:val="24"/>
              </w:rPr>
              <w:t>噪声：</w:t>
            </w:r>
            <w:r>
              <w:rPr>
                <w:rFonts w:hint="eastAsia"/>
                <w:sz w:val="24"/>
                <w:szCs w:val="24"/>
                <w:lang w:eastAsia="zh-CN"/>
              </w:rPr>
              <w:t>场</w:t>
            </w:r>
            <w:r>
              <w:rPr>
                <w:sz w:val="24"/>
                <w:szCs w:val="24"/>
              </w:rPr>
              <w:t>界噪声执行《工业企业厂界环境噪声排放标准》(GB12348-2008)2类标准限值</w:t>
            </w:r>
            <w:r>
              <w:rPr>
                <w:bCs/>
                <w:sz w:val="24"/>
                <w:szCs w:val="24"/>
              </w:rPr>
              <w:t>，详见</w:t>
            </w:r>
            <w:r>
              <w:rPr>
                <w:sz w:val="24"/>
                <w:szCs w:val="24"/>
              </w:rPr>
              <w:t>表3-1</w:t>
            </w:r>
            <w:r>
              <w:rPr>
                <w:rFonts w:hint="eastAsia"/>
                <w:sz w:val="24"/>
                <w:szCs w:val="24"/>
                <w:lang w:val="en-US" w:eastAsia="zh-CN"/>
              </w:rPr>
              <w:t>7</w:t>
            </w:r>
            <w:r>
              <w:rPr>
                <w:sz w:val="24"/>
                <w:szCs w:val="24"/>
              </w:rPr>
              <w:t>。</w:t>
            </w:r>
          </w:p>
          <w:p>
            <w:pPr>
              <w:ind w:firstLine="420"/>
              <w:jc w:val="center"/>
              <w:rPr>
                <w:rStyle w:val="21"/>
                <w:b w:val="0"/>
              </w:rPr>
            </w:pPr>
            <w:r>
              <w:rPr>
                <w:rStyle w:val="21"/>
                <w:b w:val="0"/>
              </w:rPr>
              <w:t>表3-1</w:t>
            </w:r>
            <w:r>
              <w:rPr>
                <w:rStyle w:val="21"/>
                <w:rFonts w:hint="eastAsia"/>
                <w:b w:val="0"/>
                <w:lang w:val="en-US" w:eastAsia="zh-CN"/>
              </w:rPr>
              <w:t>7</w:t>
            </w:r>
            <w:r>
              <w:rPr>
                <w:rStyle w:val="21"/>
                <w:b w:val="0"/>
              </w:rPr>
              <w:t>噪声排放标准</w:t>
            </w:r>
          </w:p>
          <w:tbl>
            <w:tblPr>
              <w:tblStyle w:val="23"/>
              <w:tblpPr w:leftFromText="180" w:rightFromText="180" w:vertAnchor="text" w:tblpXSpec="center" w:tblpY="1"/>
              <w:tblOverlap w:val="never"/>
              <w:tblW w:w="81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12"/>
              <w:gridCol w:w="1092"/>
              <w:gridCol w:w="1427"/>
              <w:gridCol w:w="1855"/>
              <w:gridCol w:w="31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04" w:hRule="atLeast"/>
                <w:tblHeader/>
                <w:jc w:val="center"/>
              </w:trPr>
              <w:tc>
                <w:tcPr>
                  <w:tcW w:w="612" w:type="dxa"/>
                  <w:tcBorders>
                    <w:left w:val="single" w:color="auto" w:sz="4" w:space="0"/>
                  </w:tcBorders>
                  <w:vAlign w:val="center"/>
                </w:tcPr>
                <w:p>
                  <w:pPr>
                    <w:topLinePunct/>
                    <w:adjustRightInd w:val="0"/>
                    <w:spacing w:line="300" w:lineRule="exact"/>
                    <w:jc w:val="center"/>
                    <w:textAlignment w:val="center"/>
                    <w:rPr>
                      <w:szCs w:val="21"/>
                    </w:rPr>
                  </w:pPr>
                  <w:r>
                    <w:rPr>
                      <w:szCs w:val="21"/>
                    </w:rPr>
                    <w:t>类别</w:t>
                  </w:r>
                </w:p>
              </w:tc>
              <w:tc>
                <w:tcPr>
                  <w:tcW w:w="1092" w:type="dxa"/>
                  <w:vAlign w:val="center"/>
                </w:tcPr>
                <w:p>
                  <w:pPr>
                    <w:topLinePunct/>
                    <w:adjustRightInd w:val="0"/>
                    <w:spacing w:line="300" w:lineRule="exact"/>
                    <w:jc w:val="center"/>
                    <w:textAlignment w:val="center"/>
                    <w:rPr>
                      <w:szCs w:val="21"/>
                    </w:rPr>
                  </w:pPr>
                  <w:r>
                    <w:rPr>
                      <w:szCs w:val="21"/>
                    </w:rPr>
                    <w:t>适用范围</w:t>
                  </w:r>
                </w:p>
              </w:tc>
              <w:tc>
                <w:tcPr>
                  <w:tcW w:w="1427" w:type="dxa"/>
                  <w:vAlign w:val="center"/>
                </w:tcPr>
                <w:p>
                  <w:pPr>
                    <w:topLinePunct/>
                    <w:adjustRightInd w:val="0"/>
                    <w:spacing w:line="300" w:lineRule="exact"/>
                    <w:jc w:val="center"/>
                    <w:textAlignment w:val="center"/>
                    <w:rPr>
                      <w:szCs w:val="21"/>
                    </w:rPr>
                  </w:pPr>
                  <w:r>
                    <w:rPr>
                      <w:szCs w:val="21"/>
                    </w:rPr>
                    <w:t>污染物名称</w:t>
                  </w:r>
                </w:p>
              </w:tc>
              <w:tc>
                <w:tcPr>
                  <w:tcW w:w="1855" w:type="dxa"/>
                  <w:vAlign w:val="center"/>
                </w:tcPr>
                <w:p>
                  <w:pPr>
                    <w:topLinePunct/>
                    <w:adjustRightInd w:val="0"/>
                    <w:spacing w:line="300" w:lineRule="exact"/>
                    <w:jc w:val="center"/>
                    <w:textAlignment w:val="center"/>
                    <w:rPr>
                      <w:szCs w:val="21"/>
                    </w:rPr>
                  </w:pPr>
                  <w:r>
                    <w:rPr>
                      <w:szCs w:val="21"/>
                    </w:rPr>
                    <w:t>标准值</w:t>
                  </w:r>
                </w:p>
              </w:tc>
              <w:tc>
                <w:tcPr>
                  <w:tcW w:w="3182" w:type="dxa"/>
                  <w:vAlign w:val="center"/>
                </w:tcPr>
                <w:p>
                  <w:pPr>
                    <w:topLinePunct/>
                    <w:adjustRightInd w:val="0"/>
                    <w:spacing w:line="300" w:lineRule="exact"/>
                    <w:jc w:val="center"/>
                    <w:textAlignment w:val="center"/>
                    <w:rPr>
                      <w:szCs w:val="21"/>
                    </w:rPr>
                  </w:pPr>
                  <w:r>
                    <w:rPr>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04" w:hRule="atLeast"/>
                <w:tblHeader/>
                <w:jc w:val="center"/>
              </w:trPr>
              <w:tc>
                <w:tcPr>
                  <w:tcW w:w="612" w:type="dxa"/>
                  <w:tcBorders>
                    <w:top w:val="single" w:color="auto" w:sz="4" w:space="0"/>
                    <w:left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噪声</w:t>
                  </w:r>
                </w:p>
              </w:tc>
              <w:tc>
                <w:tcPr>
                  <w:tcW w:w="1092" w:type="dxa"/>
                  <w:tcBorders>
                    <w:top w:val="single" w:color="auto" w:sz="4" w:space="0"/>
                    <w:bottom w:val="single" w:color="auto" w:sz="4" w:space="0"/>
                  </w:tcBorders>
                  <w:vAlign w:val="center"/>
                </w:tcPr>
                <w:p>
                  <w:pPr>
                    <w:topLinePunct/>
                    <w:adjustRightInd w:val="0"/>
                    <w:spacing w:line="300" w:lineRule="exact"/>
                    <w:jc w:val="center"/>
                    <w:textAlignment w:val="center"/>
                    <w:rPr>
                      <w:szCs w:val="21"/>
                    </w:rPr>
                  </w:pPr>
                  <w:r>
                    <w:rPr>
                      <w:szCs w:val="21"/>
                    </w:rPr>
                    <w:t>场界</w:t>
                  </w:r>
                </w:p>
              </w:tc>
              <w:tc>
                <w:tcPr>
                  <w:tcW w:w="1427" w:type="dxa"/>
                  <w:vAlign w:val="center"/>
                </w:tcPr>
                <w:p>
                  <w:pPr>
                    <w:topLinePunct/>
                    <w:adjustRightInd w:val="0"/>
                    <w:spacing w:line="300" w:lineRule="exact"/>
                    <w:jc w:val="center"/>
                    <w:textAlignment w:val="center"/>
                    <w:rPr>
                      <w:szCs w:val="21"/>
                    </w:rPr>
                  </w:pPr>
                  <w:r>
                    <w:rPr>
                      <w:szCs w:val="21"/>
                    </w:rPr>
                    <w:t>等效连续</w:t>
                  </w:r>
                </w:p>
                <w:p>
                  <w:pPr>
                    <w:topLinePunct/>
                    <w:adjustRightInd w:val="0"/>
                    <w:spacing w:line="300" w:lineRule="exact"/>
                    <w:jc w:val="center"/>
                    <w:textAlignment w:val="center"/>
                    <w:rPr>
                      <w:szCs w:val="21"/>
                    </w:rPr>
                  </w:pPr>
                  <w:r>
                    <w:rPr>
                      <w:szCs w:val="21"/>
                    </w:rPr>
                    <w:t>A声级</w:t>
                  </w:r>
                </w:p>
              </w:tc>
              <w:tc>
                <w:tcPr>
                  <w:tcW w:w="1855" w:type="dxa"/>
                  <w:vAlign w:val="center"/>
                </w:tcPr>
                <w:p>
                  <w:pPr>
                    <w:topLinePunct/>
                    <w:adjustRightInd w:val="0"/>
                    <w:spacing w:line="300" w:lineRule="exact"/>
                    <w:jc w:val="center"/>
                    <w:textAlignment w:val="center"/>
                    <w:rPr>
                      <w:szCs w:val="21"/>
                    </w:rPr>
                  </w:pPr>
                  <w:r>
                    <w:rPr>
                      <w:szCs w:val="21"/>
                    </w:rPr>
                    <w:t>昼间≤60dB(A)</w:t>
                  </w:r>
                </w:p>
                <w:p>
                  <w:pPr>
                    <w:topLinePunct/>
                    <w:adjustRightInd w:val="0"/>
                    <w:spacing w:line="300" w:lineRule="exact"/>
                    <w:jc w:val="center"/>
                    <w:textAlignment w:val="center"/>
                    <w:rPr>
                      <w:szCs w:val="21"/>
                    </w:rPr>
                  </w:pPr>
                  <w:r>
                    <w:rPr>
                      <w:szCs w:val="21"/>
                    </w:rPr>
                    <w:t>夜间≤50dB(A)</w:t>
                  </w:r>
                </w:p>
              </w:tc>
              <w:tc>
                <w:tcPr>
                  <w:tcW w:w="3182" w:type="dxa"/>
                  <w:vAlign w:val="center"/>
                </w:tcPr>
                <w:p>
                  <w:pPr>
                    <w:topLinePunct/>
                    <w:adjustRightInd w:val="0"/>
                    <w:spacing w:line="300" w:lineRule="exact"/>
                    <w:jc w:val="center"/>
                    <w:textAlignment w:val="center"/>
                    <w:rPr>
                      <w:szCs w:val="21"/>
                    </w:rPr>
                  </w:pPr>
                  <w:r>
                    <w:rPr>
                      <w:szCs w:val="21"/>
                    </w:rPr>
                    <w:t>《工业企业厂界环境噪声排放标准》(GB12348-2008)2类标准限值</w:t>
                  </w:r>
                </w:p>
              </w:tc>
            </w:tr>
          </w:tbl>
          <w:p>
            <w:pPr>
              <w:spacing w:line="360" w:lineRule="auto"/>
              <w:ind w:firstLine="422"/>
              <w:jc w:val="left"/>
              <w:rPr>
                <w:rStyle w:val="21"/>
                <w:b w:val="0"/>
                <w:sz w:val="24"/>
                <w:szCs w:val="24"/>
              </w:rPr>
            </w:pPr>
            <w:r>
              <w:rPr>
                <w:rStyle w:val="21"/>
                <w:b w:val="0"/>
                <w:sz w:val="24"/>
                <w:szCs w:val="24"/>
              </w:rPr>
              <w:t>（3）固废污染控制标准</w:t>
            </w:r>
          </w:p>
          <w:p>
            <w:pPr>
              <w:spacing w:line="360" w:lineRule="auto"/>
              <w:ind w:firstLine="422"/>
              <w:jc w:val="left"/>
              <w:rPr>
                <w:rStyle w:val="21"/>
                <w:b w:val="0"/>
                <w:sz w:val="24"/>
                <w:szCs w:val="24"/>
              </w:rPr>
            </w:pPr>
            <w:r>
              <w:rPr>
                <w:rStyle w:val="21"/>
                <w:b w:val="0"/>
                <w:sz w:val="24"/>
                <w:szCs w:val="24"/>
              </w:rPr>
              <w:t>一般固废处置执行《一般工业固体废物贮存和堆填污染控制标准》（GB18599-2020）</w:t>
            </w:r>
            <w:r>
              <w:rPr>
                <w:rStyle w:val="21"/>
                <w:rFonts w:hint="eastAsia"/>
                <w:b w:val="0"/>
                <w:sz w:val="24"/>
                <w:szCs w:val="24"/>
                <w:lang w:eastAsia="zh-CN"/>
              </w:rPr>
              <w:t>中“</w:t>
            </w:r>
            <w:r>
              <w:rPr>
                <w:rFonts w:ascii="宋体" w:hAnsi="宋体" w:eastAsia="宋体" w:cs="宋体"/>
                <w:sz w:val="24"/>
                <w:szCs w:val="24"/>
              </w:rPr>
              <w:t>防渗漏、防雨淋、防扬尘</w:t>
            </w:r>
            <w:r>
              <w:rPr>
                <w:rStyle w:val="21"/>
                <w:rFonts w:hint="eastAsia"/>
                <w:b w:val="0"/>
                <w:sz w:val="24"/>
                <w:szCs w:val="24"/>
                <w:lang w:eastAsia="zh-CN"/>
              </w:rPr>
              <w:t>”的要求</w:t>
            </w:r>
            <w:r>
              <w:rPr>
                <w:rStyle w:val="21"/>
                <w:b w:val="0"/>
                <w:sz w:val="24"/>
                <w:szCs w:val="24"/>
              </w:rPr>
              <w:t>，危险废物执行《危险废物贮存污染控制标准》（GB18597-2001）及其修改单。</w:t>
            </w:r>
          </w:p>
          <w:p>
            <w:pPr>
              <w:adjustRightInd w:val="0"/>
              <w:snapToGrid w:val="0"/>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755" w:type="dxa"/>
            <w:vAlign w:val="center"/>
          </w:tcPr>
          <w:p>
            <w:pPr>
              <w:adjustRightInd w:val="0"/>
              <w:snapToGrid w:val="0"/>
              <w:jc w:val="center"/>
              <w:rPr>
                <w:kern w:val="0"/>
                <w:sz w:val="24"/>
                <w:szCs w:val="24"/>
              </w:rPr>
            </w:pPr>
            <w:r>
              <w:rPr>
                <w:kern w:val="0"/>
                <w:sz w:val="24"/>
                <w:szCs w:val="24"/>
              </w:rPr>
              <w:t>其他</w:t>
            </w:r>
          </w:p>
        </w:tc>
        <w:tc>
          <w:tcPr>
            <w:tcW w:w="8402" w:type="dxa"/>
            <w:vAlign w:val="center"/>
          </w:tcPr>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rFonts w:hint="eastAsia" w:eastAsia="宋体"/>
                <w:kern w:val="0"/>
                <w:sz w:val="24"/>
                <w:szCs w:val="24"/>
                <w:lang w:eastAsia="zh-CN"/>
              </w:rPr>
            </w:pPr>
            <w:r>
              <w:rPr>
                <w:rFonts w:hint="eastAsia"/>
                <w:kern w:val="0"/>
                <w:sz w:val="24"/>
                <w:szCs w:val="24"/>
                <w:lang w:eastAsia="zh-CN"/>
              </w:rPr>
              <w:t>本工程</w:t>
            </w:r>
            <w:r>
              <w:rPr>
                <w:kern w:val="0"/>
                <w:sz w:val="24"/>
                <w:szCs w:val="24"/>
              </w:rPr>
              <w:t>无需申请总量控制指标</w:t>
            </w:r>
            <w:r>
              <w:rPr>
                <w:rFonts w:hint="eastAsia"/>
                <w:kern w:val="0"/>
                <w:sz w:val="24"/>
                <w:szCs w:val="24"/>
                <w:lang w:eastAsia="zh-CN"/>
              </w:rPr>
              <w:t>。</w:t>
            </w: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p>
            <w:pPr>
              <w:adjustRightInd w:val="0"/>
              <w:snapToGrid w:val="0"/>
              <w:jc w:val="center"/>
              <w:rPr>
                <w:kern w:val="0"/>
                <w:sz w:val="24"/>
                <w:szCs w:val="24"/>
              </w:rPr>
            </w:pPr>
          </w:p>
        </w:tc>
      </w:tr>
    </w:tbl>
    <w:p>
      <w:pPr>
        <w:pStyle w:val="18"/>
        <w:adjustRightInd w:val="0"/>
        <w:snapToGrid w:val="0"/>
        <w:spacing w:before="0" w:beforeAutospacing="0" w:after="0" w:afterAutospacing="0" w:line="14" w:lineRule="auto"/>
        <w:jc w:val="center"/>
        <w:outlineLvl w:val="0"/>
        <w:rPr>
          <w:rFonts w:ascii="Times New Roman" w:hAnsi="Times New Roman" w:eastAsia="黑体"/>
          <w:snapToGrid w:val="0"/>
          <w:kern w:val="2"/>
          <w:sz w:val="36"/>
          <w:szCs w:val="36"/>
        </w:r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kern w:val="2"/>
          <w:sz w:val="36"/>
          <w:szCs w:val="36"/>
        </w:rPr>
        <w:br w:type="page"/>
      </w:r>
      <w:r>
        <w:rPr>
          <w:rFonts w:ascii="Times New Roman" w:hAnsi="Times New Roman" w:eastAsia="黑体"/>
          <w:snapToGrid w:val="0"/>
          <w:sz w:val="30"/>
          <w:szCs w:val="30"/>
        </w:rPr>
        <w:t>四、生态环境影响分析</w:t>
      </w:r>
    </w:p>
    <w:tbl>
      <w:tblPr>
        <w:tblStyle w:val="23"/>
        <w:tblW w:w="924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87" w:hRule="atLeast"/>
          <w:jc w:val="center"/>
        </w:trPr>
        <w:tc>
          <w:tcPr>
            <w:tcW w:w="879" w:type="dxa"/>
            <w:tcMar>
              <w:left w:w="28" w:type="dxa"/>
              <w:right w:w="28" w:type="dxa"/>
            </w:tcMar>
            <w:vAlign w:val="center"/>
          </w:tcPr>
          <w:p>
            <w:pPr>
              <w:pStyle w:val="18"/>
              <w:adjustRightInd w:val="0"/>
              <w:snapToGrid w:val="0"/>
              <w:spacing w:before="0" w:beforeAutospacing="0" w:after="0" w:afterAutospacing="0"/>
              <w:jc w:val="center"/>
              <w:rPr>
                <w:rFonts w:ascii="Times New Roman" w:hAnsi="Times New Roman"/>
                <w:bCs/>
                <w:kern w:val="2"/>
                <w:sz w:val="21"/>
                <w:szCs w:val="21"/>
              </w:rPr>
            </w:pPr>
            <w:bookmarkStart w:id="4" w:name="_Hlk49796138"/>
            <w:r>
              <w:rPr>
                <w:rFonts w:ascii="Times New Roman" w:hAnsi="Times New Roman"/>
                <w:bCs/>
                <w:kern w:val="2"/>
                <w:sz w:val="24"/>
                <w:szCs w:val="24"/>
              </w:rPr>
              <w:t>施工期生态环境影响分析</w:t>
            </w:r>
            <w:bookmarkEnd w:id="4"/>
          </w:p>
        </w:tc>
        <w:tc>
          <w:tcPr>
            <w:tcW w:w="8363" w:type="dxa"/>
          </w:tcPr>
          <w:p>
            <w:pPr>
              <w:numPr>
                <w:ilvl w:val="0"/>
                <w:numId w:val="2"/>
              </w:numPr>
              <w:adjustRightInd w:val="0"/>
              <w:snapToGrid w:val="0"/>
              <w:spacing w:line="360" w:lineRule="auto"/>
              <w:rPr>
                <w:b/>
                <w:kern w:val="0"/>
                <w:sz w:val="24"/>
                <w:szCs w:val="24"/>
              </w:rPr>
            </w:pPr>
            <w:r>
              <w:rPr>
                <w:b/>
                <w:bCs/>
                <w:sz w:val="24"/>
                <w:szCs w:val="24"/>
              </w:rPr>
              <w:t>施工期</w:t>
            </w:r>
            <w:r>
              <w:rPr>
                <w:b/>
                <w:kern w:val="0"/>
                <w:sz w:val="24"/>
                <w:szCs w:val="24"/>
              </w:rPr>
              <w:t>工艺流程及产污环节</w:t>
            </w:r>
          </w:p>
          <w:p>
            <w:pPr>
              <w:adjustRightInd w:val="0"/>
              <w:snapToGrid w:val="0"/>
              <w:spacing w:line="360" w:lineRule="auto"/>
              <w:ind w:firstLine="480" w:firstLineChars="200"/>
              <w:rPr>
                <w:b/>
                <w:kern w:val="0"/>
                <w:sz w:val="24"/>
                <w:szCs w:val="24"/>
              </w:rPr>
            </w:pPr>
            <w:r>
              <w:rPr>
                <w:bCs/>
                <w:sz w:val="24"/>
                <w:szCs w:val="24"/>
              </w:rPr>
              <w:fldChar w:fldCharType="begin"/>
            </w:r>
            <w:r>
              <w:rPr>
                <w:bCs/>
                <w:sz w:val="24"/>
                <w:szCs w:val="24"/>
              </w:rPr>
              <w:instrText xml:space="preserve"> = 1 \* GB3 </w:instrText>
            </w:r>
            <w:r>
              <w:rPr>
                <w:bCs/>
                <w:sz w:val="24"/>
                <w:szCs w:val="24"/>
              </w:rPr>
              <w:fldChar w:fldCharType="separate"/>
            </w:r>
            <w:r>
              <w:rPr>
                <w:rFonts w:ascii="宋体"/>
                <w:bCs/>
                <w:sz w:val="24"/>
                <w:szCs w:val="24"/>
              </w:rPr>
              <w:t>①</w:t>
            </w:r>
            <w:r>
              <w:rPr>
                <w:bCs/>
                <w:sz w:val="24"/>
                <w:szCs w:val="24"/>
              </w:rPr>
              <w:fldChar w:fldCharType="end"/>
            </w:r>
            <w:r>
              <w:rPr>
                <w:kern w:val="0"/>
                <w:sz w:val="24"/>
                <w:szCs w:val="24"/>
              </w:rPr>
              <w:t>施工期工艺流程及产污环节图</w:t>
            </w:r>
          </w:p>
          <w:p>
            <w:pPr>
              <w:adjustRightInd w:val="0"/>
              <w:snapToGrid w:val="0"/>
              <w:spacing w:line="360" w:lineRule="auto"/>
              <w:rPr>
                <w:b/>
                <w:kern w:val="0"/>
                <w:szCs w:val="21"/>
              </w:rPr>
            </w:pPr>
            <w:r>
              <w:rPr>
                <w:b/>
                <w:kern w:val="0"/>
                <w:szCs w:val="21"/>
              </w:rPr>
              <w:drawing>
                <wp:inline distT="0" distB="0" distL="0" distR="0">
                  <wp:extent cx="5133975" cy="11049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srcRect l="343" r="380"/>
                          <a:stretch>
                            <a:fillRect/>
                          </a:stretch>
                        </pic:blipFill>
                        <pic:spPr>
                          <a:xfrm>
                            <a:off x="0" y="0"/>
                            <a:ext cx="5133975" cy="1104900"/>
                          </a:xfrm>
                          <a:prstGeom prst="rect">
                            <a:avLst/>
                          </a:prstGeom>
                          <a:noFill/>
                          <a:ln w="9525">
                            <a:noFill/>
                            <a:miter lim="800000"/>
                            <a:headEnd/>
                            <a:tailEnd/>
                          </a:ln>
                        </pic:spPr>
                      </pic:pic>
                    </a:graphicData>
                  </a:graphic>
                </wp:inline>
              </w:drawing>
            </w:r>
          </w:p>
          <w:p>
            <w:pPr>
              <w:adjustRightInd w:val="0"/>
              <w:snapToGrid w:val="0"/>
              <w:spacing w:line="360" w:lineRule="auto"/>
              <w:ind w:firstLine="420" w:firstLineChars="200"/>
              <w:jc w:val="center"/>
              <w:rPr>
                <w:kern w:val="0"/>
                <w:szCs w:val="21"/>
              </w:rPr>
            </w:pPr>
            <w:r>
              <w:rPr>
                <w:kern w:val="0"/>
                <w:szCs w:val="21"/>
              </w:rPr>
              <w:t>图4-1</w:t>
            </w:r>
            <w:r>
              <w:rPr>
                <w:rFonts w:hint="eastAsia"/>
                <w:kern w:val="0"/>
                <w:szCs w:val="21"/>
                <w:lang w:eastAsia="zh-CN"/>
              </w:rPr>
              <w:t>工程</w:t>
            </w:r>
            <w:r>
              <w:rPr>
                <w:kern w:val="0"/>
                <w:szCs w:val="21"/>
              </w:rPr>
              <w:t>施工期工艺流程及产污环节图</w:t>
            </w:r>
          </w:p>
          <w:p>
            <w:pPr>
              <w:adjustRightInd w:val="0"/>
              <w:snapToGrid w:val="0"/>
              <w:spacing w:line="360" w:lineRule="auto"/>
              <w:ind w:firstLine="480" w:firstLineChars="200"/>
              <w:rPr>
                <w:bCs/>
                <w:sz w:val="24"/>
                <w:szCs w:val="24"/>
              </w:rPr>
            </w:pPr>
            <w:r>
              <w:rPr>
                <w:bCs/>
                <w:sz w:val="24"/>
                <w:szCs w:val="24"/>
              </w:rPr>
              <w:fldChar w:fldCharType="begin"/>
            </w:r>
            <w:r>
              <w:rPr>
                <w:bCs/>
                <w:sz w:val="24"/>
                <w:szCs w:val="24"/>
              </w:rPr>
              <w:instrText xml:space="preserve"> = 2 \* GB3 </w:instrText>
            </w:r>
            <w:r>
              <w:rPr>
                <w:bCs/>
                <w:sz w:val="24"/>
                <w:szCs w:val="24"/>
              </w:rPr>
              <w:fldChar w:fldCharType="separate"/>
            </w:r>
            <w:r>
              <w:rPr>
                <w:rFonts w:ascii="宋体"/>
                <w:bCs/>
                <w:sz w:val="24"/>
                <w:szCs w:val="24"/>
              </w:rPr>
              <w:t>②</w:t>
            </w:r>
            <w:r>
              <w:rPr>
                <w:bCs/>
                <w:sz w:val="24"/>
                <w:szCs w:val="24"/>
              </w:rPr>
              <w:fldChar w:fldCharType="end"/>
            </w:r>
            <w:r>
              <w:rPr>
                <w:bCs/>
                <w:sz w:val="24"/>
                <w:szCs w:val="24"/>
              </w:rPr>
              <w:t>施工期工艺流程描述</w:t>
            </w:r>
          </w:p>
          <w:p>
            <w:pPr>
              <w:adjustRightInd w:val="0"/>
              <w:snapToGrid w:val="0"/>
              <w:spacing w:line="360" w:lineRule="auto"/>
              <w:ind w:firstLine="480" w:firstLineChars="200"/>
              <w:rPr>
                <w:bCs/>
                <w:sz w:val="24"/>
                <w:szCs w:val="24"/>
              </w:rPr>
            </w:pPr>
            <w:r>
              <w:rPr>
                <w:rFonts w:hint="eastAsia"/>
                <w:bCs/>
                <w:sz w:val="24"/>
                <w:szCs w:val="24"/>
                <w:lang w:eastAsia="zh-CN"/>
              </w:rPr>
              <w:t>工程</w:t>
            </w:r>
            <w:r>
              <w:rPr>
                <w:bCs/>
                <w:sz w:val="24"/>
                <w:szCs w:val="24"/>
              </w:rPr>
              <w:t>施工期施工内容主要包括堆填区、办公生活设施及辅助设施、电力设施及进场道路建设等。施工期进行场地开挖、清表、平整、压实、铺设防渗层、回填取土等工程施工，将产生废气、废水、噪声和固体废物，同时将破坏地表植被，破坏土壤层结构，造成区域水土流失加剧。</w:t>
            </w:r>
          </w:p>
          <w:p>
            <w:pPr>
              <w:adjustRightInd w:val="0"/>
              <w:snapToGrid w:val="0"/>
              <w:spacing w:line="360" w:lineRule="auto"/>
              <w:ind w:firstLine="480" w:firstLineChars="200"/>
              <w:rPr>
                <w:bCs/>
                <w:sz w:val="24"/>
                <w:szCs w:val="24"/>
              </w:rPr>
            </w:pPr>
            <w:r>
              <w:rPr>
                <w:bCs/>
                <w:sz w:val="24"/>
                <w:szCs w:val="24"/>
              </w:rPr>
              <w:fldChar w:fldCharType="begin"/>
            </w:r>
            <w:r>
              <w:rPr>
                <w:bCs/>
                <w:sz w:val="24"/>
                <w:szCs w:val="24"/>
              </w:rPr>
              <w:instrText xml:space="preserve"> = 3 \* GB3 </w:instrText>
            </w:r>
            <w:r>
              <w:rPr>
                <w:bCs/>
                <w:sz w:val="24"/>
                <w:szCs w:val="24"/>
              </w:rPr>
              <w:fldChar w:fldCharType="separate"/>
            </w:r>
            <w:r>
              <w:rPr>
                <w:rFonts w:ascii="宋体"/>
                <w:bCs/>
                <w:sz w:val="24"/>
                <w:szCs w:val="24"/>
              </w:rPr>
              <w:t>③</w:t>
            </w:r>
            <w:r>
              <w:rPr>
                <w:bCs/>
                <w:sz w:val="24"/>
                <w:szCs w:val="24"/>
              </w:rPr>
              <w:fldChar w:fldCharType="end"/>
            </w:r>
            <w:r>
              <w:rPr>
                <w:bCs/>
                <w:sz w:val="24"/>
                <w:szCs w:val="24"/>
              </w:rPr>
              <w:t>施工期产污环节</w:t>
            </w:r>
          </w:p>
          <w:p>
            <w:pPr>
              <w:adjustRightInd w:val="0"/>
              <w:snapToGrid w:val="0"/>
              <w:spacing w:line="360" w:lineRule="auto"/>
              <w:ind w:firstLine="480" w:firstLineChars="200"/>
              <w:rPr>
                <w:bCs/>
                <w:sz w:val="24"/>
                <w:szCs w:val="24"/>
              </w:rPr>
            </w:pPr>
            <w:r>
              <w:rPr>
                <w:bCs/>
                <w:sz w:val="24"/>
                <w:szCs w:val="24"/>
              </w:rPr>
              <w:t>本</w:t>
            </w:r>
            <w:r>
              <w:rPr>
                <w:rFonts w:hint="eastAsia"/>
                <w:bCs/>
                <w:sz w:val="24"/>
                <w:szCs w:val="24"/>
                <w:lang w:eastAsia="zh-CN"/>
              </w:rPr>
              <w:t>工程</w:t>
            </w:r>
            <w:r>
              <w:rPr>
                <w:bCs/>
                <w:sz w:val="24"/>
                <w:szCs w:val="24"/>
              </w:rPr>
              <w:t>施工期产污环节见表4-1。</w:t>
            </w:r>
          </w:p>
          <w:p>
            <w:pPr>
              <w:ind w:firstLine="422"/>
              <w:jc w:val="center"/>
              <w:rPr>
                <w:szCs w:val="21"/>
              </w:rPr>
            </w:pPr>
            <w:r>
              <w:rPr>
                <w:szCs w:val="21"/>
              </w:rPr>
              <w:t>表4-1施工期产污环节及治理措施一览表</w:t>
            </w:r>
          </w:p>
          <w:tbl>
            <w:tblPr>
              <w:tblStyle w:val="23"/>
              <w:tblW w:w="8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37"/>
              <w:gridCol w:w="1517"/>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474" w:type="dxa"/>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类别</w:t>
                  </w:r>
                </w:p>
              </w:tc>
              <w:tc>
                <w:tcPr>
                  <w:tcW w:w="1937" w:type="dxa"/>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排放源</w:t>
                  </w:r>
                </w:p>
              </w:tc>
              <w:tc>
                <w:tcPr>
                  <w:tcW w:w="1517" w:type="dxa"/>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污染物</w:t>
                  </w:r>
                </w:p>
              </w:tc>
              <w:tc>
                <w:tcPr>
                  <w:tcW w:w="3209" w:type="dxa"/>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废气</w:t>
                  </w: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工程施工</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扬尘</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废水</w:t>
                  </w: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工程施工</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施工废水</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vAlign w:val="center"/>
                </w:tcPr>
                <w:p>
                  <w:pPr>
                    <w:pStyle w:val="49"/>
                    <w:framePr w:hSpace="0" w:wrap="auto" w:vAnchor="margin" w:hAnchor="text" w:xAlign="left" w:yAlign="inline"/>
                    <w:spacing w:line="280" w:lineRule="exact"/>
                    <w:rPr>
                      <w:rFonts w:ascii="Times New Roman" w:hAnsi="Times New Roman"/>
                      <w:bCs/>
                    </w:rPr>
                  </w:pP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施工人员</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生活污水</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SS、COD、BOD</w:t>
                  </w:r>
                  <w:r>
                    <w:rPr>
                      <w:rFonts w:ascii="Times New Roman" w:hAnsi="Times New Roman"/>
                      <w:vertAlign w:val="subscript"/>
                    </w:rPr>
                    <w:t>5</w:t>
                  </w:r>
                  <w:r>
                    <w:rPr>
                      <w:rFonts w:ascii="Times New Roman" w:hAnsi="Times New Roman"/>
                    </w:rPr>
                    <w:t>、NH</w:t>
                  </w:r>
                  <w:r>
                    <w:rPr>
                      <w:rFonts w:ascii="Times New Roman" w:hAnsi="Times New Roman"/>
                      <w:vertAlign w:val="subscript"/>
                    </w:rPr>
                    <w:t>3</w:t>
                  </w:r>
                  <w:r>
                    <w:rPr>
                      <w:rFonts w:ascii="Times New Roman" w:hAnsi="Times New Roman"/>
                    </w:rPr>
                    <w:t>-N等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噪声</w:t>
                  </w: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工程施工</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噪声</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vAlign w:val="center"/>
                </w:tcPr>
                <w:p>
                  <w:pPr>
                    <w:pStyle w:val="49"/>
                    <w:framePr w:hSpace="0" w:wrap="auto" w:vAnchor="margin" w:hAnchor="text" w:xAlign="left" w:yAlign="inline"/>
                    <w:spacing w:line="280" w:lineRule="exact"/>
                    <w:rPr>
                      <w:rFonts w:ascii="Times New Roman" w:hAnsi="Times New Roman"/>
                      <w:bCs/>
                    </w:rPr>
                  </w:pP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运输车辆</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噪声</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restart"/>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固体废物</w:t>
                  </w: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工程施工</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建筑垃圾</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剥离表土、建筑垃圾、废弃土石方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Merge w:val="continue"/>
                  <w:vAlign w:val="center"/>
                </w:tcPr>
                <w:p>
                  <w:pPr>
                    <w:pStyle w:val="49"/>
                    <w:framePr w:hSpace="0" w:wrap="auto" w:vAnchor="margin" w:hAnchor="text" w:xAlign="left" w:yAlign="inline"/>
                    <w:spacing w:line="280" w:lineRule="exact"/>
                    <w:rPr>
                      <w:rFonts w:ascii="Times New Roman" w:hAnsi="Times New Roman"/>
                      <w:bCs/>
                    </w:rPr>
                  </w:pP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施工人员</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生活垃圾</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4" w:type="dxa"/>
                  <w:vAlign w:val="center"/>
                </w:tcPr>
                <w:p>
                  <w:pPr>
                    <w:pStyle w:val="49"/>
                    <w:framePr w:hSpace="0" w:wrap="auto" w:vAnchor="margin" w:hAnchor="text" w:xAlign="left" w:yAlign="inline"/>
                    <w:spacing w:line="280" w:lineRule="exact"/>
                    <w:rPr>
                      <w:rFonts w:ascii="Times New Roman" w:hAnsi="Times New Roman"/>
                      <w:bCs/>
                    </w:rPr>
                  </w:pPr>
                  <w:r>
                    <w:rPr>
                      <w:rFonts w:ascii="Times New Roman" w:hAnsi="Times New Roman"/>
                      <w:bCs/>
                    </w:rPr>
                    <w:t>生态</w:t>
                  </w:r>
                </w:p>
              </w:tc>
              <w:tc>
                <w:tcPr>
                  <w:tcW w:w="193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工程施工</w:t>
                  </w:r>
                </w:p>
              </w:tc>
              <w:tc>
                <w:tcPr>
                  <w:tcW w:w="1517"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w:t>
                  </w:r>
                </w:p>
              </w:tc>
              <w:tc>
                <w:tcPr>
                  <w:tcW w:w="3209" w:type="dxa"/>
                  <w:vAlign w:val="center"/>
                </w:tcPr>
                <w:p>
                  <w:pPr>
                    <w:pStyle w:val="49"/>
                    <w:framePr w:hSpace="0" w:wrap="auto" w:vAnchor="margin" w:hAnchor="text" w:xAlign="left" w:yAlign="inline"/>
                    <w:spacing w:line="280" w:lineRule="exact"/>
                    <w:rPr>
                      <w:rFonts w:ascii="Times New Roman" w:hAnsi="Times New Roman"/>
                    </w:rPr>
                  </w:pPr>
                  <w:r>
                    <w:rPr>
                      <w:rFonts w:ascii="Times New Roman" w:hAnsi="Times New Roman"/>
                    </w:rPr>
                    <w:t>新增占地</w:t>
                  </w:r>
                </w:p>
              </w:tc>
            </w:tr>
          </w:tbl>
          <w:p>
            <w:pPr>
              <w:adjustRightInd w:val="0"/>
              <w:snapToGrid w:val="0"/>
              <w:spacing w:line="360" w:lineRule="auto"/>
              <w:ind w:firstLine="482" w:firstLineChars="200"/>
              <w:rPr>
                <w:b/>
                <w:bCs/>
                <w:sz w:val="24"/>
                <w:szCs w:val="24"/>
              </w:rPr>
            </w:pPr>
            <w:r>
              <w:rPr>
                <w:b/>
                <w:bCs/>
                <w:sz w:val="24"/>
                <w:szCs w:val="24"/>
              </w:rPr>
              <w:t>二、施工期生态环境影响分析</w:t>
            </w:r>
          </w:p>
          <w:p>
            <w:pPr>
              <w:adjustRightInd w:val="0"/>
              <w:snapToGrid w:val="0"/>
              <w:spacing w:line="360" w:lineRule="auto"/>
              <w:ind w:firstLine="480" w:firstLineChars="200"/>
              <w:rPr>
                <w:bCs/>
                <w:sz w:val="24"/>
                <w:szCs w:val="24"/>
              </w:rPr>
            </w:pPr>
            <w:r>
              <w:rPr>
                <w:bCs/>
                <w:sz w:val="24"/>
                <w:szCs w:val="24"/>
              </w:rPr>
              <w:t>1、大气</w:t>
            </w:r>
            <w:r>
              <w:rPr>
                <w:sz w:val="24"/>
                <w:szCs w:val="24"/>
              </w:rPr>
              <w:t>环境影响分析</w:t>
            </w:r>
          </w:p>
          <w:p>
            <w:pPr>
              <w:adjustRightInd w:val="0"/>
              <w:snapToGrid w:val="0"/>
              <w:spacing w:line="360" w:lineRule="auto"/>
              <w:ind w:firstLine="480" w:firstLineChars="200"/>
              <w:rPr>
                <w:bCs/>
                <w:sz w:val="24"/>
                <w:szCs w:val="24"/>
              </w:rPr>
            </w:pPr>
            <w:r>
              <w:rPr>
                <w:bCs/>
                <w:sz w:val="24"/>
                <w:szCs w:val="24"/>
              </w:rPr>
              <w:t>（1）施工扬尘</w:t>
            </w:r>
          </w:p>
          <w:p>
            <w:pPr>
              <w:adjustRightInd w:val="0"/>
              <w:snapToGrid w:val="0"/>
              <w:spacing w:line="360" w:lineRule="auto"/>
              <w:ind w:firstLine="480" w:firstLineChars="200"/>
              <w:rPr>
                <w:bCs/>
                <w:sz w:val="24"/>
                <w:szCs w:val="24"/>
              </w:rPr>
            </w:pPr>
            <w:r>
              <w:rPr>
                <w:bCs/>
                <w:sz w:val="24"/>
                <w:szCs w:val="24"/>
              </w:rPr>
              <w:t>施工期土石方开挖以及建筑砂石料的装卸、转运及运输过程，均会造成地面扬尘污染环境，其扬尘量的大小与施工现场条件、管理水平、机械化程度及施工季节、土质结构、天气条件等诸多因素有关，是一个复杂、难于定量的问题。类比潼关县建筑垃圾堆填场建设项目，施工场地扬尘一般为2.2～3.4mg/m</w:t>
            </w:r>
            <w:r>
              <w:rPr>
                <w:bCs/>
                <w:sz w:val="24"/>
                <w:szCs w:val="24"/>
                <w:vertAlign w:val="superscript"/>
              </w:rPr>
              <w:t>3</w:t>
            </w:r>
            <w:r>
              <w:rPr>
                <w:bCs/>
                <w:sz w:val="24"/>
                <w:szCs w:val="24"/>
              </w:rPr>
              <w:t>，施工场地下风向10m处施工扬尘可控制在0.7mg/m</w:t>
            </w:r>
            <w:r>
              <w:rPr>
                <w:bCs/>
                <w:sz w:val="24"/>
                <w:szCs w:val="24"/>
                <w:vertAlign w:val="superscript"/>
              </w:rPr>
              <w:t>3</w:t>
            </w:r>
            <w:r>
              <w:rPr>
                <w:bCs/>
                <w:sz w:val="24"/>
                <w:szCs w:val="24"/>
              </w:rPr>
              <w:t>，</w:t>
            </w:r>
            <w:r>
              <w:rPr>
                <w:sz w:val="24"/>
                <w:szCs w:val="24"/>
              </w:rPr>
              <w:t>符合《施工场地扬尘排放标准》（DB13/2934—2019）表1中扬尘排放浓度限值，施工扬尘对环境造成的影响较小。</w:t>
            </w:r>
          </w:p>
          <w:p>
            <w:pPr>
              <w:adjustRightInd w:val="0"/>
              <w:snapToGrid w:val="0"/>
              <w:spacing w:line="360" w:lineRule="auto"/>
              <w:ind w:firstLine="482" w:firstLineChars="200"/>
              <w:rPr>
                <w:b/>
                <w:bCs/>
                <w:sz w:val="24"/>
                <w:szCs w:val="24"/>
              </w:rPr>
            </w:pPr>
            <w:r>
              <w:rPr>
                <w:b/>
                <w:bCs/>
                <w:sz w:val="24"/>
                <w:szCs w:val="24"/>
              </w:rPr>
              <w:t>（2）施工机械废气</w:t>
            </w:r>
          </w:p>
          <w:p>
            <w:pPr>
              <w:adjustRightInd w:val="0"/>
              <w:snapToGrid w:val="0"/>
              <w:spacing w:line="360" w:lineRule="auto"/>
              <w:ind w:firstLine="480" w:firstLineChars="200"/>
              <w:rPr>
                <w:bCs/>
                <w:sz w:val="24"/>
                <w:szCs w:val="24"/>
              </w:rPr>
            </w:pPr>
            <w:r>
              <w:rPr>
                <w:bCs/>
                <w:sz w:val="24"/>
                <w:szCs w:val="24"/>
              </w:rPr>
              <w:t>施工期间使用机动车运送原料、设备和建筑机械设备的运转，均会排放一定量的CO、NOx以及未完全燃烧的THC等，其特点是排放量小，且属于间断性无组织排放，本</w:t>
            </w:r>
            <w:r>
              <w:rPr>
                <w:rFonts w:hint="eastAsia"/>
                <w:bCs/>
                <w:sz w:val="24"/>
                <w:szCs w:val="24"/>
                <w:lang w:eastAsia="zh-CN"/>
              </w:rPr>
              <w:t>工程</w:t>
            </w:r>
            <w:r>
              <w:rPr>
                <w:bCs/>
                <w:sz w:val="24"/>
                <w:szCs w:val="24"/>
              </w:rPr>
              <w:t>场地开阔，扩散条件好，施工机械废气对环境造成的影响较小。</w:t>
            </w:r>
          </w:p>
          <w:p>
            <w:pPr>
              <w:adjustRightInd w:val="0"/>
              <w:snapToGrid w:val="0"/>
              <w:spacing w:line="360" w:lineRule="auto"/>
              <w:ind w:firstLine="482" w:firstLineChars="200"/>
              <w:rPr>
                <w:b/>
                <w:bCs/>
                <w:sz w:val="24"/>
                <w:szCs w:val="24"/>
              </w:rPr>
            </w:pPr>
            <w:r>
              <w:rPr>
                <w:b/>
                <w:bCs/>
                <w:sz w:val="24"/>
                <w:szCs w:val="24"/>
              </w:rPr>
              <w:t>2、水</w:t>
            </w:r>
            <w:r>
              <w:rPr>
                <w:b/>
                <w:sz w:val="24"/>
                <w:szCs w:val="24"/>
              </w:rPr>
              <w:t>环境影响分析</w:t>
            </w:r>
          </w:p>
          <w:p>
            <w:pPr>
              <w:adjustRightInd w:val="0"/>
              <w:snapToGrid w:val="0"/>
              <w:spacing w:line="360" w:lineRule="auto"/>
              <w:ind w:firstLine="480" w:firstLineChars="200"/>
              <w:rPr>
                <w:bCs/>
                <w:sz w:val="24"/>
                <w:szCs w:val="24"/>
              </w:rPr>
            </w:pPr>
            <w:r>
              <w:rPr>
                <w:rFonts w:hint="eastAsia"/>
                <w:bCs/>
                <w:sz w:val="24"/>
                <w:szCs w:val="24"/>
                <w:lang w:eastAsia="zh-CN"/>
              </w:rPr>
              <w:t>工程</w:t>
            </w:r>
            <w:r>
              <w:rPr>
                <w:bCs/>
                <w:sz w:val="24"/>
                <w:szCs w:val="24"/>
              </w:rPr>
              <w:t>施工期搅拌砂浆、润湿建筑材料、清洗施工设备等施工活动将产生少量施工生产废水，施工人员生活将产生少量生活污水。</w:t>
            </w:r>
            <w:r>
              <w:rPr>
                <w:rFonts w:hint="eastAsia"/>
                <w:bCs/>
                <w:sz w:val="24"/>
                <w:szCs w:val="24"/>
                <w:lang w:eastAsia="zh-CN"/>
              </w:rPr>
              <w:t>本工程</w:t>
            </w:r>
            <w:r>
              <w:rPr>
                <w:bCs/>
                <w:sz w:val="24"/>
                <w:szCs w:val="24"/>
              </w:rPr>
              <w:t>施工期劳动定员20人，施工期不设施工营地，施工人员食宿依托周围村镇，生活污水产生量较少，本</w:t>
            </w:r>
            <w:r>
              <w:rPr>
                <w:rFonts w:hint="eastAsia"/>
                <w:bCs/>
                <w:sz w:val="24"/>
                <w:szCs w:val="24"/>
                <w:lang w:eastAsia="zh-CN"/>
              </w:rPr>
              <w:t>工程</w:t>
            </w:r>
            <w:r>
              <w:rPr>
                <w:bCs/>
                <w:sz w:val="24"/>
                <w:szCs w:val="24"/>
              </w:rPr>
              <w:t>在施工场地设1座防渗旱厕，旱厕定期清掏堆肥。施工生产废水的主要污染物为SS，生活污水主要为施工人员洗漱废水，水质简单，评价要求施工场地设置施工废水沉淀池，生产废水和生活污水经沉淀处理后用于施工场地洒水抑尘，不外排，则施工废水对环境造成的影响较小。</w:t>
            </w:r>
          </w:p>
          <w:p>
            <w:pPr>
              <w:adjustRightInd w:val="0"/>
              <w:snapToGrid w:val="0"/>
              <w:spacing w:line="360" w:lineRule="auto"/>
              <w:ind w:firstLine="482" w:firstLineChars="200"/>
              <w:rPr>
                <w:b/>
                <w:bCs/>
                <w:sz w:val="24"/>
                <w:szCs w:val="24"/>
              </w:rPr>
            </w:pPr>
            <w:r>
              <w:rPr>
                <w:b/>
                <w:bCs/>
                <w:sz w:val="24"/>
                <w:szCs w:val="24"/>
              </w:rPr>
              <w:t>3、声</w:t>
            </w:r>
            <w:r>
              <w:rPr>
                <w:b/>
                <w:sz w:val="24"/>
                <w:szCs w:val="24"/>
              </w:rPr>
              <w:t>环境影响分析</w:t>
            </w:r>
          </w:p>
          <w:p>
            <w:pPr>
              <w:adjustRightInd w:val="0"/>
              <w:snapToGrid w:val="0"/>
              <w:spacing w:line="360" w:lineRule="auto"/>
              <w:ind w:firstLine="480" w:firstLineChars="200"/>
              <w:rPr>
                <w:bCs/>
                <w:sz w:val="24"/>
                <w:szCs w:val="24"/>
              </w:rPr>
            </w:pPr>
            <w:r>
              <w:rPr>
                <w:bCs/>
                <w:sz w:val="24"/>
                <w:szCs w:val="24"/>
              </w:rPr>
              <w:t>施工期的噪声主要可分为施工噪声和交通运输噪声两类。</w:t>
            </w:r>
          </w:p>
          <w:p>
            <w:pPr>
              <w:adjustRightInd w:val="0"/>
              <w:snapToGrid w:val="0"/>
              <w:spacing w:line="360" w:lineRule="auto"/>
              <w:ind w:firstLine="480" w:firstLineChars="200"/>
              <w:rPr>
                <w:bCs/>
                <w:sz w:val="24"/>
                <w:szCs w:val="24"/>
              </w:rPr>
            </w:pPr>
            <w:r>
              <w:rPr>
                <w:bCs/>
                <w:sz w:val="24"/>
                <w:szCs w:val="24"/>
              </w:rPr>
              <w:t>在施工过程中，由于各种施工机械设备的运转和各类车辆的运行，不可避免地产生噪声污染。类比潼关县建筑垃圾堆填场建设项目，主要施工机械的噪声状况列于表4-2。</w:t>
            </w:r>
          </w:p>
          <w:p>
            <w:pPr>
              <w:jc w:val="center"/>
              <w:rPr>
                <w:szCs w:val="21"/>
              </w:rPr>
            </w:pPr>
            <w:r>
              <w:rPr>
                <w:szCs w:val="21"/>
              </w:rPr>
              <w:t>表4-2主要施工机械噪声源强一览表</w:t>
            </w:r>
          </w:p>
          <w:tbl>
            <w:tblPr>
              <w:tblStyle w:val="23"/>
              <w:tblW w:w="8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81"/>
              <w:gridCol w:w="1706"/>
              <w:gridCol w:w="693"/>
              <w:gridCol w:w="693"/>
              <w:gridCol w:w="693"/>
              <w:gridCol w:w="693"/>
              <w:gridCol w:w="701"/>
              <w:gridCol w:w="701"/>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序号</w:t>
                  </w:r>
                </w:p>
              </w:tc>
              <w:tc>
                <w:tcPr>
                  <w:tcW w:w="1081"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设备名称</w:t>
                  </w:r>
                </w:p>
              </w:tc>
              <w:tc>
                <w:tcPr>
                  <w:tcW w:w="1706" w:type="dxa"/>
                  <w:vAlign w:val="center"/>
                </w:tcPr>
                <w:p>
                  <w:pPr>
                    <w:pStyle w:val="49"/>
                    <w:framePr w:hSpace="0" w:wrap="auto" w:vAnchor="margin" w:hAnchor="text" w:xAlign="left" w:yAlign="inline"/>
                    <w:rPr>
                      <w:rFonts w:ascii="Times New Roman" w:hAnsi="Times New Roman"/>
                      <w:bCs/>
                    </w:rPr>
                  </w:pPr>
                  <w:r>
                    <w:rPr>
                      <w:rFonts w:ascii="Times New Roman" w:hAnsi="Times New Roman"/>
                      <w:bCs/>
                    </w:rPr>
                    <w:t>噪声源强dB(A)</w:t>
                  </w:r>
                </w:p>
              </w:tc>
              <w:tc>
                <w:tcPr>
                  <w:tcW w:w="693" w:type="dxa"/>
                  <w:vAlign w:val="center"/>
                </w:tcPr>
                <w:p>
                  <w:pPr>
                    <w:jc w:val="center"/>
                    <w:rPr>
                      <w:color w:val="000000"/>
                      <w:sz w:val="22"/>
                      <w:szCs w:val="22"/>
                    </w:rPr>
                  </w:pPr>
                  <w:r>
                    <w:rPr>
                      <w:color w:val="000000"/>
                      <w:sz w:val="22"/>
                      <w:szCs w:val="22"/>
                    </w:rPr>
                    <w:t>20</w:t>
                  </w:r>
                </w:p>
              </w:tc>
              <w:tc>
                <w:tcPr>
                  <w:tcW w:w="693" w:type="dxa"/>
                  <w:vAlign w:val="center"/>
                </w:tcPr>
                <w:p>
                  <w:pPr>
                    <w:jc w:val="center"/>
                    <w:rPr>
                      <w:color w:val="000000"/>
                      <w:sz w:val="22"/>
                      <w:szCs w:val="22"/>
                    </w:rPr>
                  </w:pPr>
                  <w:r>
                    <w:rPr>
                      <w:color w:val="000000"/>
                      <w:sz w:val="22"/>
                      <w:szCs w:val="22"/>
                    </w:rPr>
                    <w:t>30</w:t>
                  </w:r>
                </w:p>
              </w:tc>
              <w:tc>
                <w:tcPr>
                  <w:tcW w:w="693" w:type="dxa"/>
                  <w:vAlign w:val="center"/>
                </w:tcPr>
                <w:p>
                  <w:pPr>
                    <w:jc w:val="center"/>
                    <w:rPr>
                      <w:color w:val="000000"/>
                      <w:sz w:val="22"/>
                      <w:szCs w:val="22"/>
                    </w:rPr>
                  </w:pPr>
                  <w:r>
                    <w:rPr>
                      <w:color w:val="000000"/>
                      <w:sz w:val="22"/>
                      <w:szCs w:val="22"/>
                    </w:rPr>
                    <w:t>40</w:t>
                  </w:r>
                </w:p>
              </w:tc>
              <w:tc>
                <w:tcPr>
                  <w:tcW w:w="693" w:type="dxa"/>
                  <w:vAlign w:val="center"/>
                </w:tcPr>
                <w:p>
                  <w:pPr>
                    <w:jc w:val="center"/>
                    <w:rPr>
                      <w:color w:val="000000"/>
                      <w:sz w:val="22"/>
                      <w:szCs w:val="22"/>
                    </w:rPr>
                  </w:pPr>
                  <w:r>
                    <w:rPr>
                      <w:color w:val="000000"/>
                      <w:sz w:val="22"/>
                      <w:szCs w:val="22"/>
                    </w:rPr>
                    <w:t>60</w:t>
                  </w:r>
                </w:p>
              </w:tc>
              <w:tc>
                <w:tcPr>
                  <w:tcW w:w="701" w:type="dxa"/>
                  <w:vAlign w:val="center"/>
                </w:tcPr>
                <w:p>
                  <w:pPr>
                    <w:jc w:val="center"/>
                    <w:rPr>
                      <w:color w:val="000000"/>
                      <w:sz w:val="22"/>
                      <w:szCs w:val="22"/>
                    </w:rPr>
                  </w:pPr>
                  <w:r>
                    <w:rPr>
                      <w:color w:val="000000"/>
                      <w:sz w:val="22"/>
                      <w:szCs w:val="22"/>
                    </w:rPr>
                    <w:t>80</w:t>
                  </w:r>
                </w:p>
              </w:tc>
              <w:tc>
                <w:tcPr>
                  <w:tcW w:w="701" w:type="dxa"/>
                  <w:vAlign w:val="center"/>
                </w:tcPr>
                <w:p>
                  <w:pPr>
                    <w:jc w:val="center"/>
                    <w:rPr>
                      <w:color w:val="000000"/>
                      <w:sz w:val="22"/>
                      <w:szCs w:val="22"/>
                    </w:rPr>
                  </w:pPr>
                  <w:r>
                    <w:rPr>
                      <w:color w:val="000000"/>
                      <w:sz w:val="22"/>
                      <w:szCs w:val="22"/>
                    </w:rPr>
                    <w:t>100</w:t>
                  </w:r>
                </w:p>
              </w:tc>
              <w:tc>
                <w:tcPr>
                  <w:tcW w:w="536" w:type="dxa"/>
                  <w:vAlign w:val="center"/>
                </w:tcPr>
                <w:p>
                  <w:pPr>
                    <w:jc w:val="center"/>
                    <w:rPr>
                      <w:color w:val="000000"/>
                      <w:sz w:val="22"/>
                      <w:szCs w:val="22"/>
                    </w:rPr>
                  </w:pPr>
                  <w:r>
                    <w:rPr>
                      <w:color w:val="000000"/>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rPr>
                  </w:pPr>
                  <w:r>
                    <w:rPr>
                      <w:rFonts w:ascii="Times New Roman" w:hAnsi="Times New Roman"/>
                    </w:rPr>
                    <w:t>1</w:t>
                  </w:r>
                </w:p>
              </w:tc>
              <w:tc>
                <w:tcPr>
                  <w:tcW w:w="1081" w:type="dxa"/>
                  <w:vAlign w:val="center"/>
                </w:tcPr>
                <w:p>
                  <w:pPr>
                    <w:pStyle w:val="49"/>
                    <w:framePr w:hSpace="0" w:wrap="auto" w:vAnchor="margin" w:hAnchor="text" w:xAlign="left" w:yAlign="inline"/>
                    <w:rPr>
                      <w:rFonts w:ascii="Times New Roman" w:hAnsi="Times New Roman"/>
                    </w:rPr>
                  </w:pPr>
                  <w:r>
                    <w:rPr>
                      <w:rFonts w:ascii="Times New Roman" w:hAnsi="Times New Roman"/>
                    </w:rPr>
                    <w:t>装载机</w:t>
                  </w:r>
                </w:p>
              </w:tc>
              <w:tc>
                <w:tcPr>
                  <w:tcW w:w="1706" w:type="dxa"/>
                  <w:vAlign w:val="center"/>
                </w:tcPr>
                <w:p>
                  <w:pPr>
                    <w:pStyle w:val="49"/>
                    <w:framePr w:hSpace="0" w:wrap="auto" w:vAnchor="margin" w:hAnchor="text" w:xAlign="left" w:yAlign="inline"/>
                    <w:rPr>
                      <w:rFonts w:ascii="Times New Roman" w:hAnsi="Times New Roman"/>
                    </w:rPr>
                  </w:pPr>
                  <w:r>
                    <w:rPr>
                      <w:rFonts w:ascii="Times New Roman" w:hAnsi="Times New Roman"/>
                    </w:rPr>
                    <w:t>90</w:t>
                  </w:r>
                </w:p>
              </w:tc>
              <w:tc>
                <w:tcPr>
                  <w:tcW w:w="693" w:type="dxa"/>
                  <w:vAlign w:val="center"/>
                </w:tcPr>
                <w:p>
                  <w:pPr>
                    <w:jc w:val="center"/>
                    <w:rPr>
                      <w:color w:val="000000"/>
                      <w:szCs w:val="21"/>
                    </w:rPr>
                  </w:pPr>
                  <w:r>
                    <w:rPr>
                      <w:color w:val="000000"/>
                      <w:szCs w:val="21"/>
                    </w:rPr>
                    <w:t>64</w:t>
                  </w:r>
                </w:p>
              </w:tc>
              <w:tc>
                <w:tcPr>
                  <w:tcW w:w="693" w:type="dxa"/>
                  <w:vAlign w:val="center"/>
                </w:tcPr>
                <w:p>
                  <w:pPr>
                    <w:jc w:val="center"/>
                    <w:rPr>
                      <w:color w:val="000000"/>
                      <w:szCs w:val="21"/>
                    </w:rPr>
                  </w:pPr>
                  <w:r>
                    <w:rPr>
                      <w:color w:val="000000"/>
                      <w:szCs w:val="21"/>
                    </w:rPr>
                    <w:t>60</w:t>
                  </w:r>
                </w:p>
              </w:tc>
              <w:tc>
                <w:tcPr>
                  <w:tcW w:w="693" w:type="dxa"/>
                  <w:vAlign w:val="center"/>
                </w:tcPr>
                <w:p>
                  <w:pPr>
                    <w:jc w:val="center"/>
                    <w:rPr>
                      <w:color w:val="000000"/>
                      <w:szCs w:val="21"/>
                    </w:rPr>
                  </w:pPr>
                  <w:r>
                    <w:rPr>
                      <w:color w:val="000000"/>
                      <w:szCs w:val="21"/>
                    </w:rPr>
                    <w:t>58</w:t>
                  </w:r>
                </w:p>
              </w:tc>
              <w:tc>
                <w:tcPr>
                  <w:tcW w:w="693" w:type="dxa"/>
                  <w:vAlign w:val="center"/>
                </w:tcPr>
                <w:p>
                  <w:pPr>
                    <w:jc w:val="center"/>
                    <w:rPr>
                      <w:color w:val="000000"/>
                      <w:szCs w:val="21"/>
                    </w:rPr>
                  </w:pPr>
                  <w:r>
                    <w:rPr>
                      <w:color w:val="000000"/>
                      <w:szCs w:val="21"/>
                    </w:rPr>
                    <w:t>54</w:t>
                  </w:r>
                </w:p>
              </w:tc>
              <w:tc>
                <w:tcPr>
                  <w:tcW w:w="701" w:type="dxa"/>
                  <w:vAlign w:val="center"/>
                </w:tcPr>
                <w:p>
                  <w:pPr>
                    <w:jc w:val="center"/>
                    <w:rPr>
                      <w:color w:val="000000"/>
                      <w:szCs w:val="21"/>
                    </w:rPr>
                  </w:pPr>
                  <w:r>
                    <w:rPr>
                      <w:color w:val="000000"/>
                      <w:szCs w:val="21"/>
                    </w:rPr>
                    <w:t>52</w:t>
                  </w:r>
                </w:p>
              </w:tc>
              <w:tc>
                <w:tcPr>
                  <w:tcW w:w="701" w:type="dxa"/>
                  <w:vAlign w:val="center"/>
                </w:tcPr>
                <w:p>
                  <w:pPr>
                    <w:jc w:val="center"/>
                    <w:rPr>
                      <w:color w:val="000000"/>
                      <w:szCs w:val="21"/>
                    </w:rPr>
                  </w:pPr>
                  <w:r>
                    <w:rPr>
                      <w:color w:val="000000"/>
                      <w:szCs w:val="21"/>
                    </w:rPr>
                    <w:t>50</w:t>
                  </w:r>
                </w:p>
              </w:tc>
              <w:tc>
                <w:tcPr>
                  <w:tcW w:w="536" w:type="dxa"/>
                  <w:vAlign w:val="center"/>
                </w:tcPr>
                <w:p>
                  <w:pPr>
                    <w:jc w:val="center"/>
                    <w:rPr>
                      <w:color w:val="000000"/>
                      <w:szCs w:val="21"/>
                    </w:rPr>
                  </w:pPr>
                  <w:r>
                    <w:rPr>
                      <w:color w:val="00000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rPr>
                  </w:pPr>
                  <w:r>
                    <w:rPr>
                      <w:rFonts w:ascii="Times New Roman" w:hAnsi="Times New Roman"/>
                    </w:rPr>
                    <w:t>2</w:t>
                  </w:r>
                </w:p>
              </w:tc>
              <w:tc>
                <w:tcPr>
                  <w:tcW w:w="1081" w:type="dxa"/>
                  <w:vAlign w:val="center"/>
                </w:tcPr>
                <w:p>
                  <w:pPr>
                    <w:pStyle w:val="49"/>
                    <w:framePr w:hSpace="0" w:wrap="auto" w:vAnchor="margin" w:hAnchor="text" w:xAlign="left" w:yAlign="inline"/>
                    <w:rPr>
                      <w:rFonts w:ascii="Times New Roman" w:hAnsi="Times New Roman"/>
                    </w:rPr>
                  </w:pPr>
                  <w:r>
                    <w:rPr>
                      <w:rFonts w:ascii="Times New Roman" w:hAnsi="Times New Roman"/>
                    </w:rPr>
                    <w:t>挖掘机</w:t>
                  </w:r>
                </w:p>
              </w:tc>
              <w:tc>
                <w:tcPr>
                  <w:tcW w:w="1706" w:type="dxa"/>
                  <w:vAlign w:val="center"/>
                </w:tcPr>
                <w:p>
                  <w:pPr>
                    <w:pStyle w:val="49"/>
                    <w:framePr w:hSpace="0" w:wrap="auto" w:vAnchor="margin" w:hAnchor="text" w:xAlign="left" w:yAlign="inline"/>
                    <w:rPr>
                      <w:rFonts w:ascii="Times New Roman" w:hAnsi="Times New Roman"/>
                    </w:rPr>
                  </w:pPr>
                  <w:r>
                    <w:rPr>
                      <w:rFonts w:ascii="Times New Roman" w:hAnsi="Times New Roman"/>
                    </w:rPr>
                    <w:t>95</w:t>
                  </w:r>
                </w:p>
              </w:tc>
              <w:tc>
                <w:tcPr>
                  <w:tcW w:w="693" w:type="dxa"/>
                  <w:vAlign w:val="center"/>
                </w:tcPr>
                <w:p>
                  <w:pPr>
                    <w:jc w:val="center"/>
                    <w:rPr>
                      <w:color w:val="000000"/>
                      <w:szCs w:val="21"/>
                    </w:rPr>
                  </w:pPr>
                  <w:r>
                    <w:rPr>
                      <w:color w:val="000000"/>
                      <w:szCs w:val="21"/>
                    </w:rPr>
                    <w:t>69</w:t>
                  </w:r>
                </w:p>
              </w:tc>
              <w:tc>
                <w:tcPr>
                  <w:tcW w:w="693" w:type="dxa"/>
                  <w:vAlign w:val="center"/>
                </w:tcPr>
                <w:p>
                  <w:pPr>
                    <w:jc w:val="center"/>
                    <w:rPr>
                      <w:color w:val="000000"/>
                      <w:szCs w:val="21"/>
                    </w:rPr>
                  </w:pPr>
                  <w:r>
                    <w:rPr>
                      <w:color w:val="000000"/>
                      <w:szCs w:val="21"/>
                    </w:rPr>
                    <w:t>65</w:t>
                  </w:r>
                </w:p>
              </w:tc>
              <w:tc>
                <w:tcPr>
                  <w:tcW w:w="693" w:type="dxa"/>
                  <w:vAlign w:val="center"/>
                </w:tcPr>
                <w:p>
                  <w:pPr>
                    <w:jc w:val="center"/>
                    <w:rPr>
                      <w:color w:val="000000"/>
                      <w:szCs w:val="21"/>
                    </w:rPr>
                  </w:pPr>
                  <w:r>
                    <w:rPr>
                      <w:color w:val="000000"/>
                      <w:szCs w:val="21"/>
                    </w:rPr>
                    <w:t>63</w:t>
                  </w:r>
                </w:p>
              </w:tc>
              <w:tc>
                <w:tcPr>
                  <w:tcW w:w="693" w:type="dxa"/>
                  <w:vAlign w:val="center"/>
                </w:tcPr>
                <w:p>
                  <w:pPr>
                    <w:jc w:val="center"/>
                    <w:rPr>
                      <w:color w:val="000000"/>
                      <w:szCs w:val="21"/>
                    </w:rPr>
                  </w:pPr>
                  <w:r>
                    <w:rPr>
                      <w:color w:val="000000"/>
                      <w:szCs w:val="21"/>
                    </w:rPr>
                    <w:t>59</w:t>
                  </w:r>
                </w:p>
              </w:tc>
              <w:tc>
                <w:tcPr>
                  <w:tcW w:w="701" w:type="dxa"/>
                  <w:vAlign w:val="center"/>
                </w:tcPr>
                <w:p>
                  <w:pPr>
                    <w:jc w:val="center"/>
                    <w:rPr>
                      <w:color w:val="000000"/>
                      <w:szCs w:val="21"/>
                    </w:rPr>
                  </w:pPr>
                  <w:r>
                    <w:rPr>
                      <w:color w:val="000000"/>
                      <w:szCs w:val="21"/>
                    </w:rPr>
                    <w:t>57</w:t>
                  </w:r>
                </w:p>
              </w:tc>
              <w:tc>
                <w:tcPr>
                  <w:tcW w:w="701" w:type="dxa"/>
                  <w:vAlign w:val="center"/>
                </w:tcPr>
                <w:p>
                  <w:pPr>
                    <w:jc w:val="center"/>
                    <w:rPr>
                      <w:color w:val="000000"/>
                      <w:szCs w:val="21"/>
                    </w:rPr>
                  </w:pPr>
                  <w:r>
                    <w:rPr>
                      <w:color w:val="000000"/>
                      <w:szCs w:val="21"/>
                    </w:rPr>
                    <w:t>55</w:t>
                  </w:r>
                </w:p>
              </w:tc>
              <w:tc>
                <w:tcPr>
                  <w:tcW w:w="536" w:type="dxa"/>
                  <w:vAlign w:val="center"/>
                </w:tcPr>
                <w:p>
                  <w:pPr>
                    <w:jc w:val="center"/>
                    <w:rPr>
                      <w:color w:val="000000"/>
                      <w:szCs w:val="21"/>
                    </w:rPr>
                  </w:pPr>
                  <w:r>
                    <w:rPr>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rPr>
                  </w:pPr>
                  <w:r>
                    <w:rPr>
                      <w:rFonts w:ascii="Times New Roman" w:hAnsi="Times New Roman"/>
                    </w:rPr>
                    <w:t>3</w:t>
                  </w:r>
                </w:p>
              </w:tc>
              <w:tc>
                <w:tcPr>
                  <w:tcW w:w="1081" w:type="dxa"/>
                  <w:vAlign w:val="center"/>
                </w:tcPr>
                <w:p>
                  <w:pPr>
                    <w:pStyle w:val="49"/>
                    <w:framePr w:hSpace="0" w:wrap="auto" w:vAnchor="margin" w:hAnchor="text" w:xAlign="left" w:yAlign="inline"/>
                    <w:rPr>
                      <w:rFonts w:ascii="Times New Roman" w:hAnsi="Times New Roman"/>
                    </w:rPr>
                  </w:pPr>
                  <w:r>
                    <w:rPr>
                      <w:rFonts w:ascii="Times New Roman" w:hAnsi="Times New Roman"/>
                    </w:rPr>
                    <w:t>推土机</w:t>
                  </w:r>
                </w:p>
              </w:tc>
              <w:tc>
                <w:tcPr>
                  <w:tcW w:w="1706" w:type="dxa"/>
                  <w:vAlign w:val="center"/>
                </w:tcPr>
                <w:p>
                  <w:pPr>
                    <w:pStyle w:val="49"/>
                    <w:framePr w:hSpace="0" w:wrap="auto" w:vAnchor="margin" w:hAnchor="text" w:xAlign="left" w:yAlign="inline"/>
                    <w:rPr>
                      <w:rFonts w:ascii="Times New Roman" w:hAnsi="Times New Roman"/>
                    </w:rPr>
                  </w:pPr>
                  <w:r>
                    <w:rPr>
                      <w:rFonts w:ascii="Times New Roman" w:hAnsi="Times New Roman"/>
                    </w:rPr>
                    <w:t>85</w:t>
                  </w:r>
                </w:p>
              </w:tc>
              <w:tc>
                <w:tcPr>
                  <w:tcW w:w="693" w:type="dxa"/>
                  <w:vAlign w:val="center"/>
                </w:tcPr>
                <w:p>
                  <w:pPr>
                    <w:jc w:val="center"/>
                    <w:rPr>
                      <w:color w:val="000000"/>
                      <w:szCs w:val="21"/>
                    </w:rPr>
                  </w:pPr>
                  <w:r>
                    <w:rPr>
                      <w:color w:val="000000"/>
                      <w:szCs w:val="21"/>
                    </w:rPr>
                    <w:t>59</w:t>
                  </w:r>
                </w:p>
              </w:tc>
              <w:tc>
                <w:tcPr>
                  <w:tcW w:w="693" w:type="dxa"/>
                  <w:vAlign w:val="center"/>
                </w:tcPr>
                <w:p>
                  <w:pPr>
                    <w:jc w:val="center"/>
                    <w:rPr>
                      <w:color w:val="000000"/>
                      <w:szCs w:val="21"/>
                    </w:rPr>
                  </w:pPr>
                  <w:r>
                    <w:rPr>
                      <w:color w:val="000000"/>
                      <w:szCs w:val="21"/>
                    </w:rPr>
                    <w:t>55</w:t>
                  </w:r>
                </w:p>
              </w:tc>
              <w:tc>
                <w:tcPr>
                  <w:tcW w:w="693" w:type="dxa"/>
                  <w:vAlign w:val="center"/>
                </w:tcPr>
                <w:p>
                  <w:pPr>
                    <w:jc w:val="center"/>
                    <w:rPr>
                      <w:color w:val="000000"/>
                      <w:szCs w:val="21"/>
                    </w:rPr>
                  </w:pPr>
                  <w:r>
                    <w:rPr>
                      <w:color w:val="000000"/>
                      <w:szCs w:val="21"/>
                    </w:rPr>
                    <w:t>53</w:t>
                  </w:r>
                </w:p>
              </w:tc>
              <w:tc>
                <w:tcPr>
                  <w:tcW w:w="693" w:type="dxa"/>
                  <w:vAlign w:val="center"/>
                </w:tcPr>
                <w:p>
                  <w:pPr>
                    <w:jc w:val="center"/>
                    <w:rPr>
                      <w:color w:val="000000"/>
                      <w:szCs w:val="21"/>
                    </w:rPr>
                  </w:pPr>
                  <w:r>
                    <w:rPr>
                      <w:color w:val="000000"/>
                      <w:szCs w:val="21"/>
                    </w:rPr>
                    <w:t>49</w:t>
                  </w:r>
                </w:p>
              </w:tc>
              <w:tc>
                <w:tcPr>
                  <w:tcW w:w="701" w:type="dxa"/>
                  <w:vAlign w:val="center"/>
                </w:tcPr>
                <w:p>
                  <w:pPr>
                    <w:jc w:val="center"/>
                    <w:rPr>
                      <w:color w:val="000000"/>
                      <w:szCs w:val="21"/>
                    </w:rPr>
                  </w:pPr>
                  <w:r>
                    <w:rPr>
                      <w:color w:val="000000"/>
                      <w:szCs w:val="21"/>
                    </w:rPr>
                    <w:t>47</w:t>
                  </w:r>
                </w:p>
              </w:tc>
              <w:tc>
                <w:tcPr>
                  <w:tcW w:w="701" w:type="dxa"/>
                  <w:vAlign w:val="center"/>
                </w:tcPr>
                <w:p>
                  <w:pPr>
                    <w:jc w:val="center"/>
                    <w:rPr>
                      <w:color w:val="000000"/>
                      <w:szCs w:val="21"/>
                    </w:rPr>
                  </w:pPr>
                  <w:r>
                    <w:rPr>
                      <w:color w:val="000000"/>
                      <w:szCs w:val="21"/>
                    </w:rPr>
                    <w:t>45</w:t>
                  </w:r>
                </w:p>
              </w:tc>
              <w:tc>
                <w:tcPr>
                  <w:tcW w:w="536" w:type="dxa"/>
                  <w:vAlign w:val="center"/>
                </w:tcPr>
                <w:p>
                  <w:pPr>
                    <w:jc w:val="center"/>
                    <w:rPr>
                      <w:color w:val="000000"/>
                      <w:szCs w:val="21"/>
                    </w:rPr>
                  </w:pPr>
                  <w:r>
                    <w:rPr>
                      <w:color w:val="00000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rPr>
                  </w:pPr>
                  <w:r>
                    <w:rPr>
                      <w:rFonts w:ascii="Times New Roman" w:hAnsi="Times New Roman"/>
                    </w:rPr>
                    <w:t>4</w:t>
                  </w:r>
                </w:p>
              </w:tc>
              <w:tc>
                <w:tcPr>
                  <w:tcW w:w="1081" w:type="dxa"/>
                  <w:vAlign w:val="center"/>
                </w:tcPr>
                <w:p>
                  <w:pPr>
                    <w:pStyle w:val="49"/>
                    <w:framePr w:hSpace="0" w:wrap="auto" w:vAnchor="margin" w:hAnchor="text" w:xAlign="left" w:yAlign="inline"/>
                    <w:rPr>
                      <w:rFonts w:ascii="Times New Roman" w:hAnsi="Times New Roman"/>
                    </w:rPr>
                  </w:pPr>
                  <w:r>
                    <w:rPr>
                      <w:rFonts w:ascii="Times New Roman" w:hAnsi="Times New Roman"/>
                    </w:rPr>
                    <w:t>夯土机</w:t>
                  </w:r>
                </w:p>
              </w:tc>
              <w:tc>
                <w:tcPr>
                  <w:tcW w:w="1706" w:type="dxa"/>
                  <w:vAlign w:val="center"/>
                </w:tcPr>
                <w:p>
                  <w:pPr>
                    <w:pStyle w:val="49"/>
                    <w:framePr w:hSpace="0" w:wrap="auto" w:vAnchor="margin" w:hAnchor="text" w:xAlign="left" w:yAlign="inline"/>
                    <w:rPr>
                      <w:rFonts w:ascii="Times New Roman" w:hAnsi="Times New Roman"/>
                    </w:rPr>
                  </w:pPr>
                  <w:r>
                    <w:rPr>
                      <w:rFonts w:ascii="Times New Roman" w:hAnsi="Times New Roman"/>
                    </w:rPr>
                    <w:t>95</w:t>
                  </w:r>
                </w:p>
              </w:tc>
              <w:tc>
                <w:tcPr>
                  <w:tcW w:w="693" w:type="dxa"/>
                  <w:vAlign w:val="center"/>
                </w:tcPr>
                <w:p>
                  <w:pPr>
                    <w:jc w:val="center"/>
                    <w:rPr>
                      <w:color w:val="000000"/>
                      <w:szCs w:val="21"/>
                    </w:rPr>
                  </w:pPr>
                  <w:r>
                    <w:rPr>
                      <w:color w:val="000000"/>
                      <w:szCs w:val="21"/>
                    </w:rPr>
                    <w:t>69</w:t>
                  </w:r>
                </w:p>
              </w:tc>
              <w:tc>
                <w:tcPr>
                  <w:tcW w:w="693" w:type="dxa"/>
                  <w:vAlign w:val="center"/>
                </w:tcPr>
                <w:p>
                  <w:pPr>
                    <w:jc w:val="center"/>
                    <w:rPr>
                      <w:color w:val="000000"/>
                      <w:szCs w:val="21"/>
                    </w:rPr>
                  </w:pPr>
                  <w:r>
                    <w:rPr>
                      <w:color w:val="000000"/>
                      <w:szCs w:val="21"/>
                    </w:rPr>
                    <w:t>65</w:t>
                  </w:r>
                </w:p>
              </w:tc>
              <w:tc>
                <w:tcPr>
                  <w:tcW w:w="693" w:type="dxa"/>
                  <w:vAlign w:val="center"/>
                </w:tcPr>
                <w:p>
                  <w:pPr>
                    <w:jc w:val="center"/>
                    <w:rPr>
                      <w:color w:val="000000"/>
                      <w:szCs w:val="21"/>
                    </w:rPr>
                  </w:pPr>
                  <w:r>
                    <w:rPr>
                      <w:color w:val="000000"/>
                      <w:szCs w:val="21"/>
                    </w:rPr>
                    <w:t>63</w:t>
                  </w:r>
                </w:p>
              </w:tc>
              <w:tc>
                <w:tcPr>
                  <w:tcW w:w="693" w:type="dxa"/>
                  <w:vAlign w:val="center"/>
                </w:tcPr>
                <w:p>
                  <w:pPr>
                    <w:jc w:val="center"/>
                    <w:rPr>
                      <w:color w:val="000000"/>
                      <w:szCs w:val="21"/>
                    </w:rPr>
                  </w:pPr>
                  <w:r>
                    <w:rPr>
                      <w:color w:val="000000"/>
                      <w:szCs w:val="21"/>
                    </w:rPr>
                    <w:t>59</w:t>
                  </w:r>
                </w:p>
              </w:tc>
              <w:tc>
                <w:tcPr>
                  <w:tcW w:w="701" w:type="dxa"/>
                  <w:vAlign w:val="center"/>
                </w:tcPr>
                <w:p>
                  <w:pPr>
                    <w:jc w:val="center"/>
                    <w:rPr>
                      <w:color w:val="000000"/>
                      <w:szCs w:val="21"/>
                    </w:rPr>
                  </w:pPr>
                  <w:r>
                    <w:rPr>
                      <w:color w:val="000000"/>
                      <w:szCs w:val="21"/>
                    </w:rPr>
                    <w:t>57</w:t>
                  </w:r>
                </w:p>
              </w:tc>
              <w:tc>
                <w:tcPr>
                  <w:tcW w:w="701" w:type="dxa"/>
                  <w:vAlign w:val="center"/>
                </w:tcPr>
                <w:p>
                  <w:pPr>
                    <w:jc w:val="center"/>
                    <w:rPr>
                      <w:color w:val="000000"/>
                      <w:szCs w:val="21"/>
                    </w:rPr>
                  </w:pPr>
                  <w:r>
                    <w:rPr>
                      <w:color w:val="000000"/>
                      <w:szCs w:val="21"/>
                    </w:rPr>
                    <w:t>55</w:t>
                  </w:r>
                </w:p>
              </w:tc>
              <w:tc>
                <w:tcPr>
                  <w:tcW w:w="536" w:type="dxa"/>
                  <w:vAlign w:val="center"/>
                </w:tcPr>
                <w:p>
                  <w:pPr>
                    <w:jc w:val="center"/>
                    <w:rPr>
                      <w:color w:val="000000"/>
                      <w:szCs w:val="21"/>
                    </w:rPr>
                  </w:pPr>
                  <w:r>
                    <w:rPr>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rPr>
                  </w:pPr>
                  <w:r>
                    <w:rPr>
                      <w:rFonts w:ascii="Times New Roman" w:hAnsi="Times New Roman"/>
                    </w:rPr>
                    <w:t>5</w:t>
                  </w:r>
                </w:p>
              </w:tc>
              <w:tc>
                <w:tcPr>
                  <w:tcW w:w="1081" w:type="dxa"/>
                  <w:vAlign w:val="center"/>
                </w:tcPr>
                <w:p>
                  <w:pPr>
                    <w:pStyle w:val="49"/>
                    <w:framePr w:hSpace="0" w:wrap="auto" w:vAnchor="margin" w:hAnchor="text" w:xAlign="left" w:yAlign="inline"/>
                    <w:rPr>
                      <w:rFonts w:ascii="Times New Roman" w:hAnsi="Times New Roman"/>
                    </w:rPr>
                  </w:pPr>
                  <w:r>
                    <w:rPr>
                      <w:rFonts w:ascii="Times New Roman" w:hAnsi="Times New Roman"/>
                    </w:rPr>
                    <w:t>运输车辆</w:t>
                  </w:r>
                </w:p>
              </w:tc>
              <w:tc>
                <w:tcPr>
                  <w:tcW w:w="1706" w:type="dxa"/>
                  <w:vAlign w:val="center"/>
                </w:tcPr>
                <w:p>
                  <w:pPr>
                    <w:pStyle w:val="49"/>
                    <w:framePr w:hSpace="0" w:wrap="auto" w:vAnchor="margin" w:hAnchor="text" w:xAlign="left" w:yAlign="inline"/>
                    <w:rPr>
                      <w:rFonts w:ascii="Times New Roman" w:hAnsi="Times New Roman"/>
                    </w:rPr>
                  </w:pPr>
                  <w:r>
                    <w:rPr>
                      <w:rFonts w:ascii="Times New Roman" w:hAnsi="Times New Roman"/>
                    </w:rPr>
                    <w:t>80</w:t>
                  </w:r>
                </w:p>
              </w:tc>
              <w:tc>
                <w:tcPr>
                  <w:tcW w:w="693" w:type="dxa"/>
                  <w:vAlign w:val="center"/>
                </w:tcPr>
                <w:p>
                  <w:pPr>
                    <w:jc w:val="center"/>
                    <w:rPr>
                      <w:color w:val="000000"/>
                      <w:szCs w:val="21"/>
                    </w:rPr>
                  </w:pPr>
                  <w:r>
                    <w:rPr>
                      <w:color w:val="000000"/>
                      <w:szCs w:val="21"/>
                    </w:rPr>
                    <w:t>54</w:t>
                  </w:r>
                </w:p>
              </w:tc>
              <w:tc>
                <w:tcPr>
                  <w:tcW w:w="693" w:type="dxa"/>
                  <w:vAlign w:val="center"/>
                </w:tcPr>
                <w:p>
                  <w:pPr>
                    <w:jc w:val="center"/>
                    <w:rPr>
                      <w:color w:val="000000"/>
                      <w:szCs w:val="21"/>
                    </w:rPr>
                  </w:pPr>
                  <w:r>
                    <w:rPr>
                      <w:color w:val="000000"/>
                      <w:szCs w:val="21"/>
                    </w:rPr>
                    <w:t>50</w:t>
                  </w:r>
                </w:p>
              </w:tc>
              <w:tc>
                <w:tcPr>
                  <w:tcW w:w="693" w:type="dxa"/>
                  <w:vAlign w:val="center"/>
                </w:tcPr>
                <w:p>
                  <w:pPr>
                    <w:jc w:val="center"/>
                    <w:rPr>
                      <w:color w:val="000000"/>
                      <w:szCs w:val="21"/>
                    </w:rPr>
                  </w:pPr>
                  <w:r>
                    <w:rPr>
                      <w:color w:val="000000"/>
                      <w:szCs w:val="21"/>
                    </w:rPr>
                    <w:t>48</w:t>
                  </w:r>
                </w:p>
              </w:tc>
              <w:tc>
                <w:tcPr>
                  <w:tcW w:w="693" w:type="dxa"/>
                  <w:vAlign w:val="center"/>
                </w:tcPr>
                <w:p>
                  <w:pPr>
                    <w:jc w:val="center"/>
                    <w:rPr>
                      <w:color w:val="000000"/>
                      <w:szCs w:val="21"/>
                    </w:rPr>
                  </w:pPr>
                  <w:r>
                    <w:rPr>
                      <w:color w:val="000000"/>
                      <w:szCs w:val="21"/>
                    </w:rPr>
                    <w:t>44</w:t>
                  </w:r>
                </w:p>
              </w:tc>
              <w:tc>
                <w:tcPr>
                  <w:tcW w:w="701" w:type="dxa"/>
                  <w:vAlign w:val="center"/>
                </w:tcPr>
                <w:p>
                  <w:pPr>
                    <w:jc w:val="center"/>
                    <w:rPr>
                      <w:color w:val="000000"/>
                      <w:szCs w:val="21"/>
                    </w:rPr>
                  </w:pPr>
                  <w:r>
                    <w:rPr>
                      <w:color w:val="000000"/>
                      <w:szCs w:val="21"/>
                    </w:rPr>
                    <w:t>42</w:t>
                  </w:r>
                </w:p>
              </w:tc>
              <w:tc>
                <w:tcPr>
                  <w:tcW w:w="701" w:type="dxa"/>
                  <w:vAlign w:val="center"/>
                </w:tcPr>
                <w:p>
                  <w:pPr>
                    <w:jc w:val="center"/>
                    <w:rPr>
                      <w:color w:val="000000"/>
                      <w:szCs w:val="21"/>
                    </w:rPr>
                  </w:pPr>
                  <w:r>
                    <w:rPr>
                      <w:color w:val="000000"/>
                      <w:szCs w:val="21"/>
                    </w:rPr>
                    <w:t>40</w:t>
                  </w:r>
                </w:p>
              </w:tc>
              <w:tc>
                <w:tcPr>
                  <w:tcW w:w="536" w:type="dxa"/>
                  <w:vAlign w:val="center"/>
                </w:tcPr>
                <w:p>
                  <w:pPr>
                    <w:jc w:val="center"/>
                    <w:rPr>
                      <w:color w:val="000000"/>
                      <w:szCs w:val="21"/>
                    </w:rPr>
                  </w:pPr>
                  <w:r>
                    <w:rPr>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640" w:type="dxa"/>
                  <w:vAlign w:val="center"/>
                </w:tcPr>
                <w:p>
                  <w:pPr>
                    <w:pStyle w:val="49"/>
                    <w:framePr w:hSpace="0" w:wrap="auto" w:vAnchor="margin" w:hAnchor="text" w:xAlign="left" w:yAlign="inline"/>
                    <w:rPr>
                      <w:rFonts w:ascii="Times New Roman" w:hAnsi="Times New Roman"/>
                    </w:rPr>
                  </w:pPr>
                  <w:r>
                    <w:rPr>
                      <w:rFonts w:ascii="Times New Roman" w:hAnsi="Times New Roman"/>
                    </w:rPr>
                    <w:t>6</w:t>
                  </w:r>
                </w:p>
              </w:tc>
              <w:tc>
                <w:tcPr>
                  <w:tcW w:w="2787" w:type="dxa"/>
                  <w:gridSpan w:val="2"/>
                  <w:vAlign w:val="center"/>
                </w:tcPr>
                <w:p>
                  <w:pPr>
                    <w:pStyle w:val="49"/>
                    <w:framePr w:hSpace="0" w:wrap="auto" w:vAnchor="margin" w:hAnchor="text" w:xAlign="left" w:yAlign="inline"/>
                    <w:rPr>
                      <w:rFonts w:ascii="Times New Roman" w:hAnsi="Times New Roman"/>
                    </w:rPr>
                  </w:pPr>
                  <w:r>
                    <w:rPr>
                      <w:rFonts w:ascii="Times New Roman" w:hAnsi="Times New Roman"/>
                    </w:rPr>
                    <w:t>合计贡献值</w:t>
                  </w:r>
                </w:p>
              </w:tc>
              <w:tc>
                <w:tcPr>
                  <w:tcW w:w="693" w:type="dxa"/>
                  <w:vAlign w:val="center"/>
                </w:tcPr>
                <w:p>
                  <w:pPr>
                    <w:jc w:val="center"/>
                    <w:rPr>
                      <w:color w:val="000000"/>
                      <w:sz w:val="22"/>
                      <w:szCs w:val="22"/>
                    </w:rPr>
                  </w:pPr>
                  <w:r>
                    <w:rPr>
                      <w:color w:val="000000"/>
                      <w:sz w:val="22"/>
                      <w:szCs w:val="22"/>
                    </w:rPr>
                    <w:t>73</w:t>
                  </w:r>
                </w:p>
              </w:tc>
              <w:tc>
                <w:tcPr>
                  <w:tcW w:w="693" w:type="dxa"/>
                  <w:vAlign w:val="center"/>
                </w:tcPr>
                <w:p>
                  <w:pPr>
                    <w:jc w:val="center"/>
                    <w:rPr>
                      <w:color w:val="000000"/>
                      <w:sz w:val="22"/>
                      <w:szCs w:val="22"/>
                    </w:rPr>
                  </w:pPr>
                  <w:r>
                    <w:rPr>
                      <w:color w:val="000000"/>
                      <w:sz w:val="22"/>
                      <w:szCs w:val="22"/>
                    </w:rPr>
                    <w:t>69</w:t>
                  </w:r>
                </w:p>
              </w:tc>
              <w:tc>
                <w:tcPr>
                  <w:tcW w:w="693" w:type="dxa"/>
                  <w:vAlign w:val="center"/>
                </w:tcPr>
                <w:p>
                  <w:pPr>
                    <w:jc w:val="center"/>
                    <w:rPr>
                      <w:color w:val="000000"/>
                      <w:sz w:val="22"/>
                      <w:szCs w:val="22"/>
                    </w:rPr>
                  </w:pPr>
                  <w:r>
                    <w:rPr>
                      <w:color w:val="000000"/>
                      <w:sz w:val="22"/>
                      <w:szCs w:val="22"/>
                    </w:rPr>
                    <w:t>67</w:t>
                  </w:r>
                </w:p>
              </w:tc>
              <w:tc>
                <w:tcPr>
                  <w:tcW w:w="693" w:type="dxa"/>
                  <w:vAlign w:val="center"/>
                </w:tcPr>
                <w:p>
                  <w:pPr>
                    <w:jc w:val="center"/>
                    <w:rPr>
                      <w:color w:val="000000"/>
                      <w:sz w:val="22"/>
                      <w:szCs w:val="22"/>
                    </w:rPr>
                  </w:pPr>
                  <w:r>
                    <w:rPr>
                      <w:color w:val="000000"/>
                      <w:sz w:val="22"/>
                      <w:szCs w:val="22"/>
                    </w:rPr>
                    <w:t>63</w:t>
                  </w:r>
                </w:p>
              </w:tc>
              <w:tc>
                <w:tcPr>
                  <w:tcW w:w="701" w:type="dxa"/>
                  <w:vAlign w:val="center"/>
                </w:tcPr>
                <w:p>
                  <w:pPr>
                    <w:jc w:val="center"/>
                    <w:rPr>
                      <w:color w:val="000000"/>
                      <w:sz w:val="22"/>
                      <w:szCs w:val="22"/>
                    </w:rPr>
                  </w:pPr>
                  <w:r>
                    <w:rPr>
                      <w:color w:val="000000"/>
                      <w:sz w:val="22"/>
                      <w:szCs w:val="22"/>
                    </w:rPr>
                    <w:t>61</w:t>
                  </w:r>
                </w:p>
              </w:tc>
              <w:tc>
                <w:tcPr>
                  <w:tcW w:w="701" w:type="dxa"/>
                  <w:vAlign w:val="center"/>
                </w:tcPr>
                <w:p>
                  <w:pPr>
                    <w:jc w:val="center"/>
                    <w:rPr>
                      <w:color w:val="000000"/>
                      <w:sz w:val="22"/>
                      <w:szCs w:val="22"/>
                    </w:rPr>
                  </w:pPr>
                  <w:r>
                    <w:rPr>
                      <w:color w:val="000000"/>
                      <w:sz w:val="22"/>
                      <w:szCs w:val="22"/>
                    </w:rPr>
                    <w:t>59</w:t>
                  </w:r>
                </w:p>
              </w:tc>
              <w:tc>
                <w:tcPr>
                  <w:tcW w:w="536" w:type="dxa"/>
                  <w:vAlign w:val="center"/>
                </w:tcPr>
                <w:p>
                  <w:pPr>
                    <w:jc w:val="center"/>
                    <w:rPr>
                      <w:color w:val="000000"/>
                      <w:sz w:val="22"/>
                      <w:szCs w:val="22"/>
                    </w:rPr>
                  </w:pPr>
                  <w:r>
                    <w:rPr>
                      <w:color w:val="000000"/>
                      <w:sz w:val="22"/>
                      <w:szCs w:val="22"/>
                    </w:rPr>
                    <w:t>55</w:t>
                  </w:r>
                </w:p>
              </w:tc>
            </w:tr>
          </w:tbl>
          <w:p>
            <w:pPr>
              <w:adjustRightInd w:val="0"/>
              <w:snapToGrid w:val="0"/>
              <w:spacing w:line="360" w:lineRule="auto"/>
              <w:ind w:firstLine="480" w:firstLineChars="200"/>
              <w:rPr>
                <w:sz w:val="24"/>
                <w:szCs w:val="24"/>
              </w:rPr>
            </w:pPr>
            <w:r>
              <w:rPr>
                <w:sz w:val="24"/>
                <w:szCs w:val="24"/>
              </w:rPr>
              <w:t>施工机械噪声在无遮挡情况下，如果使用单台机械，昼间施工在30m处可达《建筑施工场界环境噪声排放标准》(GB12523-2011)的要求，根据现场勘查，距</w:t>
            </w:r>
            <w:r>
              <w:rPr>
                <w:rFonts w:hint="eastAsia"/>
                <w:sz w:val="24"/>
                <w:szCs w:val="24"/>
                <w:lang w:eastAsia="zh-CN"/>
              </w:rPr>
              <w:t>本</w:t>
            </w:r>
            <w:r>
              <w:rPr>
                <w:rFonts w:hint="eastAsia"/>
                <w:bCs/>
                <w:sz w:val="24"/>
                <w:szCs w:val="24"/>
                <w:lang w:eastAsia="zh-CN"/>
              </w:rPr>
              <w:t>工程西场界</w:t>
            </w:r>
            <w:r>
              <w:rPr>
                <w:sz w:val="24"/>
                <w:szCs w:val="24"/>
              </w:rPr>
              <w:t>西侧20m为椒树洼组，</w:t>
            </w:r>
            <w:r>
              <w:rPr>
                <w:rFonts w:hint="eastAsia"/>
                <w:sz w:val="24"/>
                <w:szCs w:val="24"/>
                <w:lang w:eastAsia="zh-CN"/>
              </w:rPr>
              <w:t>本</w:t>
            </w:r>
            <w:r>
              <w:rPr>
                <w:rFonts w:hint="eastAsia"/>
                <w:bCs/>
                <w:sz w:val="24"/>
                <w:szCs w:val="24"/>
                <w:lang w:eastAsia="zh-CN"/>
              </w:rPr>
              <w:t>工程</w:t>
            </w:r>
            <w:r>
              <w:rPr>
                <w:sz w:val="24"/>
                <w:szCs w:val="24"/>
              </w:rPr>
              <w:t>只在昼间施工，所以</w:t>
            </w:r>
            <w:r>
              <w:rPr>
                <w:rFonts w:hint="eastAsia"/>
                <w:sz w:val="24"/>
                <w:szCs w:val="24"/>
                <w:lang w:eastAsia="zh-CN"/>
              </w:rPr>
              <w:t>本</w:t>
            </w:r>
            <w:r>
              <w:rPr>
                <w:rFonts w:hint="eastAsia"/>
                <w:bCs/>
                <w:sz w:val="24"/>
                <w:szCs w:val="24"/>
                <w:lang w:eastAsia="zh-CN"/>
              </w:rPr>
              <w:t>工程</w:t>
            </w:r>
            <w:r>
              <w:rPr>
                <w:sz w:val="24"/>
                <w:szCs w:val="24"/>
              </w:rPr>
              <w:t>施工期椒树洼组声环境有一定影响，但施工噪声对环境影响不大。</w:t>
            </w:r>
          </w:p>
          <w:p>
            <w:pPr>
              <w:adjustRightInd w:val="0"/>
              <w:snapToGrid w:val="0"/>
              <w:spacing w:line="360" w:lineRule="auto"/>
              <w:ind w:firstLine="482" w:firstLineChars="200"/>
              <w:rPr>
                <w:b/>
                <w:bCs/>
                <w:sz w:val="24"/>
                <w:szCs w:val="24"/>
              </w:rPr>
            </w:pPr>
            <w:r>
              <w:rPr>
                <w:b/>
                <w:bCs/>
                <w:sz w:val="24"/>
                <w:szCs w:val="24"/>
              </w:rPr>
              <w:t>4、固废环境</w:t>
            </w:r>
            <w:r>
              <w:rPr>
                <w:b/>
                <w:sz w:val="24"/>
                <w:szCs w:val="24"/>
              </w:rPr>
              <w:t>影响分析</w:t>
            </w:r>
          </w:p>
          <w:p>
            <w:pPr>
              <w:adjustRightInd w:val="0"/>
              <w:snapToGrid w:val="0"/>
              <w:spacing w:line="360" w:lineRule="auto"/>
              <w:ind w:firstLine="480" w:firstLineChars="200"/>
              <w:rPr>
                <w:bCs/>
                <w:sz w:val="24"/>
                <w:szCs w:val="24"/>
              </w:rPr>
            </w:pPr>
            <w:r>
              <w:rPr>
                <w:rFonts w:hint="eastAsia"/>
                <w:sz w:val="24"/>
                <w:szCs w:val="24"/>
                <w:lang w:eastAsia="zh-CN"/>
              </w:rPr>
              <w:t>本</w:t>
            </w:r>
            <w:r>
              <w:rPr>
                <w:rFonts w:hint="eastAsia"/>
                <w:bCs/>
                <w:sz w:val="24"/>
                <w:szCs w:val="24"/>
                <w:lang w:eastAsia="zh-CN"/>
              </w:rPr>
              <w:t>工程</w:t>
            </w:r>
            <w:r>
              <w:rPr>
                <w:bCs/>
                <w:sz w:val="24"/>
                <w:szCs w:val="24"/>
              </w:rPr>
              <w:t>施工期间排放的固体废物主要为</w:t>
            </w:r>
            <w:r>
              <w:rPr>
                <w:sz w:val="24"/>
                <w:szCs w:val="24"/>
              </w:rPr>
              <w:t>剥离表土、建筑垃圾、废弃土石方</w:t>
            </w:r>
            <w:r>
              <w:rPr>
                <w:bCs/>
                <w:sz w:val="24"/>
                <w:szCs w:val="24"/>
              </w:rPr>
              <w:t>以及施工人员生活垃圾等。</w:t>
            </w:r>
          </w:p>
          <w:p>
            <w:pPr>
              <w:adjustRightInd w:val="0"/>
              <w:snapToGrid w:val="0"/>
              <w:spacing w:line="360" w:lineRule="auto"/>
              <w:ind w:firstLine="480" w:firstLineChars="200"/>
              <w:rPr>
                <w:bCs/>
                <w:sz w:val="24"/>
                <w:szCs w:val="24"/>
              </w:rPr>
            </w:pPr>
            <w:r>
              <w:rPr>
                <w:bCs/>
                <w:sz w:val="24"/>
                <w:szCs w:val="24"/>
              </w:rPr>
              <w:t>（1）废弃土方</w:t>
            </w:r>
          </w:p>
          <w:p>
            <w:pPr>
              <w:adjustRightInd w:val="0"/>
              <w:snapToGrid w:val="0"/>
              <w:spacing w:line="360" w:lineRule="auto"/>
              <w:ind w:firstLine="480" w:firstLineChars="200"/>
              <w:rPr>
                <w:bCs/>
                <w:sz w:val="24"/>
                <w:szCs w:val="24"/>
              </w:rPr>
            </w:pPr>
            <w:r>
              <w:rPr>
                <w:rFonts w:hint="eastAsia"/>
                <w:sz w:val="24"/>
                <w:szCs w:val="24"/>
                <w:lang w:eastAsia="zh-CN"/>
              </w:rPr>
              <w:t>本</w:t>
            </w:r>
            <w:r>
              <w:rPr>
                <w:rFonts w:hint="eastAsia"/>
                <w:bCs/>
                <w:sz w:val="24"/>
                <w:szCs w:val="24"/>
                <w:lang w:eastAsia="zh-CN"/>
              </w:rPr>
              <w:t>工程</w:t>
            </w:r>
            <w:r>
              <w:rPr>
                <w:bCs/>
                <w:sz w:val="24"/>
                <w:szCs w:val="24"/>
              </w:rPr>
              <w:t>挖方约为36231m</w:t>
            </w:r>
            <w:r>
              <w:rPr>
                <w:bCs/>
                <w:sz w:val="24"/>
                <w:szCs w:val="24"/>
                <w:vertAlign w:val="superscript"/>
              </w:rPr>
              <w:t>3</w:t>
            </w:r>
            <w:r>
              <w:rPr>
                <w:bCs/>
                <w:sz w:val="24"/>
                <w:szCs w:val="24"/>
              </w:rPr>
              <w:t>，场地平整和道路铺设使用土石方约为12283m</w:t>
            </w:r>
            <w:r>
              <w:rPr>
                <w:bCs/>
                <w:sz w:val="24"/>
                <w:szCs w:val="24"/>
                <w:vertAlign w:val="superscript"/>
              </w:rPr>
              <w:t>3</w:t>
            </w:r>
            <w:r>
              <w:rPr>
                <w:bCs/>
                <w:sz w:val="24"/>
                <w:szCs w:val="24"/>
              </w:rPr>
              <w:t>，</w:t>
            </w:r>
            <w:r>
              <w:rPr>
                <w:sz w:val="24"/>
                <w:szCs w:val="24"/>
              </w:rPr>
              <w:t>生态恢复覆土</w:t>
            </w:r>
            <w:r>
              <w:rPr>
                <w:bCs/>
                <w:sz w:val="24"/>
                <w:szCs w:val="24"/>
              </w:rPr>
              <w:t>约为23948m</w:t>
            </w:r>
            <w:r>
              <w:rPr>
                <w:bCs/>
                <w:sz w:val="24"/>
                <w:szCs w:val="24"/>
                <w:vertAlign w:val="superscript"/>
              </w:rPr>
              <w:t>3</w:t>
            </w:r>
            <w:r>
              <w:rPr>
                <w:bCs/>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59"/>
              <w:jc w:val="center"/>
              <w:textAlignment w:val="auto"/>
              <w:rPr>
                <w:szCs w:val="21"/>
              </w:rPr>
            </w:pPr>
            <w:r>
              <w:rPr>
                <w:szCs w:val="21"/>
              </w:rPr>
              <w:t>表4-3土石方量平衡表</w:t>
            </w:r>
          </w:p>
          <w:tbl>
            <w:tblPr>
              <w:tblStyle w:val="2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2976"/>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737" w:type="dxa"/>
                  <w:vAlign w:val="center"/>
                </w:tcPr>
                <w:p>
                  <w:pPr>
                    <w:pStyle w:val="49"/>
                    <w:framePr w:hSpace="0" w:wrap="auto" w:vAnchor="margin" w:hAnchor="text" w:xAlign="left" w:yAlign="inline"/>
                    <w:rPr>
                      <w:rFonts w:ascii="Times New Roman" w:hAnsi="Times New Roman"/>
                    </w:rPr>
                  </w:pPr>
                  <w:r>
                    <w:rPr>
                      <w:rFonts w:ascii="Times New Roman" w:hAnsi="Times New Roman"/>
                    </w:rPr>
                    <w:t>场地清理产生的土方量（m</w:t>
                  </w:r>
                  <w:r>
                    <w:rPr>
                      <w:rFonts w:ascii="Times New Roman" w:hAnsi="Times New Roman"/>
                      <w:vertAlign w:val="superscript"/>
                    </w:rPr>
                    <w:t>3</w:t>
                  </w:r>
                  <w:r>
                    <w:rPr>
                      <w:rFonts w:ascii="Times New Roman" w:hAnsi="Times New Roman"/>
                    </w:rPr>
                    <w:t>）</w:t>
                  </w:r>
                </w:p>
              </w:tc>
              <w:tc>
                <w:tcPr>
                  <w:tcW w:w="2976" w:type="dxa"/>
                  <w:vAlign w:val="center"/>
                </w:tcPr>
                <w:p>
                  <w:pPr>
                    <w:pStyle w:val="49"/>
                    <w:framePr w:hSpace="0" w:wrap="auto" w:vAnchor="margin" w:hAnchor="text" w:xAlign="left" w:yAlign="inline"/>
                    <w:rPr>
                      <w:rFonts w:ascii="Times New Roman" w:hAnsi="Times New Roman"/>
                    </w:rPr>
                  </w:pPr>
                  <w:r>
                    <w:rPr>
                      <w:rFonts w:ascii="Times New Roman" w:hAnsi="Times New Roman"/>
                      <w:bCs/>
                    </w:rPr>
                    <w:t>场地平整和道路铺设使用土石方</w:t>
                  </w:r>
                  <w:r>
                    <w:rPr>
                      <w:rFonts w:ascii="Times New Roman" w:hAnsi="Times New Roman"/>
                    </w:rPr>
                    <w:t>量（m</w:t>
                  </w:r>
                  <w:r>
                    <w:rPr>
                      <w:rFonts w:ascii="Times New Roman" w:hAnsi="Times New Roman"/>
                      <w:vertAlign w:val="superscript"/>
                    </w:rPr>
                    <w:t>3</w:t>
                  </w:r>
                  <w:r>
                    <w:rPr>
                      <w:rFonts w:ascii="Times New Roman" w:hAnsi="Times New Roman"/>
                    </w:rPr>
                    <w:t>）</w:t>
                  </w:r>
                </w:p>
              </w:tc>
              <w:tc>
                <w:tcPr>
                  <w:tcW w:w="2477" w:type="dxa"/>
                  <w:vAlign w:val="center"/>
                </w:tcPr>
                <w:p>
                  <w:pPr>
                    <w:pStyle w:val="49"/>
                    <w:framePr w:hSpace="0" w:wrap="auto" w:vAnchor="margin" w:hAnchor="text" w:xAlign="left" w:yAlign="inline"/>
                    <w:rPr>
                      <w:rFonts w:ascii="Times New Roman" w:hAnsi="Times New Roman"/>
                    </w:rPr>
                  </w:pPr>
                  <w:r>
                    <w:rPr>
                      <w:rFonts w:ascii="Times New Roman" w:hAnsi="Times New Roman"/>
                    </w:rPr>
                    <w:t>生态恢复土方量（m</w:t>
                  </w:r>
                  <w:r>
                    <w:rPr>
                      <w:rFonts w:ascii="Times New Roman" w:hAnsi="Times New Roman"/>
                      <w:vertAlign w:val="superscript"/>
                    </w:rPr>
                    <w:t>3</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737" w:type="dxa"/>
                  <w:vAlign w:val="center"/>
                </w:tcPr>
                <w:p>
                  <w:pPr>
                    <w:pStyle w:val="49"/>
                    <w:framePr w:hSpace="0" w:wrap="auto" w:vAnchor="margin" w:hAnchor="text" w:xAlign="left" w:yAlign="inline"/>
                    <w:rPr>
                      <w:rFonts w:ascii="Times New Roman" w:hAnsi="Times New Roman"/>
                    </w:rPr>
                  </w:pPr>
                  <w:r>
                    <w:rPr>
                      <w:rFonts w:ascii="Times New Roman" w:hAnsi="Times New Roman"/>
                      <w:bCs/>
                    </w:rPr>
                    <w:t>36231</w:t>
                  </w:r>
                </w:p>
              </w:tc>
              <w:tc>
                <w:tcPr>
                  <w:tcW w:w="2976" w:type="dxa"/>
                  <w:vAlign w:val="center"/>
                </w:tcPr>
                <w:p>
                  <w:pPr>
                    <w:pStyle w:val="49"/>
                    <w:framePr w:hSpace="0" w:wrap="auto" w:vAnchor="margin" w:hAnchor="text" w:xAlign="left" w:yAlign="inline"/>
                    <w:rPr>
                      <w:rFonts w:ascii="Times New Roman" w:hAnsi="Times New Roman"/>
                    </w:rPr>
                  </w:pPr>
                  <w:r>
                    <w:rPr>
                      <w:rFonts w:ascii="Times New Roman" w:hAnsi="Times New Roman"/>
                      <w:bCs/>
                    </w:rPr>
                    <w:t>12283</w:t>
                  </w:r>
                </w:p>
              </w:tc>
              <w:tc>
                <w:tcPr>
                  <w:tcW w:w="2477" w:type="dxa"/>
                  <w:vAlign w:val="center"/>
                </w:tcPr>
                <w:p>
                  <w:pPr>
                    <w:pStyle w:val="49"/>
                    <w:framePr w:hSpace="0" w:wrap="auto" w:vAnchor="margin" w:hAnchor="text" w:xAlign="left" w:yAlign="inline"/>
                    <w:rPr>
                      <w:rFonts w:ascii="Times New Roman" w:hAnsi="Times New Roman"/>
                    </w:rPr>
                  </w:pPr>
                  <w:r>
                    <w:rPr>
                      <w:rFonts w:ascii="Times New Roman" w:hAnsi="Times New Roman"/>
                      <w:bCs/>
                    </w:rPr>
                    <w:t>23948</w:t>
                  </w:r>
                </w:p>
              </w:tc>
            </w:tr>
          </w:tbl>
          <w:p>
            <w:pPr>
              <w:adjustRightInd w:val="0"/>
              <w:snapToGrid w:val="0"/>
              <w:spacing w:line="360" w:lineRule="auto"/>
              <w:ind w:firstLine="480" w:firstLineChars="200"/>
              <w:rPr>
                <w:bCs/>
                <w:sz w:val="24"/>
                <w:szCs w:val="24"/>
              </w:rPr>
            </w:pPr>
            <w:r>
              <w:rPr>
                <w:bCs/>
                <w:sz w:val="24"/>
                <w:szCs w:val="24"/>
              </w:rPr>
              <w:t>（2）生活垃圾</w:t>
            </w:r>
          </w:p>
          <w:p>
            <w:pPr>
              <w:adjustRightInd w:val="0"/>
              <w:snapToGrid w:val="0"/>
              <w:spacing w:line="360" w:lineRule="auto"/>
              <w:ind w:firstLine="480" w:firstLineChars="200"/>
              <w:rPr>
                <w:bCs/>
                <w:sz w:val="24"/>
                <w:szCs w:val="24"/>
              </w:rPr>
            </w:pPr>
            <w:r>
              <w:rPr>
                <w:rFonts w:hint="eastAsia"/>
                <w:sz w:val="24"/>
                <w:szCs w:val="24"/>
                <w:lang w:eastAsia="zh-CN"/>
              </w:rPr>
              <w:t>本</w:t>
            </w:r>
            <w:r>
              <w:rPr>
                <w:rFonts w:hint="eastAsia"/>
                <w:bCs/>
                <w:sz w:val="24"/>
                <w:szCs w:val="24"/>
                <w:lang w:eastAsia="zh-CN"/>
              </w:rPr>
              <w:t>工程</w:t>
            </w:r>
            <w:r>
              <w:rPr>
                <w:bCs/>
                <w:sz w:val="24"/>
                <w:szCs w:val="24"/>
              </w:rPr>
              <w:t>施工期施工人数约为20人，生活垃圾产生量按0.5kg/人·d计算，则施工期生活垃圾产生量为10kg/d，</w:t>
            </w:r>
            <w:r>
              <w:rPr>
                <w:rFonts w:hint="eastAsia"/>
                <w:sz w:val="24"/>
                <w:szCs w:val="24"/>
                <w:lang w:eastAsia="zh-CN"/>
              </w:rPr>
              <w:t>本</w:t>
            </w:r>
            <w:r>
              <w:rPr>
                <w:rFonts w:hint="eastAsia"/>
                <w:bCs/>
                <w:sz w:val="24"/>
                <w:szCs w:val="24"/>
                <w:lang w:eastAsia="zh-CN"/>
              </w:rPr>
              <w:t>工程</w:t>
            </w:r>
            <w:r>
              <w:rPr>
                <w:bCs/>
                <w:sz w:val="24"/>
                <w:szCs w:val="24"/>
              </w:rPr>
              <w:t>在施工场地设置垃圾桶，生活垃圾经分类收集后定期清运至环卫部门指定地点处置。</w:t>
            </w:r>
          </w:p>
          <w:p>
            <w:pPr>
              <w:adjustRightInd w:val="0"/>
              <w:snapToGrid w:val="0"/>
              <w:spacing w:line="360" w:lineRule="auto"/>
              <w:ind w:firstLine="480" w:firstLineChars="200"/>
              <w:rPr>
                <w:bCs/>
                <w:sz w:val="24"/>
                <w:szCs w:val="24"/>
              </w:rPr>
            </w:pPr>
            <w:r>
              <w:rPr>
                <w:bCs/>
                <w:sz w:val="24"/>
                <w:szCs w:val="24"/>
              </w:rPr>
              <w:t>综上，</w:t>
            </w:r>
            <w:r>
              <w:rPr>
                <w:rFonts w:hint="eastAsia"/>
                <w:sz w:val="24"/>
                <w:szCs w:val="24"/>
                <w:lang w:eastAsia="zh-CN"/>
              </w:rPr>
              <w:t>本</w:t>
            </w:r>
            <w:r>
              <w:rPr>
                <w:rFonts w:hint="eastAsia"/>
                <w:bCs/>
                <w:sz w:val="24"/>
                <w:szCs w:val="24"/>
                <w:lang w:eastAsia="zh-CN"/>
              </w:rPr>
              <w:t>工程</w:t>
            </w:r>
            <w:r>
              <w:rPr>
                <w:bCs/>
                <w:sz w:val="24"/>
                <w:szCs w:val="24"/>
              </w:rPr>
              <w:t>施工期产生固废合理处置，对周围环境影响较小。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sz w:val="24"/>
                <w:szCs w:val="24"/>
              </w:rPr>
            </w:pPr>
            <w:r>
              <w:rPr>
                <w:b/>
                <w:bCs/>
                <w:sz w:val="24"/>
                <w:szCs w:val="24"/>
              </w:rPr>
              <w:t>5、生态</w:t>
            </w:r>
            <w:r>
              <w:rPr>
                <w:b/>
                <w:sz w:val="24"/>
                <w:szCs w:val="24"/>
              </w:rPr>
              <w:t>环境影响分析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eastAsia="zh-CN"/>
              </w:rPr>
              <w:t>本</w:t>
            </w:r>
            <w:r>
              <w:rPr>
                <w:rFonts w:hint="eastAsia"/>
                <w:bCs/>
                <w:sz w:val="24"/>
                <w:szCs w:val="24"/>
                <w:lang w:eastAsia="zh-CN"/>
              </w:rPr>
              <w:t>工程</w:t>
            </w:r>
            <w:r>
              <w:rPr>
                <w:sz w:val="24"/>
                <w:szCs w:val="24"/>
              </w:rPr>
              <w:t>全部为新增占地，垃圾堆填场占地性质为永久占地，根据现场踏勘可知，主要占地类型为其他林地、灌木林地、其它草地。</w:t>
            </w:r>
            <w:r>
              <w:rPr>
                <w:rFonts w:hint="eastAsia"/>
                <w:sz w:val="24"/>
                <w:szCs w:val="24"/>
                <w:lang w:eastAsia="zh-CN"/>
              </w:rPr>
              <w:t>本</w:t>
            </w:r>
            <w:r>
              <w:rPr>
                <w:rFonts w:hint="eastAsia"/>
                <w:bCs/>
                <w:sz w:val="24"/>
                <w:szCs w:val="24"/>
                <w:lang w:eastAsia="zh-CN"/>
              </w:rPr>
              <w:t>工程</w:t>
            </w:r>
            <w:r>
              <w:rPr>
                <w:sz w:val="24"/>
                <w:szCs w:val="24"/>
              </w:rPr>
              <w:t>施工期生态破坏为对新增占地的土地占用、破坏植被覆盖等。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sz w:val="24"/>
                <w:szCs w:val="24"/>
              </w:rPr>
              <w:t>（1）土地利用影响分析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eastAsia="zh-CN"/>
              </w:rPr>
              <w:t>本</w:t>
            </w:r>
            <w:r>
              <w:rPr>
                <w:rFonts w:hint="eastAsia"/>
                <w:bCs/>
                <w:sz w:val="24"/>
                <w:szCs w:val="24"/>
                <w:lang w:eastAsia="zh-CN"/>
              </w:rPr>
              <w:t>工程</w:t>
            </w:r>
            <w:r>
              <w:rPr>
                <w:sz w:val="24"/>
                <w:szCs w:val="24"/>
              </w:rPr>
              <w:t>建设要侵占土地、破坏植被，改变原有生态系统结构和功能。在施工期间工程建设对生态环境的影响属于高强度、低频率的局地性破坏。堆填场本身要占用大面积的土地，但机械、运输车辆碾压、人员践踏、材料占地、土体翻出埋放地表等活动占用的土地面积更远远超过工程本身，这些占地属暂时性影响，使植被遭砍伐、被铲除，破坏了原有生态环境的自然性，同时施工期开挖土方会破坏植被，造成生态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sz w:val="24"/>
                <w:szCs w:val="24"/>
              </w:rPr>
              <w:t>（2）水土流失影响分析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eastAsia="zh-CN"/>
              </w:rPr>
              <w:t>本</w:t>
            </w:r>
            <w:r>
              <w:rPr>
                <w:rFonts w:hint="eastAsia"/>
                <w:bCs/>
                <w:sz w:val="24"/>
                <w:szCs w:val="24"/>
                <w:lang w:eastAsia="zh-CN"/>
              </w:rPr>
              <w:t>工程</w:t>
            </w:r>
            <w:r>
              <w:rPr>
                <w:sz w:val="24"/>
                <w:szCs w:val="24"/>
              </w:rPr>
              <w:t>施工过程中必然会影响到周边地区，造成一定量的水土流失，水土流失将影响和危害</w:t>
            </w:r>
            <w:r>
              <w:rPr>
                <w:rFonts w:hint="eastAsia"/>
                <w:bCs/>
                <w:sz w:val="24"/>
                <w:szCs w:val="24"/>
                <w:lang w:eastAsia="zh-CN"/>
              </w:rPr>
              <w:t>工程占地及</w:t>
            </w:r>
            <w:r>
              <w:rPr>
                <w:sz w:val="24"/>
                <w:szCs w:val="24"/>
              </w:rPr>
              <w:t>周边的生态环境。</w:t>
            </w:r>
            <w:r>
              <w:rPr>
                <w:rFonts w:hint="eastAsia"/>
                <w:sz w:val="24"/>
                <w:szCs w:val="24"/>
                <w:lang w:eastAsia="zh-CN"/>
              </w:rPr>
              <w:t>本</w:t>
            </w:r>
            <w:r>
              <w:rPr>
                <w:rFonts w:hint="eastAsia"/>
                <w:bCs/>
                <w:sz w:val="24"/>
                <w:szCs w:val="24"/>
                <w:lang w:eastAsia="zh-CN"/>
              </w:rPr>
              <w:t>工程</w:t>
            </w:r>
            <w:r>
              <w:rPr>
                <w:sz w:val="24"/>
                <w:szCs w:val="24"/>
              </w:rPr>
              <w:t>对当地的水土流失的影响主要表现在工程建设时期的施工活动，造成原有地表开挖、占压、扰动和再塑，使地表植被受到破坏，失去固土防冲能力，加剧区域的水土流失。</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sz w:val="24"/>
                <w:szCs w:val="24"/>
              </w:rPr>
              <w:t>（3）对植被的影响分析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eastAsia="zh-CN"/>
              </w:rPr>
              <w:t>本</w:t>
            </w:r>
            <w:r>
              <w:rPr>
                <w:rFonts w:hint="eastAsia"/>
                <w:bCs/>
                <w:sz w:val="24"/>
                <w:szCs w:val="24"/>
                <w:lang w:eastAsia="zh-CN"/>
              </w:rPr>
              <w:t>工程</w:t>
            </w:r>
            <w:r>
              <w:rPr>
                <w:sz w:val="24"/>
                <w:szCs w:val="24"/>
              </w:rPr>
              <w:t>占地的植被类型主要是以其他林地、灌木林地、其它草地为主，施工期对占地范围内原有植被进行铲除或压占，区域植被覆盖面积减少，植被覆盖度下降，对生态系统碳氮平衡产生较大的影响。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sz w:val="24"/>
                <w:szCs w:val="24"/>
              </w:rPr>
              <w:t>（4）对野生动物的影响分析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sz w:val="24"/>
                <w:szCs w:val="24"/>
                <w:lang w:eastAsia="zh-CN"/>
              </w:rPr>
              <w:t>本</w:t>
            </w:r>
            <w:r>
              <w:rPr>
                <w:rFonts w:hint="eastAsia"/>
                <w:bCs/>
                <w:sz w:val="24"/>
                <w:szCs w:val="24"/>
                <w:lang w:eastAsia="zh-CN"/>
              </w:rPr>
              <w:t>工程</w:t>
            </w:r>
            <w:r>
              <w:rPr>
                <w:sz w:val="24"/>
                <w:szCs w:val="24"/>
              </w:rPr>
              <w:t>的建设首先造成土地利用功能的改变，由原来的自然</w:t>
            </w:r>
            <w:r>
              <w:rPr>
                <w:rFonts w:eastAsia="仿宋"/>
                <w:sz w:val="24"/>
                <w:szCs w:val="24"/>
              </w:rPr>
              <w:t>——</w:t>
            </w:r>
            <w:r>
              <w:rPr>
                <w:sz w:val="24"/>
                <w:szCs w:val="24"/>
              </w:rPr>
              <w:t>半自然环境改变为一个高度人工的环境。建设施工期土地的平整、对林地等的破坏，会干扰野生动物的正常生活。根据实地调查，</w:t>
            </w:r>
            <w:r>
              <w:rPr>
                <w:rFonts w:hint="eastAsia"/>
                <w:bCs/>
                <w:sz w:val="24"/>
                <w:szCs w:val="24"/>
                <w:lang w:eastAsia="zh-CN"/>
              </w:rPr>
              <w:t>工程所在区域</w:t>
            </w:r>
            <w:r>
              <w:rPr>
                <w:sz w:val="24"/>
                <w:szCs w:val="24"/>
              </w:rPr>
              <w:t>占地范围内未发现涉及有重要野生动物或鸟类的集中栖息繁衍或集中分布的敏感生境，</w:t>
            </w:r>
            <w:r>
              <w:rPr>
                <w:rFonts w:hint="eastAsia"/>
                <w:bCs/>
                <w:sz w:val="24"/>
                <w:szCs w:val="24"/>
                <w:lang w:eastAsia="zh-CN"/>
              </w:rPr>
              <w:t>工程所在区域</w:t>
            </w:r>
            <w:r>
              <w:rPr>
                <w:sz w:val="24"/>
                <w:szCs w:val="24"/>
              </w:rPr>
              <w:t>范围内主要为常见的适生物钟，生存能力较强。同时，本</w:t>
            </w:r>
            <w:r>
              <w:rPr>
                <w:rFonts w:hint="eastAsia"/>
                <w:bCs/>
                <w:sz w:val="24"/>
                <w:szCs w:val="24"/>
                <w:lang w:eastAsia="zh-CN"/>
              </w:rPr>
              <w:t>工程</w:t>
            </w:r>
            <w:r>
              <w:rPr>
                <w:sz w:val="24"/>
                <w:szCs w:val="24"/>
              </w:rPr>
              <w:t>占地面积较小，施工范围小，工程建设对野生动物影响到范围不大且影响时间较短。而且，现状区域的周边外围地带，拥有大面积类似的生态环境类型分布，野生动物自身具有规避不良环境的本能属性，可以自然迁移至周边外围找到相似的生产环境，因此，本</w:t>
            </w:r>
            <w:r>
              <w:rPr>
                <w:rFonts w:hint="eastAsia"/>
                <w:bCs/>
                <w:sz w:val="24"/>
                <w:szCs w:val="24"/>
                <w:lang w:eastAsia="zh-CN"/>
              </w:rPr>
              <w:t>工程</w:t>
            </w:r>
            <w:r>
              <w:rPr>
                <w:sz w:val="24"/>
                <w:szCs w:val="24"/>
              </w:rPr>
              <w:t>对野生动物的影响较小。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sz w:val="24"/>
                <w:szCs w:val="24"/>
              </w:rPr>
              <w:t>（5）对景观环境的影响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rFonts w:hint="eastAsia"/>
                <w:bCs/>
                <w:sz w:val="24"/>
                <w:szCs w:val="24"/>
                <w:lang w:eastAsia="zh-CN"/>
              </w:rPr>
              <w:t>工程所在区域</w:t>
            </w:r>
            <w:r>
              <w:rPr>
                <w:sz w:val="24"/>
                <w:szCs w:val="24"/>
              </w:rPr>
              <w:t>范围内在没有人为干预的情况下，景观生态的变化不会太大，本</w:t>
            </w:r>
            <w:r>
              <w:rPr>
                <w:rFonts w:hint="eastAsia"/>
                <w:bCs/>
                <w:sz w:val="24"/>
                <w:szCs w:val="24"/>
                <w:lang w:eastAsia="zh-CN"/>
              </w:rPr>
              <w:t>工程</w:t>
            </w:r>
            <w:r>
              <w:rPr>
                <w:sz w:val="24"/>
                <w:szCs w:val="24"/>
              </w:rPr>
              <w:t>为新建项目，占用土地面积较大，随着项目的实施，会有大面积的地表开挖和地面建设，使原有的林地和草地景观发生改变。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z w:val="24"/>
                <w:szCs w:val="24"/>
              </w:rPr>
            </w:pPr>
            <w:r>
              <w:rPr>
                <w:sz w:val="24"/>
                <w:szCs w:val="24"/>
              </w:rPr>
              <w:t>综上，本</w:t>
            </w:r>
            <w:r>
              <w:rPr>
                <w:rFonts w:hint="eastAsia"/>
                <w:bCs/>
                <w:sz w:val="24"/>
                <w:szCs w:val="24"/>
                <w:lang w:eastAsia="zh-CN"/>
              </w:rPr>
              <w:t>工程</w:t>
            </w:r>
            <w:r>
              <w:rPr>
                <w:sz w:val="24"/>
                <w:szCs w:val="24"/>
              </w:rPr>
              <w:t>施工对局部自然生态环境造成一定的破坏，但对整个区域自然体系的稳定性不会造成明显影响，仅使局部区域植被铲除、动物迁徒、水土流失侵蚀度增加，使局部生物量减少，局部自然生态环境遭到一定的破坏。但由于影响面积小，对自然生态体系的稳定性和对外界环境干扰的阻抗和恢复功能影响不大，对整个区域自然体系恢复稳定性不会产生明显的影响，是自然体系可以承受的。</w:t>
            </w:r>
          </w:p>
          <w:p>
            <w:pPr>
              <w:snapToGrid w:val="0"/>
              <w:spacing w:line="360" w:lineRule="auto"/>
              <w:ind w:firstLine="480"/>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jc w:val="center"/>
        </w:trPr>
        <w:tc>
          <w:tcPr>
            <w:tcW w:w="879" w:type="dxa"/>
            <w:tcMar>
              <w:left w:w="28" w:type="dxa"/>
              <w:right w:w="28" w:type="dxa"/>
            </w:tcMar>
            <w:vAlign w:val="center"/>
          </w:tcPr>
          <w:p>
            <w:pPr>
              <w:pStyle w:val="18"/>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Cs/>
                <w:kern w:val="2"/>
                <w:sz w:val="24"/>
                <w:szCs w:val="24"/>
              </w:rPr>
              <w:t>运营期生态环境影响分析</w:t>
            </w:r>
          </w:p>
        </w:tc>
        <w:tc>
          <w:tcPr>
            <w:tcW w:w="8363" w:type="dxa"/>
          </w:tcPr>
          <w:p>
            <w:pPr>
              <w:numPr>
                <w:ilvl w:val="0"/>
                <w:numId w:val="3"/>
              </w:numPr>
              <w:adjustRightInd w:val="0"/>
              <w:snapToGrid w:val="0"/>
              <w:spacing w:line="360" w:lineRule="auto"/>
              <w:ind w:left="870" w:leftChars="0" w:firstLineChars="0"/>
              <w:rPr>
                <w:b/>
                <w:color w:val="auto"/>
                <w:kern w:val="0"/>
                <w:sz w:val="24"/>
                <w:szCs w:val="24"/>
              </w:rPr>
            </w:pPr>
            <w:r>
              <w:rPr>
                <w:b/>
                <w:bCs/>
                <w:color w:val="auto"/>
                <w:sz w:val="24"/>
                <w:szCs w:val="24"/>
              </w:rPr>
              <w:t>运营期</w:t>
            </w:r>
            <w:r>
              <w:rPr>
                <w:b/>
                <w:color w:val="auto"/>
                <w:kern w:val="0"/>
                <w:sz w:val="24"/>
                <w:szCs w:val="24"/>
              </w:rPr>
              <w:t>工艺流程及产污环节</w:t>
            </w:r>
          </w:p>
          <w:p>
            <w:pPr>
              <w:adjustRightInd w:val="0"/>
              <w:snapToGrid w:val="0"/>
              <w:spacing w:line="360" w:lineRule="auto"/>
              <w:ind w:firstLine="480" w:firstLineChars="200"/>
              <w:rPr>
                <w:b/>
                <w:bCs/>
                <w:color w:val="auto"/>
                <w:sz w:val="24"/>
                <w:szCs w:val="24"/>
              </w:rPr>
            </w:pPr>
            <w:r>
              <w:rPr>
                <w:bCs/>
                <w:color w:val="auto"/>
                <w:sz w:val="24"/>
                <w:szCs w:val="24"/>
              </w:rPr>
              <w:fldChar w:fldCharType="begin"/>
            </w:r>
            <w:r>
              <w:rPr>
                <w:bCs/>
                <w:color w:val="auto"/>
                <w:sz w:val="24"/>
                <w:szCs w:val="24"/>
              </w:rPr>
              <w:instrText xml:space="preserve"> = 1 \* GB3 </w:instrText>
            </w:r>
            <w:r>
              <w:rPr>
                <w:bCs/>
                <w:color w:val="auto"/>
                <w:sz w:val="24"/>
                <w:szCs w:val="24"/>
              </w:rPr>
              <w:fldChar w:fldCharType="separate"/>
            </w:r>
            <w:r>
              <w:rPr>
                <w:rFonts w:ascii="宋体"/>
                <w:bCs/>
                <w:color w:val="auto"/>
                <w:sz w:val="24"/>
                <w:szCs w:val="24"/>
              </w:rPr>
              <w:t>①</w:t>
            </w:r>
            <w:r>
              <w:rPr>
                <w:bCs/>
                <w:color w:val="auto"/>
                <w:sz w:val="24"/>
                <w:szCs w:val="24"/>
              </w:rPr>
              <w:fldChar w:fldCharType="end"/>
            </w:r>
            <w:r>
              <w:rPr>
                <w:color w:val="auto"/>
                <w:kern w:val="0"/>
                <w:sz w:val="24"/>
                <w:szCs w:val="24"/>
              </w:rPr>
              <w:t>运营期工艺流程及产污环节图</w:t>
            </w:r>
          </w:p>
          <w:p>
            <w:pPr>
              <w:adjustRightInd w:val="0"/>
              <w:snapToGrid w:val="0"/>
              <w:spacing w:line="360" w:lineRule="auto"/>
              <w:rPr>
                <w:color w:val="auto"/>
                <w:kern w:val="0"/>
                <w:szCs w:val="21"/>
              </w:rPr>
            </w:pPr>
            <w:r>
              <w:rPr>
                <w:color w:val="auto"/>
                <w:kern w:val="0"/>
                <w:szCs w:val="21"/>
              </w:rPr>
              <w:drawing>
                <wp:inline distT="0" distB="0" distL="0" distR="0">
                  <wp:extent cx="5181600" cy="14859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rcRect/>
                          <a:stretch>
                            <a:fillRect/>
                          </a:stretch>
                        </pic:blipFill>
                        <pic:spPr>
                          <a:xfrm>
                            <a:off x="0" y="0"/>
                            <a:ext cx="5181600" cy="148590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kern w:val="0"/>
                <w:szCs w:val="21"/>
              </w:rPr>
            </w:pPr>
            <w:r>
              <w:rPr>
                <w:color w:val="auto"/>
                <w:kern w:val="0"/>
                <w:szCs w:val="21"/>
              </w:rPr>
              <w:t>图4-2运营期工艺流程及产污环节图</w:t>
            </w:r>
          </w:p>
          <w:p>
            <w:pPr>
              <w:adjustRightInd w:val="0"/>
              <w:snapToGrid w:val="0"/>
              <w:spacing w:line="360" w:lineRule="auto"/>
              <w:ind w:firstLine="480" w:firstLineChars="200"/>
              <w:rPr>
                <w:bCs/>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ascii="宋体"/>
                <w:color w:val="auto"/>
                <w:sz w:val="24"/>
                <w:szCs w:val="24"/>
              </w:rPr>
              <w:t>②</w:t>
            </w:r>
            <w:r>
              <w:rPr>
                <w:rFonts w:ascii="宋体"/>
                <w:color w:val="auto"/>
                <w:sz w:val="24"/>
                <w:szCs w:val="24"/>
              </w:rPr>
              <w:fldChar w:fldCharType="end"/>
            </w:r>
            <w:r>
              <w:rPr>
                <w:color w:val="auto"/>
                <w:sz w:val="24"/>
                <w:szCs w:val="24"/>
              </w:rPr>
              <w:t>运营</w:t>
            </w:r>
            <w:r>
              <w:rPr>
                <w:bCs/>
                <w:color w:val="auto"/>
                <w:sz w:val="24"/>
                <w:szCs w:val="24"/>
              </w:rPr>
              <w:t>期工艺流程描述</w:t>
            </w:r>
          </w:p>
          <w:p>
            <w:pPr>
              <w:spacing w:line="360" w:lineRule="auto"/>
              <w:ind w:firstLine="480" w:firstLineChars="200"/>
              <w:rPr>
                <w:color w:val="auto"/>
                <w:sz w:val="24"/>
                <w:szCs w:val="24"/>
              </w:rPr>
            </w:pPr>
            <w:r>
              <w:rPr>
                <w:color w:val="auto"/>
                <w:sz w:val="24"/>
                <w:szCs w:val="24"/>
              </w:rPr>
              <w:t>本</w:t>
            </w:r>
            <w:r>
              <w:rPr>
                <w:rFonts w:hint="eastAsia"/>
                <w:bCs/>
                <w:color w:val="auto"/>
                <w:sz w:val="24"/>
                <w:szCs w:val="24"/>
                <w:lang w:eastAsia="zh-CN"/>
              </w:rPr>
              <w:t>工程</w:t>
            </w:r>
            <w:r>
              <w:rPr>
                <w:color w:val="auto"/>
                <w:sz w:val="24"/>
                <w:szCs w:val="24"/>
              </w:rPr>
              <w:t>堆填区采用堆填方式，分层摊铺、往返碾压、分单元逐日覆土的作业方式，堆填区的堆填作业流程简述如下：</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1 \* ROMAN </w:instrText>
            </w:r>
            <w:r>
              <w:rPr>
                <w:color w:val="auto"/>
                <w:sz w:val="24"/>
                <w:szCs w:val="24"/>
              </w:rPr>
              <w:fldChar w:fldCharType="separate"/>
            </w:r>
            <w:r>
              <w:rPr>
                <w:color w:val="auto"/>
                <w:sz w:val="24"/>
                <w:szCs w:val="24"/>
              </w:rPr>
              <w:t>I</w:t>
            </w:r>
            <w:r>
              <w:rPr>
                <w:color w:val="auto"/>
                <w:sz w:val="24"/>
                <w:szCs w:val="24"/>
              </w:rPr>
              <w:fldChar w:fldCharType="end"/>
            </w:r>
            <w:r>
              <w:rPr>
                <w:color w:val="auto"/>
                <w:sz w:val="24"/>
                <w:szCs w:val="24"/>
              </w:rPr>
              <w:t>、进场、计量：垃圾经运输车辆运至堆填区，垃圾车首先经地衡称重计量，以确定垃圾的重量。该工序产生运输扬尘、运输噪声。</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2 \* ROMAN </w:instrText>
            </w:r>
            <w:r>
              <w:rPr>
                <w:color w:val="auto"/>
                <w:sz w:val="24"/>
                <w:szCs w:val="24"/>
              </w:rPr>
              <w:fldChar w:fldCharType="separate"/>
            </w:r>
            <w:r>
              <w:rPr>
                <w:color w:val="auto"/>
                <w:sz w:val="24"/>
                <w:szCs w:val="24"/>
              </w:rPr>
              <w:t>II</w:t>
            </w:r>
            <w:r>
              <w:rPr>
                <w:color w:val="auto"/>
                <w:sz w:val="24"/>
                <w:szCs w:val="24"/>
              </w:rPr>
              <w:fldChar w:fldCharType="end"/>
            </w:r>
            <w:r>
              <w:rPr>
                <w:color w:val="auto"/>
                <w:sz w:val="24"/>
                <w:szCs w:val="24"/>
              </w:rPr>
              <w:t>、卸料：垃圾运输车辆到达日单元作业区卸料堆填方式采用“推坡法”和“填坑法”。“推坡法”进行堆填作业时，使用推土机压实可取得更好的压实效果，摊铺作业更易控制，可有效避免垃圾散落现象。“填坑法”作业自上而下进行，推土机作业负荷较低，但对摊铺、压实作业控制要求较高，若摊铺作业控制不好，易造成垃圾散落。为了避免重车直接压在碎石导流层上，造成土工模防渗系统的损坏，第一层垃圾应先从卸车平台倾斜垃圾，卸车平台周围倾斜一层约3m的垃圾后方可顺序向前倾倒、推铺。垃圾堆填作业从第二层起采用倾斜面堆积法作业直接卸料。垃圾运输车辆离开堆填场时进行清洗，为减少卸料扬尘的排放，卸料过程通过洒水抑制扬尘的产生。该工序产生卸车噪声、洗车废水、卸料扬尘。</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3 \* ROMAN </w:instrText>
            </w:r>
            <w:r>
              <w:rPr>
                <w:color w:val="auto"/>
                <w:sz w:val="24"/>
                <w:szCs w:val="24"/>
              </w:rPr>
              <w:fldChar w:fldCharType="separate"/>
            </w:r>
            <w:r>
              <w:rPr>
                <w:color w:val="auto"/>
                <w:sz w:val="24"/>
                <w:szCs w:val="24"/>
              </w:rPr>
              <w:t>III</w:t>
            </w:r>
            <w:r>
              <w:rPr>
                <w:color w:val="auto"/>
                <w:sz w:val="24"/>
                <w:szCs w:val="24"/>
              </w:rPr>
              <w:fldChar w:fldCharType="end"/>
            </w:r>
            <w:r>
              <w:rPr>
                <w:color w:val="auto"/>
                <w:sz w:val="24"/>
                <w:szCs w:val="24"/>
              </w:rPr>
              <w:t>、摊平、压实：垃圾通过转运车辆送至日堆填作业面卸料，采用推土机将垃圾摊铺成厚度大约为0.5m的层。摊铺过程中保证推土机始终处于垃圾层之上，避免垃圾成堆或散落。在摊铺后一层垃圾以前，前一层垃圾必须压实完成。</w:t>
            </w:r>
          </w:p>
          <w:p>
            <w:pPr>
              <w:spacing w:line="360" w:lineRule="auto"/>
              <w:ind w:firstLine="480" w:firstLineChars="200"/>
              <w:rPr>
                <w:color w:val="auto"/>
                <w:sz w:val="24"/>
                <w:szCs w:val="24"/>
              </w:rPr>
            </w:pPr>
            <w:r>
              <w:rPr>
                <w:color w:val="auto"/>
                <w:sz w:val="24"/>
                <w:szCs w:val="24"/>
              </w:rPr>
              <w:t>压实是堆填区堆填作业一道重要工序，可增加库容，延长库区使用年限，提高土地资源的开发作用，同时能增加堆填强度，防止坍塌，阻止不均匀性沉降，有利于减少垃圾孔隙率</w:t>
            </w:r>
            <w:r>
              <w:rPr>
                <w:rFonts w:hint="eastAsia"/>
                <w:color w:val="auto"/>
                <w:sz w:val="24"/>
                <w:szCs w:val="24"/>
                <w:lang w:eastAsia="zh-CN"/>
              </w:rPr>
              <w:t>。</w:t>
            </w:r>
            <w:r>
              <w:rPr>
                <w:color w:val="auto"/>
                <w:sz w:val="24"/>
                <w:szCs w:val="24"/>
              </w:rPr>
              <w:t>本</w:t>
            </w:r>
            <w:r>
              <w:rPr>
                <w:rFonts w:hint="eastAsia"/>
                <w:bCs/>
                <w:color w:val="auto"/>
                <w:sz w:val="24"/>
                <w:szCs w:val="24"/>
                <w:lang w:eastAsia="zh-CN"/>
              </w:rPr>
              <w:t>工程</w:t>
            </w:r>
            <w:r>
              <w:rPr>
                <w:color w:val="auto"/>
                <w:sz w:val="24"/>
                <w:szCs w:val="24"/>
              </w:rPr>
              <w:t>采用垃圾堆填专用压实机在垃圾上进行来回碾压。为提高压实度，可适当洒水，是堆填物接近最佳含水率，提高压实效果也可以抑制扬尘产生。该工序产生卸车噪声、扬尘。</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4 \* ROMAN </w:instrText>
            </w:r>
            <w:r>
              <w:rPr>
                <w:color w:val="auto"/>
                <w:sz w:val="24"/>
                <w:szCs w:val="24"/>
              </w:rPr>
              <w:fldChar w:fldCharType="separate"/>
            </w:r>
            <w:r>
              <w:rPr>
                <w:color w:val="auto"/>
                <w:sz w:val="24"/>
                <w:szCs w:val="24"/>
              </w:rPr>
              <w:t>IV</w:t>
            </w:r>
            <w:r>
              <w:rPr>
                <w:color w:val="auto"/>
                <w:sz w:val="24"/>
                <w:szCs w:val="24"/>
              </w:rPr>
              <w:fldChar w:fldCharType="end"/>
            </w:r>
            <w:r>
              <w:rPr>
                <w:color w:val="auto"/>
                <w:sz w:val="24"/>
                <w:szCs w:val="24"/>
              </w:rPr>
              <w:t>、覆盖</w:t>
            </w:r>
          </w:p>
          <w:p>
            <w:pPr>
              <w:spacing w:line="360" w:lineRule="auto"/>
              <w:ind w:firstLine="480" w:firstLineChars="200"/>
              <w:rPr>
                <w:color w:val="auto"/>
                <w:sz w:val="24"/>
                <w:szCs w:val="24"/>
              </w:rPr>
            </w:pPr>
            <w:r>
              <w:rPr>
                <w:color w:val="auto"/>
                <w:sz w:val="24"/>
                <w:szCs w:val="24"/>
              </w:rPr>
              <w:t>日覆盖：垃圾堆填压实后，为保持好的环境，应对作业面进行及时覆盖。对需要继续进行堆填的作业面，每日堆填作业结束后，使用PE膜或编织布进行覆盖。</w:t>
            </w:r>
          </w:p>
          <w:p>
            <w:pPr>
              <w:spacing w:line="360" w:lineRule="auto"/>
              <w:ind w:firstLine="480" w:firstLineChars="200"/>
              <w:rPr>
                <w:color w:val="auto"/>
                <w:sz w:val="24"/>
                <w:szCs w:val="24"/>
              </w:rPr>
            </w:pPr>
            <w:r>
              <w:rPr>
                <w:color w:val="auto"/>
                <w:sz w:val="24"/>
                <w:szCs w:val="24"/>
              </w:rPr>
              <w:t>中间覆盖：对达到堆填层标高，暂不进行堆填作业的区域进行中间覆盖，中间覆盖采用300mm粘土。对较长一段时间不进行堆填作业的区域，要求用防风抑尘网进行覆盖。</w:t>
            </w:r>
          </w:p>
          <w:p>
            <w:pPr>
              <w:spacing w:line="360" w:lineRule="auto"/>
              <w:ind w:firstLine="480" w:firstLineChars="200"/>
              <w:rPr>
                <w:color w:val="auto"/>
                <w:sz w:val="24"/>
                <w:szCs w:val="24"/>
              </w:rPr>
            </w:pPr>
            <w:r>
              <w:rPr>
                <w:color w:val="auto"/>
                <w:sz w:val="24"/>
                <w:szCs w:val="24"/>
              </w:rPr>
              <w:t>终场覆盖：终场覆盖在中间覆盖的基础上，植被覆盖支持土层500mm+营养土植被层200mm，覆盖整个最后修的表面，主要促进植物生长。此层土壤为营养丰富的耕土。根据所种的植物，局部可能需要加厚。</w:t>
            </w:r>
          </w:p>
          <w:p>
            <w:pPr>
              <w:adjustRightInd w:val="0"/>
              <w:snapToGrid w:val="0"/>
              <w:spacing w:line="360" w:lineRule="auto"/>
              <w:ind w:firstLine="480" w:firstLineChars="200"/>
              <w:rPr>
                <w:bCs/>
                <w:color w:val="auto"/>
                <w:sz w:val="24"/>
                <w:szCs w:val="24"/>
              </w:rPr>
            </w:pPr>
            <w:r>
              <w:rPr>
                <w:bCs/>
                <w:color w:val="auto"/>
                <w:sz w:val="24"/>
                <w:szCs w:val="24"/>
              </w:rPr>
              <w:fldChar w:fldCharType="begin"/>
            </w:r>
            <w:r>
              <w:rPr>
                <w:bCs/>
                <w:color w:val="auto"/>
                <w:sz w:val="24"/>
                <w:szCs w:val="24"/>
              </w:rPr>
              <w:instrText xml:space="preserve"> = 3 \* GB3 </w:instrText>
            </w:r>
            <w:r>
              <w:rPr>
                <w:bCs/>
                <w:color w:val="auto"/>
                <w:sz w:val="24"/>
                <w:szCs w:val="24"/>
              </w:rPr>
              <w:fldChar w:fldCharType="separate"/>
            </w:r>
            <w:r>
              <w:rPr>
                <w:rFonts w:ascii="宋体"/>
                <w:bCs/>
                <w:color w:val="auto"/>
                <w:sz w:val="24"/>
                <w:szCs w:val="24"/>
              </w:rPr>
              <w:t>③</w:t>
            </w:r>
            <w:r>
              <w:rPr>
                <w:bCs/>
                <w:color w:val="auto"/>
                <w:sz w:val="24"/>
                <w:szCs w:val="24"/>
              </w:rPr>
              <w:fldChar w:fldCharType="end"/>
            </w:r>
            <w:r>
              <w:rPr>
                <w:bCs/>
                <w:color w:val="auto"/>
                <w:sz w:val="24"/>
                <w:szCs w:val="24"/>
              </w:rPr>
              <w:t>运营期产污环节</w:t>
            </w:r>
          </w:p>
          <w:p>
            <w:pPr>
              <w:adjustRightInd w:val="0"/>
              <w:snapToGrid w:val="0"/>
              <w:spacing w:line="360" w:lineRule="auto"/>
              <w:ind w:firstLine="480" w:firstLineChars="200"/>
              <w:rPr>
                <w:bCs/>
                <w:color w:val="auto"/>
                <w:sz w:val="24"/>
                <w:szCs w:val="24"/>
              </w:rPr>
            </w:pPr>
            <w:r>
              <w:rPr>
                <w:color w:val="auto"/>
                <w:sz w:val="24"/>
                <w:szCs w:val="24"/>
              </w:rPr>
              <w:t>本</w:t>
            </w:r>
            <w:r>
              <w:rPr>
                <w:rFonts w:hint="eastAsia"/>
                <w:bCs/>
                <w:color w:val="auto"/>
                <w:sz w:val="24"/>
                <w:szCs w:val="24"/>
                <w:lang w:eastAsia="zh-CN"/>
              </w:rPr>
              <w:t>工程</w:t>
            </w:r>
            <w:r>
              <w:rPr>
                <w:bCs/>
                <w:color w:val="auto"/>
                <w:sz w:val="24"/>
                <w:szCs w:val="24"/>
              </w:rPr>
              <w:t>运营期产污环节见表4-4。</w:t>
            </w:r>
          </w:p>
          <w:p>
            <w:pPr>
              <w:pStyle w:val="11"/>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ascii="Times New Roman" w:hAnsi="Times New Roman"/>
                <w:color w:val="auto"/>
                <w:sz w:val="21"/>
                <w:szCs w:val="21"/>
              </w:rPr>
            </w:pPr>
            <w:r>
              <w:rPr>
                <w:rFonts w:ascii="Times New Roman" w:hAnsi="Times New Roman"/>
                <w:color w:val="auto"/>
                <w:sz w:val="21"/>
                <w:szCs w:val="21"/>
              </w:rPr>
              <w:t>表4-4生产运行阶段产污环节分析</w:t>
            </w:r>
          </w:p>
          <w:tbl>
            <w:tblPr>
              <w:tblStyle w:val="23"/>
              <w:tblW w:w="81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1690"/>
              <w:gridCol w:w="1210"/>
              <w:gridCol w:w="2814"/>
              <w:gridCol w:w="12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Align w:val="center"/>
                </w:tcPr>
                <w:p>
                  <w:pPr>
                    <w:pStyle w:val="49"/>
                    <w:framePr w:hSpace="0" w:wrap="auto" w:vAnchor="margin" w:hAnchor="text" w:xAlign="left" w:yAlign="inline"/>
                    <w:spacing w:line="260" w:lineRule="exact"/>
                    <w:rPr>
                      <w:rFonts w:ascii="Times New Roman" w:hAnsi="Times New Roman"/>
                      <w:bCs/>
                      <w:color w:val="auto"/>
                    </w:rPr>
                  </w:pPr>
                  <w:r>
                    <w:rPr>
                      <w:rFonts w:ascii="Times New Roman" w:hAnsi="Times New Roman"/>
                      <w:bCs/>
                      <w:color w:val="auto"/>
                    </w:rPr>
                    <w:t>类别</w:t>
                  </w: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bCs/>
                      <w:color w:val="auto"/>
                    </w:rPr>
                    <w:t>排放源</w:t>
                  </w:r>
                </w:p>
              </w:tc>
              <w:tc>
                <w:tcPr>
                  <w:tcW w:w="1210" w:type="dxa"/>
                  <w:vAlign w:val="center"/>
                </w:tcPr>
                <w:p>
                  <w:pPr>
                    <w:pStyle w:val="49"/>
                    <w:framePr w:hSpace="0" w:wrap="auto" w:vAnchor="margin" w:hAnchor="text" w:xAlign="left" w:yAlign="inline"/>
                    <w:spacing w:line="260" w:lineRule="exact"/>
                    <w:rPr>
                      <w:rFonts w:ascii="Times New Roman" w:hAnsi="Times New Roman"/>
                      <w:bCs/>
                      <w:color w:val="auto"/>
                    </w:rPr>
                  </w:pPr>
                  <w:r>
                    <w:rPr>
                      <w:rFonts w:ascii="Times New Roman" w:hAnsi="Times New Roman"/>
                      <w:bCs/>
                      <w:color w:val="auto"/>
                    </w:rPr>
                    <w:t>污染物</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bCs/>
                      <w:color w:val="auto"/>
                    </w:rPr>
                  </w:pPr>
                  <w:r>
                    <w:rPr>
                      <w:rFonts w:ascii="Times New Roman" w:hAnsi="Times New Roman"/>
                      <w:bCs/>
                      <w:color w:val="auto"/>
                    </w:rPr>
                    <w:t>污染因子</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bCs/>
                      <w:color w:val="auto"/>
                    </w:rPr>
                  </w:pPr>
                  <w:r>
                    <w:rPr>
                      <w:rFonts w:ascii="Times New Roman" w:hAnsi="Times New Roman"/>
                      <w:bCs/>
                      <w:color w:val="auto"/>
                    </w:rPr>
                    <w:t>产生特征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restart"/>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废气</w:t>
                  </w: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运输车辆</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运输扬尘</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TSP</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堆填区</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扬尘</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TSP</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连续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restart"/>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废水</w:t>
                  </w: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运输车辆</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冲洗废水</w:t>
                  </w:r>
                </w:p>
              </w:tc>
              <w:tc>
                <w:tcPr>
                  <w:tcW w:w="2814" w:type="dxa"/>
                  <w:tcBorders>
                    <w:bottom w:val="single" w:color="auto" w:sz="4" w:space="0"/>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SS</w:t>
                  </w:r>
                </w:p>
              </w:tc>
              <w:tc>
                <w:tcPr>
                  <w:tcW w:w="1208" w:type="dxa"/>
                  <w:tcBorders>
                    <w:left w:val="single" w:color="auto" w:sz="4" w:space="0"/>
                    <w:bottom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堆填区</w:t>
                  </w:r>
                </w:p>
              </w:tc>
              <w:tc>
                <w:tcPr>
                  <w:tcW w:w="1210" w:type="dxa"/>
                  <w:tcBorders>
                    <w:bottom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渗出水</w:t>
                  </w:r>
                </w:p>
              </w:tc>
              <w:tc>
                <w:tcPr>
                  <w:tcW w:w="2814" w:type="dxa"/>
                  <w:tcBorders>
                    <w:top w:val="single" w:color="auto" w:sz="4" w:space="0"/>
                    <w:bottom w:val="single" w:color="auto" w:sz="4" w:space="0"/>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SS</w:t>
                  </w:r>
                </w:p>
              </w:tc>
              <w:tc>
                <w:tcPr>
                  <w:tcW w:w="1208" w:type="dxa"/>
                  <w:tcBorders>
                    <w:top w:val="single" w:color="auto" w:sz="4" w:space="0"/>
                    <w:left w:val="single" w:color="auto" w:sz="4" w:space="0"/>
                    <w:bottom w:val="single" w:color="auto" w:sz="4" w:space="0"/>
                  </w:tcBorders>
                  <w:vAlign w:val="center"/>
                </w:tcPr>
                <w:p>
                  <w:pPr>
                    <w:jc w:val="center"/>
                    <w:rPr>
                      <w:color w:val="auto"/>
                    </w:rPr>
                  </w:pPr>
                  <w:r>
                    <w:rPr>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工作人员</w:t>
                  </w:r>
                </w:p>
              </w:tc>
              <w:tc>
                <w:tcPr>
                  <w:tcW w:w="1210" w:type="dxa"/>
                  <w:tcBorders>
                    <w:top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生活污水</w:t>
                  </w:r>
                </w:p>
              </w:tc>
              <w:tc>
                <w:tcPr>
                  <w:tcW w:w="2814" w:type="dxa"/>
                  <w:tcBorders>
                    <w:top w:val="single" w:color="auto" w:sz="4" w:space="0"/>
                    <w:right w:val="single" w:color="auto" w:sz="4" w:space="0"/>
                  </w:tcBorders>
                  <w:vAlign w:val="center"/>
                </w:tcPr>
                <w:p>
                  <w:pPr>
                    <w:pStyle w:val="49"/>
                    <w:spacing w:line="260" w:lineRule="exact"/>
                    <w:rPr>
                      <w:rFonts w:ascii="Times New Roman" w:hAnsi="Times New Roman"/>
                      <w:color w:val="auto"/>
                    </w:rPr>
                  </w:pPr>
                  <w:r>
                    <w:rPr>
                      <w:rFonts w:ascii="Times New Roman" w:hAnsi="Times New Roman"/>
                      <w:color w:val="auto"/>
                    </w:rPr>
                    <w:t>COD、BOD</w:t>
                  </w:r>
                  <w:r>
                    <w:rPr>
                      <w:rFonts w:ascii="Times New Roman" w:hAnsi="Times New Roman"/>
                      <w:color w:val="auto"/>
                      <w:vertAlign w:val="subscript"/>
                    </w:rPr>
                    <w:t>5</w:t>
                  </w:r>
                  <w:r>
                    <w:rPr>
                      <w:rFonts w:ascii="Times New Roman" w:hAnsi="Times New Roman"/>
                      <w:color w:val="auto"/>
                    </w:rPr>
                    <w:t>、SS、氨氮</w:t>
                  </w:r>
                </w:p>
              </w:tc>
              <w:tc>
                <w:tcPr>
                  <w:tcW w:w="1208" w:type="dxa"/>
                  <w:tcBorders>
                    <w:top w:val="single" w:color="auto" w:sz="4" w:space="0"/>
                    <w:left w:val="single" w:color="auto" w:sz="4" w:space="0"/>
                  </w:tcBorders>
                  <w:vAlign w:val="center"/>
                </w:tcPr>
                <w:p>
                  <w:pPr>
                    <w:jc w:val="center"/>
                    <w:rPr>
                      <w:color w:val="auto"/>
                    </w:rPr>
                  </w:pPr>
                  <w:r>
                    <w:rPr>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restart"/>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噪声</w:t>
                  </w: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运输车辆</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运输噪声</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Leq(A)</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卸车</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设备噪声</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Leq(A)</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堆填区</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设备噪声</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Leq(A)</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连续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restart"/>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固体废物</w:t>
                  </w: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沉淀池</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污泥</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污泥</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b/>
                      <w:bCs/>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工作人员</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kern w:val="0"/>
                    </w:rPr>
                  </w:pPr>
                  <w:r>
                    <w:rPr>
                      <w:rFonts w:ascii="Times New Roman" w:hAnsi="Times New Roman"/>
                      <w:color w:val="auto"/>
                    </w:rPr>
                    <w:t>生活垃圾</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kern w:val="0"/>
                    </w:rPr>
                  </w:pPr>
                  <w:r>
                    <w:rPr>
                      <w:rFonts w:ascii="Times New Roman" w:hAnsi="Times New Roman"/>
                      <w:color w:val="auto"/>
                    </w:rPr>
                    <w:t>生活垃圾</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210" w:type="dxa"/>
                  <w:vMerge w:val="continue"/>
                  <w:vAlign w:val="center"/>
                </w:tcPr>
                <w:p>
                  <w:pPr>
                    <w:pStyle w:val="49"/>
                    <w:framePr w:hSpace="0" w:wrap="auto" w:vAnchor="margin" w:hAnchor="text" w:xAlign="left" w:yAlign="inline"/>
                    <w:spacing w:line="260" w:lineRule="exact"/>
                    <w:rPr>
                      <w:rFonts w:ascii="Times New Roman" w:hAnsi="Times New Roman"/>
                      <w:b/>
                      <w:bCs/>
                      <w:color w:val="auto"/>
                    </w:rPr>
                  </w:pPr>
                </w:p>
              </w:tc>
              <w:tc>
                <w:tcPr>
                  <w:tcW w:w="1690"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设备维护</w:t>
                  </w:r>
                </w:p>
              </w:tc>
              <w:tc>
                <w:tcPr>
                  <w:tcW w:w="1210" w:type="dxa"/>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废机油</w:t>
                  </w:r>
                </w:p>
              </w:tc>
              <w:tc>
                <w:tcPr>
                  <w:tcW w:w="2814" w:type="dxa"/>
                  <w:tcBorders>
                    <w:righ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废机油</w:t>
                  </w:r>
                </w:p>
              </w:tc>
              <w:tc>
                <w:tcPr>
                  <w:tcW w:w="1208" w:type="dxa"/>
                  <w:tcBorders>
                    <w:left w:val="single" w:color="auto" w:sz="4" w:space="0"/>
                  </w:tcBorders>
                  <w:vAlign w:val="center"/>
                </w:tcPr>
                <w:p>
                  <w:pPr>
                    <w:pStyle w:val="49"/>
                    <w:framePr w:hSpace="0" w:wrap="auto" w:vAnchor="margin" w:hAnchor="text" w:xAlign="left" w:yAlign="inline"/>
                    <w:spacing w:line="260" w:lineRule="exact"/>
                    <w:rPr>
                      <w:rFonts w:ascii="Times New Roman" w:hAnsi="Times New Roman"/>
                      <w:color w:val="auto"/>
                    </w:rPr>
                  </w:pPr>
                  <w:r>
                    <w:rPr>
                      <w:rFonts w:ascii="Times New Roman" w:hAnsi="Times New Roman"/>
                      <w:color w:val="auto"/>
                    </w:rPr>
                    <w:t>间断</w:t>
                  </w:r>
                </w:p>
              </w:tc>
            </w:tr>
          </w:tbl>
          <w:p>
            <w:pPr>
              <w:spacing w:line="360" w:lineRule="auto"/>
              <w:ind w:firstLine="482" w:firstLineChars="200"/>
              <w:rPr>
                <w:b/>
                <w:color w:val="auto"/>
                <w:sz w:val="24"/>
                <w:szCs w:val="24"/>
              </w:rPr>
            </w:pPr>
            <w:r>
              <w:rPr>
                <w:b/>
                <w:color w:val="auto"/>
                <w:sz w:val="24"/>
                <w:szCs w:val="24"/>
              </w:rPr>
              <w:t>二、</w:t>
            </w:r>
            <w:r>
              <w:rPr>
                <w:b/>
                <w:bCs/>
                <w:color w:val="auto"/>
                <w:sz w:val="24"/>
                <w:szCs w:val="24"/>
              </w:rPr>
              <w:t>运营期生态环境影响分析</w:t>
            </w:r>
          </w:p>
          <w:p>
            <w:pPr>
              <w:adjustRightInd w:val="0"/>
              <w:snapToGrid w:val="0"/>
              <w:spacing w:line="360" w:lineRule="auto"/>
              <w:ind w:firstLine="482" w:firstLineChars="200"/>
              <w:rPr>
                <w:b/>
                <w:color w:val="auto"/>
                <w:sz w:val="24"/>
                <w:szCs w:val="24"/>
              </w:rPr>
            </w:pPr>
            <w:r>
              <w:rPr>
                <w:b/>
                <w:bCs/>
                <w:color w:val="auto"/>
                <w:sz w:val="24"/>
                <w:szCs w:val="24"/>
              </w:rPr>
              <w:t>1、大气</w:t>
            </w:r>
            <w:r>
              <w:rPr>
                <w:b/>
                <w:color w:val="auto"/>
                <w:sz w:val="24"/>
                <w:szCs w:val="24"/>
              </w:rPr>
              <w:t>环境影响分析</w:t>
            </w:r>
          </w:p>
          <w:p>
            <w:pPr>
              <w:adjustRightInd w:val="0"/>
              <w:snapToGrid w:val="0"/>
              <w:spacing w:line="360" w:lineRule="auto"/>
              <w:ind w:firstLine="482" w:firstLineChars="200"/>
              <w:rPr>
                <w:b/>
                <w:color w:val="auto"/>
                <w:sz w:val="24"/>
                <w:szCs w:val="24"/>
              </w:rPr>
            </w:pPr>
            <w:r>
              <w:rPr>
                <w:b/>
                <w:color w:val="auto"/>
                <w:sz w:val="24"/>
                <w:szCs w:val="24"/>
              </w:rPr>
              <w:t>（1）废气污染物排放源一览表</w:t>
            </w:r>
          </w:p>
          <w:p>
            <w:pPr>
              <w:spacing w:line="360" w:lineRule="auto"/>
              <w:ind w:firstLine="480" w:firstLineChars="200"/>
              <w:rPr>
                <w:color w:val="auto"/>
                <w:sz w:val="24"/>
                <w:szCs w:val="24"/>
              </w:rPr>
            </w:pPr>
            <w:r>
              <w:rPr>
                <w:color w:val="auto"/>
                <w:sz w:val="24"/>
                <w:szCs w:val="24"/>
              </w:rPr>
              <w:t>本</w:t>
            </w:r>
            <w:r>
              <w:rPr>
                <w:rFonts w:hint="eastAsia"/>
                <w:bCs/>
                <w:color w:val="auto"/>
                <w:sz w:val="24"/>
                <w:szCs w:val="24"/>
                <w:lang w:eastAsia="zh-CN"/>
              </w:rPr>
              <w:t>工程</w:t>
            </w:r>
            <w:r>
              <w:rPr>
                <w:color w:val="auto"/>
                <w:sz w:val="24"/>
                <w:szCs w:val="24"/>
              </w:rPr>
              <w:t>运营期废气主要为</w:t>
            </w:r>
            <w:r>
              <w:rPr>
                <w:bCs/>
                <w:color w:val="auto"/>
                <w:kern w:val="0"/>
                <w:sz w:val="24"/>
                <w:szCs w:val="24"/>
              </w:rPr>
              <w:t>堆填区堆料扬尘和车辆运输产生的道路扬尘</w:t>
            </w:r>
            <w:r>
              <w:rPr>
                <w:color w:val="auto"/>
                <w:sz w:val="24"/>
                <w:szCs w:val="24"/>
              </w:rPr>
              <w:t>，具体污染物排放情况详见下表。</w:t>
            </w:r>
          </w:p>
          <w:p>
            <w:pPr>
              <w:ind w:firstLine="480"/>
              <w:jc w:val="center"/>
              <w:rPr>
                <w:color w:val="auto"/>
              </w:rPr>
            </w:pPr>
            <w:r>
              <w:rPr>
                <w:color w:val="auto"/>
              </w:rPr>
              <w:t>表4-5废气污染物排放源一览表</w:t>
            </w:r>
          </w:p>
          <w:tbl>
            <w:tblPr>
              <w:tblStyle w:val="23"/>
              <w:tblW w:w="81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985"/>
              <w:gridCol w:w="309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527" w:type="dxa"/>
                  <w:gridSpan w:val="2"/>
                  <w:vAlign w:val="center"/>
                </w:tcPr>
                <w:p>
                  <w:pPr>
                    <w:pStyle w:val="51"/>
                    <w:rPr>
                      <w:color w:val="auto"/>
                    </w:rPr>
                  </w:pPr>
                  <w:r>
                    <w:rPr>
                      <w:color w:val="auto"/>
                    </w:rPr>
                    <w:t>产污环节</w:t>
                  </w:r>
                </w:p>
              </w:tc>
              <w:tc>
                <w:tcPr>
                  <w:tcW w:w="3092" w:type="dxa"/>
                  <w:vAlign w:val="center"/>
                </w:tcPr>
                <w:p>
                  <w:pPr>
                    <w:pStyle w:val="51"/>
                    <w:rPr>
                      <w:color w:val="auto"/>
                    </w:rPr>
                  </w:pPr>
                  <w:r>
                    <w:rPr>
                      <w:color w:val="auto"/>
                    </w:rPr>
                    <w:t>堆填区</w:t>
                  </w:r>
                  <w:r>
                    <w:rPr>
                      <w:bCs w:val="0"/>
                      <w:color w:val="auto"/>
                    </w:rPr>
                    <w:t>堆料扬尘</w:t>
                  </w:r>
                </w:p>
              </w:tc>
              <w:tc>
                <w:tcPr>
                  <w:tcW w:w="2516" w:type="dxa"/>
                  <w:vAlign w:val="center"/>
                </w:tcPr>
                <w:p>
                  <w:pPr>
                    <w:pStyle w:val="51"/>
                    <w:rPr>
                      <w:color w:val="auto"/>
                    </w:rPr>
                  </w:pPr>
                  <w:r>
                    <w:rPr>
                      <w:bCs w:val="0"/>
                      <w:color w:val="auto"/>
                    </w:rPr>
                    <w:t>道路扬尘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527" w:type="dxa"/>
                  <w:gridSpan w:val="2"/>
                  <w:vAlign w:val="center"/>
                </w:tcPr>
                <w:p>
                  <w:pPr>
                    <w:pStyle w:val="51"/>
                    <w:rPr>
                      <w:color w:val="auto"/>
                    </w:rPr>
                  </w:pPr>
                  <w:r>
                    <w:rPr>
                      <w:color w:val="auto"/>
                    </w:rPr>
                    <w:t>污染物种类</w:t>
                  </w:r>
                </w:p>
              </w:tc>
              <w:tc>
                <w:tcPr>
                  <w:tcW w:w="3092" w:type="dxa"/>
                  <w:vAlign w:val="center"/>
                </w:tcPr>
                <w:p>
                  <w:pPr>
                    <w:pStyle w:val="51"/>
                    <w:rPr>
                      <w:color w:val="auto"/>
                    </w:rPr>
                  </w:pPr>
                  <w:r>
                    <w:rPr>
                      <w:color w:val="auto"/>
                    </w:rPr>
                    <w:t>TSP</w:t>
                  </w:r>
                </w:p>
              </w:tc>
              <w:tc>
                <w:tcPr>
                  <w:tcW w:w="2516" w:type="dxa"/>
                  <w:vAlign w:val="center"/>
                </w:tcPr>
                <w:p>
                  <w:pPr>
                    <w:pStyle w:val="51"/>
                    <w:rPr>
                      <w:color w:val="auto"/>
                    </w:rPr>
                  </w:pPr>
                  <w:r>
                    <w:rPr>
                      <w:color w:val="auto"/>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527" w:type="dxa"/>
                  <w:gridSpan w:val="2"/>
                  <w:vAlign w:val="center"/>
                </w:tcPr>
                <w:p>
                  <w:pPr>
                    <w:pStyle w:val="51"/>
                    <w:rPr>
                      <w:color w:val="auto"/>
                    </w:rPr>
                  </w:pPr>
                  <w:r>
                    <w:rPr>
                      <w:color w:val="auto"/>
                    </w:rPr>
                    <w:t>排放形式</w:t>
                  </w:r>
                </w:p>
              </w:tc>
              <w:tc>
                <w:tcPr>
                  <w:tcW w:w="5608" w:type="dxa"/>
                  <w:gridSpan w:val="2"/>
                  <w:vAlign w:val="center"/>
                </w:tcPr>
                <w:p>
                  <w:pPr>
                    <w:pStyle w:val="51"/>
                    <w:rPr>
                      <w:color w:val="auto"/>
                    </w:rPr>
                  </w:pPr>
                  <w:r>
                    <w:rPr>
                      <w:color w:val="auto"/>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527" w:type="dxa"/>
                  <w:gridSpan w:val="2"/>
                  <w:vAlign w:val="center"/>
                </w:tcPr>
                <w:p>
                  <w:pPr>
                    <w:pStyle w:val="51"/>
                    <w:rPr>
                      <w:color w:val="auto"/>
                    </w:rPr>
                  </w:pPr>
                  <w:r>
                    <w:rPr>
                      <w:color w:val="auto"/>
                    </w:rPr>
                    <w:t>污染物产生量（t/a）</w:t>
                  </w:r>
                </w:p>
              </w:tc>
              <w:tc>
                <w:tcPr>
                  <w:tcW w:w="3092" w:type="dxa"/>
                  <w:vAlign w:val="center"/>
                </w:tcPr>
                <w:p>
                  <w:pPr>
                    <w:pStyle w:val="51"/>
                    <w:rPr>
                      <w:color w:val="auto"/>
                    </w:rPr>
                  </w:pPr>
                  <w:r>
                    <w:rPr>
                      <w:color w:val="auto"/>
                    </w:rPr>
                    <w:t>0.431</w:t>
                  </w:r>
                </w:p>
              </w:tc>
              <w:tc>
                <w:tcPr>
                  <w:tcW w:w="2516" w:type="dxa"/>
                  <w:vAlign w:val="center"/>
                </w:tcPr>
                <w:p>
                  <w:pPr>
                    <w:pStyle w:val="51"/>
                    <w:rPr>
                      <w:color w:val="auto"/>
                    </w:rPr>
                  </w:pPr>
                  <w:r>
                    <w:rPr>
                      <w:color w:val="auto"/>
                    </w:rPr>
                    <w:t>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42" w:type="dxa"/>
                  <w:vMerge w:val="restart"/>
                  <w:vAlign w:val="center"/>
                </w:tcPr>
                <w:p>
                  <w:pPr>
                    <w:pStyle w:val="51"/>
                    <w:rPr>
                      <w:color w:val="auto"/>
                    </w:rPr>
                  </w:pPr>
                  <w:r>
                    <w:rPr>
                      <w:color w:val="auto"/>
                    </w:rPr>
                    <w:t>治理设施</w:t>
                  </w:r>
                </w:p>
              </w:tc>
              <w:tc>
                <w:tcPr>
                  <w:tcW w:w="1985" w:type="dxa"/>
                  <w:vAlign w:val="center"/>
                </w:tcPr>
                <w:p>
                  <w:pPr>
                    <w:pStyle w:val="51"/>
                    <w:rPr>
                      <w:color w:val="auto"/>
                    </w:rPr>
                  </w:pPr>
                  <w:r>
                    <w:rPr>
                      <w:color w:val="auto"/>
                    </w:rPr>
                    <w:t>处理措施</w:t>
                  </w:r>
                </w:p>
              </w:tc>
              <w:tc>
                <w:tcPr>
                  <w:tcW w:w="3092" w:type="dxa"/>
                  <w:vAlign w:val="center"/>
                </w:tcPr>
                <w:p>
                  <w:pPr>
                    <w:pStyle w:val="51"/>
                    <w:rPr>
                      <w:color w:val="auto"/>
                    </w:rPr>
                  </w:pPr>
                  <w:r>
                    <w:rPr>
                      <w:color w:val="auto"/>
                    </w:rPr>
                    <w:t>洒水抑尘和设置防风抑尘网</w:t>
                  </w:r>
                </w:p>
              </w:tc>
              <w:tc>
                <w:tcPr>
                  <w:tcW w:w="2516" w:type="dxa"/>
                  <w:vAlign w:val="center"/>
                </w:tcPr>
                <w:p>
                  <w:pPr>
                    <w:pStyle w:val="51"/>
                    <w:rPr>
                      <w:color w:val="auto"/>
                    </w:rPr>
                  </w:pPr>
                  <w:r>
                    <w:rPr>
                      <w:color w:val="auto"/>
                    </w:rPr>
                    <w:t>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42" w:type="dxa"/>
                  <w:vMerge w:val="continue"/>
                  <w:vAlign w:val="center"/>
                </w:tcPr>
                <w:p>
                  <w:pPr>
                    <w:pStyle w:val="51"/>
                    <w:rPr>
                      <w:color w:val="auto"/>
                    </w:rPr>
                  </w:pPr>
                </w:p>
              </w:tc>
              <w:tc>
                <w:tcPr>
                  <w:tcW w:w="1985" w:type="dxa"/>
                  <w:vAlign w:val="center"/>
                </w:tcPr>
                <w:p>
                  <w:pPr>
                    <w:pStyle w:val="51"/>
                    <w:rPr>
                      <w:color w:val="auto"/>
                    </w:rPr>
                  </w:pPr>
                  <w:r>
                    <w:rPr>
                      <w:color w:val="auto"/>
                    </w:rPr>
                    <w:t>去除效率（%）</w:t>
                  </w:r>
                </w:p>
              </w:tc>
              <w:tc>
                <w:tcPr>
                  <w:tcW w:w="3092" w:type="dxa"/>
                  <w:vAlign w:val="center"/>
                </w:tcPr>
                <w:p>
                  <w:pPr>
                    <w:pStyle w:val="51"/>
                    <w:rPr>
                      <w:color w:val="auto"/>
                    </w:rPr>
                  </w:pPr>
                  <w:r>
                    <w:rPr>
                      <w:color w:val="auto"/>
                    </w:rPr>
                    <w:t>97.4%</w:t>
                  </w:r>
                </w:p>
              </w:tc>
              <w:tc>
                <w:tcPr>
                  <w:tcW w:w="2516" w:type="dxa"/>
                  <w:vAlign w:val="center"/>
                </w:tcPr>
                <w:p>
                  <w:pPr>
                    <w:pStyle w:val="51"/>
                    <w:rPr>
                      <w:color w:val="auto"/>
                    </w:rPr>
                  </w:pPr>
                  <w:r>
                    <w:rPr>
                      <w:color w:val="auto"/>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42" w:type="dxa"/>
                  <w:vMerge w:val="continue"/>
                  <w:vAlign w:val="center"/>
                </w:tcPr>
                <w:p>
                  <w:pPr>
                    <w:pStyle w:val="51"/>
                    <w:rPr>
                      <w:color w:val="auto"/>
                    </w:rPr>
                  </w:pPr>
                </w:p>
              </w:tc>
              <w:tc>
                <w:tcPr>
                  <w:tcW w:w="1985" w:type="dxa"/>
                  <w:vAlign w:val="center"/>
                </w:tcPr>
                <w:p>
                  <w:pPr>
                    <w:pStyle w:val="51"/>
                    <w:rPr>
                      <w:color w:val="auto"/>
                    </w:rPr>
                  </w:pPr>
                  <w:r>
                    <w:rPr>
                      <w:color w:val="auto"/>
                    </w:rPr>
                    <w:t>是否为可行性技术</w:t>
                  </w:r>
                </w:p>
              </w:tc>
              <w:tc>
                <w:tcPr>
                  <w:tcW w:w="3092" w:type="dxa"/>
                  <w:vAlign w:val="center"/>
                </w:tcPr>
                <w:p>
                  <w:pPr>
                    <w:pStyle w:val="51"/>
                    <w:rPr>
                      <w:color w:val="auto"/>
                    </w:rPr>
                  </w:pPr>
                  <w:r>
                    <w:rPr>
                      <w:color w:val="auto"/>
                    </w:rPr>
                    <w:t>可行</w:t>
                  </w:r>
                </w:p>
              </w:tc>
              <w:tc>
                <w:tcPr>
                  <w:tcW w:w="2516" w:type="dxa"/>
                  <w:vAlign w:val="center"/>
                </w:tcPr>
                <w:p>
                  <w:pPr>
                    <w:pStyle w:val="51"/>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527" w:type="dxa"/>
                  <w:gridSpan w:val="2"/>
                  <w:vAlign w:val="center"/>
                </w:tcPr>
                <w:p>
                  <w:pPr>
                    <w:pStyle w:val="51"/>
                    <w:rPr>
                      <w:color w:val="auto"/>
                    </w:rPr>
                  </w:pPr>
                  <w:r>
                    <w:rPr>
                      <w:color w:val="auto"/>
                    </w:rPr>
                    <w:t>污染物排放量（t/a）</w:t>
                  </w:r>
                </w:p>
              </w:tc>
              <w:tc>
                <w:tcPr>
                  <w:tcW w:w="3092" w:type="dxa"/>
                  <w:vAlign w:val="center"/>
                </w:tcPr>
                <w:p>
                  <w:pPr>
                    <w:pStyle w:val="51"/>
                    <w:rPr>
                      <w:color w:val="auto"/>
                    </w:rPr>
                  </w:pPr>
                  <w:r>
                    <w:rPr>
                      <w:color w:val="auto"/>
                    </w:rPr>
                    <w:t>0.0112</w:t>
                  </w:r>
                </w:p>
              </w:tc>
              <w:tc>
                <w:tcPr>
                  <w:tcW w:w="2516" w:type="dxa"/>
                  <w:vAlign w:val="center"/>
                </w:tcPr>
                <w:p>
                  <w:pPr>
                    <w:pStyle w:val="51"/>
                    <w:rPr>
                      <w:color w:val="auto"/>
                    </w:rPr>
                  </w:pPr>
                  <w:r>
                    <w:rPr>
                      <w:bCs w:val="0"/>
                      <w:color w:val="auto"/>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42" w:type="dxa"/>
                  <w:vMerge w:val="restart"/>
                  <w:vAlign w:val="center"/>
                </w:tcPr>
                <w:p>
                  <w:pPr>
                    <w:pStyle w:val="51"/>
                    <w:rPr>
                      <w:color w:val="auto"/>
                    </w:rPr>
                  </w:pPr>
                  <w:r>
                    <w:rPr>
                      <w:color w:val="auto"/>
                    </w:rPr>
                    <w:t>厂界</w:t>
                  </w:r>
                </w:p>
              </w:tc>
              <w:tc>
                <w:tcPr>
                  <w:tcW w:w="1985" w:type="dxa"/>
                  <w:vAlign w:val="center"/>
                </w:tcPr>
                <w:p>
                  <w:pPr>
                    <w:pStyle w:val="51"/>
                    <w:rPr>
                      <w:color w:val="auto"/>
                    </w:rPr>
                  </w:pPr>
                  <w:r>
                    <w:rPr>
                      <w:color w:val="auto"/>
                    </w:rPr>
                    <w:t>排放标准</w:t>
                  </w:r>
                </w:p>
              </w:tc>
              <w:tc>
                <w:tcPr>
                  <w:tcW w:w="5608" w:type="dxa"/>
                  <w:gridSpan w:val="2"/>
                  <w:vAlign w:val="center"/>
                </w:tcPr>
                <w:p>
                  <w:pPr>
                    <w:pStyle w:val="51"/>
                    <w:rPr>
                      <w:color w:val="auto"/>
                    </w:rPr>
                  </w:pPr>
                  <w:r>
                    <w:rPr>
                      <w:color w:val="auto"/>
                    </w:rPr>
                    <w:t>《大气污染物综合排放标准》（GB16297-1996）表2无组织监控浓度限值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42" w:type="dxa"/>
                  <w:vMerge w:val="continue"/>
                  <w:vAlign w:val="center"/>
                </w:tcPr>
                <w:p>
                  <w:pPr>
                    <w:pStyle w:val="51"/>
                    <w:rPr>
                      <w:color w:val="auto"/>
                    </w:rPr>
                  </w:pPr>
                </w:p>
              </w:tc>
              <w:tc>
                <w:tcPr>
                  <w:tcW w:w="1985" w:type="dxa"/>
                  <w:vAlign w:val="center"/>
                </w:tcPr>
                <w:p>
                  <w:pPr>
                    <w:pStyle w:val="51"/>
                    <w:rPr>
                      <w:color w:val="auto"/>
                    </w:rPr>
                  </w:pPr>
                  <w:r>
                    <w:rPr>
                      <w:color w:val="auto"/>
                    </w:rPr>
                    <w:t>浓度限值（mg/m</w:t>
                  </w:r>
                  <w:r>
                    <w:rPr>
                      <w:color w:val="auto"/>
                      <w:vertAlign w:val="superscript"/>
                    </w:rPr>
                    <w:t>3</w:t>
                  </w:r>
                  <w:r>
                    <w:rPr>
                      <w:color w:val="auto"/>
                    </w:rPr>
                    <w:t>）</w:t>
                  </w:r>
                </w:p>
              </w:tc>
              <w:tc>
                <w:tcPr>
                  <w:tcW w:w="5608" w:type="dxa"/>
                  <w:gridSpan w:val="2"/>
                  <w:vAlign w:val="center"/>
                </w:tcPr>
                <w:p>
                  <w:pPr>
                    <w:pStyle w:val="51"/>
                    <w:rPr>
                      <w:color w:val="auto"/>
                    </w:rPr>
                  </w:pPr>
                  <w:r>
                    <w:rPr>
                      <w:color w:val="auto"/>
                    </w:rPr>
                    <w:t>1.0</w:t>
                  </w:r>
                </w:p>
              </w:tc>
            </w:tr>
          </w:tbl>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rPr>
            </w:pPr>
            <w:r>
              <w:rPr>
                <w:b/>
                <w:bCs/>
                <w:color w:val="auto"/>
                <w:sz w:val="24"/>
                <w:szCs w:val="24"/>
              </w:rPr>
              <w:t>（2）污染源源强核算过程</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ascii="宋体"/>
                <w:color w:val="auto"/>
                <w:sz w:val="24"/>
                <w:szCs w:val="24"/>
              </w:rPr>
              <w:t>①</w:t>
            </w:r>
            <w:r>
              <w:rPr>
                <w:rFonts w:ascii="宋体"/>
                <w:color w:val="auto"/>
                <w:sz w:val="24"/>
                <w:szCs w:val="24"/>
              </w:rPr>
              <w:fldChar w:fldCharType="end"/>
            </w:r>
            <w:r>
              <w:rPr>
                <w:bCs/>
                <w:color w:val="auto"/>
                <w:kern w:val="0"/>
                <w:sz w:val="24"/>
                <w:szCs w:val="24"/>
              </w:rPr>
              <w:t>堆填区堆料扬尘</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根据《</w:t>
            </w:r>
            <w:bookmarkStart w:id="5" w:name="OLE_LINK4"/>
            <w:r>
              <w:rPr>
                <w:color w:val="auto"/>
                <w:sz w:val="24"/>
                <w:szCs w:val="24"/>
              </w:rPr>
              <w:t>扬尘源颗粒物排放清单编制技术指南</w:t>
            </w:r>
            <w:bookmarkEnd w:id="5"/>
            <w:r>
              <w:rPr>
                <w:color w:val="auto"/>
                <w:sz w:val="24"/>
                <w:szCs w:val="24"/>
              </w:rPr>
              <w:t>》，堆场的扬尘源排放量是装卸引起的扬尘与堆积存放期间风蚀扬尘的加和，计算公式如下：</w:t>
            </w:r>
          </w:p>
          <w:p>
            <w:pPr>
              <w:pStyle w:val="15"/>
              <w:keepNext w:val="0"/>
              <w:keepLines w:val="0"/>
              <w:pageBreakBefore w:val="0"/>
              <w:kinsoku/>
              <w:wordWrap/>
              <w:overflowPunct/>
              <w:topLinePunct w:val="0"/>
              <w:autoSpaceDE/>
              <w:autoSpaceDN/>
              <w:bidi w:val="0"/>
              <w:spacing w:after="0" w:line="360" w:lineRule="auto"/>
              <w:ind w:left="0" w:leftChars="0" w:firstLine="480" w:firstLineChars="200"/>
              <w:jc w:val="center"/>
              <w:textAlignment w:val="auto"/>
              <w:rPr>
                <w:color w:val="auto"/>
                <w:sz w:val="24"/>
                <w:szCs w:val="24"/>
              </w:rPr>
            </w:pPr>
            <w:r>
              <w:rPr>
                <w:color w:val="auto"/>
                <w:sz w:val="24"/>
                <w:szCs w:val="24"/>
              </w:rPr>
              <w:drawing>
                <wp:inline distT="0" distB="0" distL="0" distR="0">
                  <wp:extent cx="3362325" cy="552450"/>
                  <wp:effectExtent l="19050" t="0" r="9525" b="0"/>
                  <wp:docPr id="4" name="图片 4" descr="T_AO0}U)([EA1{0DC[_G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_AO0}U)([EA1{0DC[_G5%A"/>
                          <pic:cNvPicPr>
                            <a:picLocks noChangeAspect="1" noChangeArrowheads="1"/>
                          </pic:cNvPicPr>
                        </pic:nvPicPr>
                        <pic:blipFill>
                          <a:blip r:embed="rId9" cstate="print"/>
                          <a:srcRect/>
                          <a:stretch>
                            <a:fillRect/>
                          </a:stretch>
                        </pic:blipFill>
                        <pic:spPr>
                          <a:xfrm>
                            <a:off x="0" y="0"/>
                            <a:ext cx="3362325" cy="552450"/>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式中：W</w:t>
            </w:r>
            <w:r>
              <w:rPr>
                <w:color w:val="auto"/>
                <w:sz w:val="24"/>
                <w:szCs w:val="24"/>
                <w:vertAlign w:val="subscript"/>
              </w:rPr>
              <w:t>y</w:t>
            </w:r>
            <w:r>
              <w:rPr>
                <w:color w:val="auto"/>
                <w:sz w:val="24"/>
                <w:szCs w:val="24"/>
              </w:rPr>
              <w:t>——堆场扬尘源中颗粒物总排放量，t/a；</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E</w:t>
            </w:r>
            <w:r>
              <w:rPr>
                <w:color w:val="auto"/>
                <w:sz w:val="24"/>
                <w:szCs w:val="24"/>
                <w:vertAlign w:val="subscript"/>
              </w:rPr>
              <w:t>h</w:t>
            </w:r>
            <w:r>
              <w:rPr>
                <w:color w:val="auto"/>
                <w:sz w:val="24"/>
                <w:szCs w:val="24"/>
              </w:rPr>
              <w:t>——堆场装卸运输过程的扬尘颗粒物排放系数，kg/t；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m——每年料堆物料装卸总次数；</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G</w:t>
            </w:r>
            <w:r>
              <w:rPr>
                <w:color w:val="auto"/>
                <w:sz w:val="24"/>
                <w:szCs w:val="24"/>
                <w:vertAlign w:val="subscript"/>
              </w:rPr>
              <w:t>yi</w:t>
            </w:r>
            <w:r>
              <w:rPr>
                <w:color w:val="auto"/>
                <w:sz w:val="24"/>
                <w:szCs w:val="24"/>
              </w:rPr>
              <w:t>——第i次装卸过程的物料装卸量，t；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E</w:t>
            </w:r>
            <w:r>
              <w:rPr>
                <w:color w:val="auto"/>
                <w:sz w:val="24"/>
                <w:szCs w:val="24"/>
                <w:vertAlign w:val="subscript"/>
              </w:rPr>
              <w:t>w</w:t>
            </w:r>
            <w:r>
              <w:rPr>
                <w:color w:val="auto"/>
                <w:sz w:val="24"/>
                <w:szCs w:val="24"/>
              </w:rPr>
              <w:t>——料堆受到风蚀作用的颗粒物排放系数，kg/m</w:t>
            </w:r>
            <w:r>
              <w:rPr>
                <w:color w:val="auto"/>
                <w:sz w:val="24"/>
                <w:szCs w:val="24"/>
                <w:vertAlign w:val="superscript"/>
              </w:rPr>
              <w:t>2</w:t>
            </w:r>
            <w:r>
              <w:rPr>
                <w:color w:val="auto"/>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A</w:t>
            </w:r>
            <w:r>
              <w:rPr>
                <w:color w:val="auto"/>
                <w:sz w:val="24"/>
                <w:szCs w:val="24"/>
                <w:vertAlign w:val="subscript"/>
              </w:rPr>
              <w:t>y</w:t>
            </w:r>
            <w:r>
              <w:rPr>
                <w:color w:val="auto"/>
                <w:sz w:val="24"/>
                <w:szCs w:val="24"/>
              </w:rPr>
              <w:t>——料堆表面积，m</w:t>
            </w:r>
            <w:r>
              <w:rPr>
                <w:color w:val="auto"/>
                <w:sz w:val="24"/>
                <w:szCs w:val="24"/>
                <w:vertAlign w:val="superscript"/>
              </w:rPr>
              <w:t>2</w:t>
            </w:r>
            <w:r>
              <w:rPr>
                <w:color w:val="auto"/>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堆场装卸运输过程的扬尘排放系数的估算公式如下：</w:t>
            </w:r>
          </w:p>
          <w:p>
            <w:pPr>
              <w:keepNext w:val="0"/>
              <w:keepLines w:val="0"/>
              <w:pageBreakBefore w:val="0"/>
              <w:widowControl/>
              <w:kinsoku/>
              <w:wordWrap/>
              <w:overflowPunct/>
              <w:topLinePunct w:val="0"/>
              <w:autoSpaceDE/>
              <w:autoSpaceDN/>
              <w:bidi w:val="0"/>
              <w:spacing w:line="360" w:lineRule="auto"/>
              <w:ind w:firstLine="480" w:firstLineChars="200"/>
              <w:jc w:val="center"/>
              <w:textAlignment w:val="auto"/>
              <w:rPr>
                <w:color w:val="auto"/>
                <w:kern w:val="0"/>
                <w:sz w:val="24"/>
                <w:szCs w:val="24"/>
              </w:rPr>
            </w:pPr>
            <w:r>
              <w:rPr>
                <w:color w:val="auto"/>
                <w:kern w:val="0"/>
                <w:sz w:val="24"/>
                <w:szCs w:val="24"/>
              </w:rPr>
              <w:drawing>
                <wp:inline distT="0" distB="0" distL="0" distR="0">
                  <wp:extent cx="2571750" cy="847725"/>
                  <wp:effectExtent l="19050" t="0" r="0" b="0"/>
                  <wp:docPr id="5" name="图片 5" descr="7}49@U(Y3JEM~Q@RZH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9@U(Y3JEM~Q@RZH9[9}B"/>
                          <pic:cNvPicPr>
                            <a:picLocks noChangeAspect="1" noChangeArrowheads="1"/>
                          </pic:cNvPicPr>
                        </pic:nvPicPr>
                        <pic:blipFill>
                          <a:blip r:embed="rId10" cstate="print"/>
                          <a:srcRect/>
                          <a:stretch>
                            <a:fillRect/>
                          </a:stretch>
                        </pic:blipFill>
                        <pic:spPr>
                          <a:xfrm>
                            <a:off x="0" y="0"/>
                            <a:ext cx="2571750" cy="847725"/>
                          </a:xfrm>
                          <a:prstGeom prst="rect">
                            <a:avLst/>
                          </a:prstGeom>
                          <a:noFill/>
                          <a:ln w="9525">
                            <a:noFill/>
                            <a:miter lim="800000"/>
                            <a:headEnd/>
                            <a:tailEnd/>
                          </a:ln>
                        </pic:spPr>
                      </pic:pic>
                    </a:graphicData>
                  </a:graphic>
                </wp:inline>
              </w:drawing>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式中：E</w:t>
            </w:r>
            <w:r>
              <w:rPr>
                <w:color w:val="auto"/>
                <w:sz w:val="24"/>
                <w:szCs w:val="24"/>
                <w:vertAlign w:val="subscript"/>
              </w:rPr>
              <w:t>h</w:t>
            </w:r>
            <w:r>
              <w:rPr>
                <w:color w:val="auto"/>
                <w:sz w:val="24"/>
                <w:szCs w:val="24"/>
              </w:rPr>
              <w:t>——堆场装卸运输过程的扬尘颗粒物排放系数，kg/t；</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u</w:t>
            </w:r>
            <w:bookmarkStart w:id="6" w:name="OLE_LINK3"/>
            <w:r>
              <w:rPr>
                <w:color w:val="auto"/>
                <w:sz w:val="24"/>
                <w:szCs w:val="24"/>
              </w:rPr>
              <w:t>——</w:t>
            </w:r>
            <w:bookmarkEnd w:id="6"/>
            <w:r>
              <w:rPr>
                <w:color w:val="auto"/>
                <w:sz w:val="24"/>
                <w:szCs w:val="24"/>
              </w:rPr>
              <w:t>地面平均风速，m/s，取3.0m/s；</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M——物料含水率，%，取40%。</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K</w:t>
            </w:r>
            <w:r>
              <w:rPr>
                <w:color w:val="auto"/>
                <w:sz w:val="24"/>
                <w:szCs w:val="24"/>
                <w:vertAlign w:val="subscript"/>
              </w:rPr>
              <w:t>i</w:t>
            </w:r>
            <w:r>
              <w:rPr>
                <w:color w:val="auto"/>
                <w:sz w:val="24"/>
                <w:szCs w:val="24"/>
              </w:rPr>
              <w:t>——物料的粒度乘数，TSP的粒度乘数为0.74；</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η——污染控制技术对扬尘的去除效率，输送点位连续洒水操作去除效率为74%，建筑料堆的设置三面防风抑尘网（孔隙率50%）去除效率为90%。</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经计算，排放系数E</w:t>
            </w:r>
            <w:r>
              <w:rPr>
                <w:color w:val="auto"/>
                <w:sz w:val="24"/>
                <w:szCs w:val="24"/>
                <w:vertAlign w:val="subscript"/>
              </w:rPr>
              <w:t>h</w:t>
            </w:r>
            <w:r>
              <w:rPr>
                <w:color w:val="auto"/>
                <w:sz w:val="24"/>
                <w:szCs w:val="24"/>
              </w:rPr>
              <w:t>为0.00044kg/t。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堆场风蚀扬尘排放系数的计算公式如下所示：</w:t>
            </w:r>
          </w:p>
          <w:p>
            <w:pPr>
              <w:keepNext w:val="0"/>
              <w:keepLines w:val="0"/>
              <w:pageBreakBefore w:val="0"/>
              <w:widowControl/>
              <w:kinsoku/>
              <w:wordWrap/>
              <w:overflowPunct/>
              <w:topLinePunct w:val="0"/>
              <w:autoSpaceDE/>
              <w:autoSpaceDN/>
              <w:bidi w:val="0"/>
              <w:spacing w:line="360" w:lineRule="auto"/>
              <w:ind w:firstLine="480" w:firstLineChars="200"/>
              <w:jc w:val="center"/>
              <w:textAlignment w:val="auto"/>
              <w:rPr>
                <w:color w:val="auto"/>
                <w:kern w:val="0"/>
                <w:sz w:val="24"/>
                <w:szCs w:val="24"/>
              </w:rPr>
            </w:pPr>
            <w:r>
              <w:rPr>
                <w:color w:val="auto"/>
                <w:kern w:val="0"/>
                <w:sz w:val="24"/>
                <w:szCs w:val="24"/>
              </w:rPr>
              <w:drawing>
                <wp:inline distT="0" distB="0" distL="0" distR="0">
                  <wp:extent cx="3914775" cy="1390650"/>
                  <wp:effectExtent l="19050" t="0" r="9525" b="0"/>
                  <wp:docPr id="6" name="图片 6" descr="Q)GUIFO~O]T5J3UOKSHT)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GUIFO~O]T5J3UOKSHT)1X"/>
                          <pic:cNvPicPr>
                            <a:picLocks noChangeAspect="1" noChangeArrowheads="1"/>
                          </pic:cNvPicPr>
                        </pic:nvPicPr>
                        <pic:blipFill>
                          <a:blip r:embed="rId11" cstate="print"/>
                          <a:srcRect/>
                          <a:stretch>
                            <a:fillRect/>
                          </a:stretch>
                        </pic:blipFill>
                        <pic:spPr>
                          <a:xfrm>
                            <a:off x="0" y="0"/>
                            <a:ext cx="3914775" cy="1390650"/>
                          </a:xfrm>
                          <a:prstGeom prst="rect">
                            <a:avLst/>
                          </a:prstGeom>
                          <a:noFill/>
                          <a:ln w="9525">
                            <a:noFill/>
                            <a:miter lim="800000"/>
                            <a:headEnd/>
                            <a:tailEnd/>
                          </a:ln>
                        </pic:spPr>
                      </pic:pic>
                    </a:graphicData>
                  </a:graphic>
                </wp:inline>
              </w:drawing>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式中：Ew——料堆受到风蚀作用的颗粒物排放系数，kg/m</w:t>
            </w:r>
            <w:r>
              <w:rPr>
                <w:color w:val="auto"/>
                <w:sz w:val="24"/>
                <w:szCs w:val="24"/>
                <w:vertAlign w:val="superscript"/>
              </w:rPr>
              <w:t>2</w:t>
            </w:r>
            <w:r>
              <w:rPr>
                <w:color w:val="auto"/>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kern w:val="0"/>
                <w:sz w:val="24"/>
                <w:szCs w:val="24"/>
              </w:rPr>
            </w:pPr>
            <w:r>
              <w:rPr>
                <w:color w:val="auto"/>
                <w:kern w:val="0"/>
                <w:sz w:val="24"/>
                <w:szCs w:val="24"/>
              </w:rPr>
              <w:t>Ki——物料的粒度乘数，</w:t>
            </w:r>
            <w:r>
              <w:rPr>
                <w:color w:val="auto"/>
                <w:sz w:val="24"/>
                <w:szCs w:val="24"/>
              </w:rPr>
              <w:t>TSP的粒度乘数为1.0</w:t>
            </w:r>
            <w:r>
              <w:rPr>
                <w:color w:val="auto"/>
                <w:kern w:val="0"/>
                <w:sz w:val="24"/>
                <w:szCs w:val="24"/>
              </w:rPr>
              <w:t>；</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N——料堆每年受扰动的次数；</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Pi——第i次扰动中观测的最大风速的风蚀潜势，g/m</w:t>
            </w:r>
            <w:r>
              <w:rPr>
                <w:color w:val="auto"/>
                <w:sz w:val="24"/>
                <w:szCs w:val="24"/>
                <w:vertAlign w:val="superscript"/>
              </w:rPr>
              <w:t>2</w:t>
            </w:r>
            <w:r>
              <w:rPr>
                <w:color w:val="auto"/>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η——污染控制技术对扬尘的去除效率，建筑料堆覆盖措施去除效率为78%。</w:t>
            </w:r>
          </w:p>
          <w:p>
            <w:pPr>
              <w:keepNext w:val="0"/>
              <w:keepLines w:val="0"/>
              <w:pageBreakBefore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u*——摩擦风速，m/s；</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u</w:t>
            </w:r>
            <w:r>
              <w:rPr>
                <w:color w:val="auto"/>
                <w:sz w:val="24"/>
                <w:szCs w:val="24"/>
                <w:vertAlign w:val="subscript"/>
              </w:rPr>
              <w:t>t</w:t>
            </w:r>
            <w:r>
              <w:rPr>
                <w:color w:val="auto"/>
                <w:sz w:val="24"/>
                <w:szCs w:val="24"/>
              </w:rPr>
              <w:t>*——阈值摩擦风速，即起尘的临界摩擦风速，m/s，取1.33m/s；</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摩擦风速的计算公式：</w:t>
            </w:r>
          </w:p>
          <w:p>
            <w:pPr>
              <w:pStyle w:val="15"/>
              <w:keepNext w:val="0"/>
              <w:keepLines w:val="0"/>
              <w:pageBreakBefore w:val="0"/>
              <w:kinsoku/>
              <w:wordWrap/>
              <w:overflowPunct/>
              <w:topLinePunct w:val="0"/>
              <w:autoSpaceDE/>
              <w:autoSpaceDN/>
              <w:bidi w:val="0"/>
              <w:spacing w:after="0" w:line="360" w:lineRule="auto"/>
              <w:ind w:left="0" w:leftChars="0" w:firstLine="480" w:firstLineChars="200"/>
              <w:jc w:val="center"/>
              <w:textAlignment w:val="auto"/>
              <w:rPr>
                <w:color w:val="auto"/>
                <w:sz w:val="24"/>
                <w:szCs w:val="24"/>
              </w:rPr>
            </w:pPr>
            <w:r>
              <w:rPr>
                <w:color w:val="auto"/>
                <w:sz w:val="24"/>
                <w:szCs w:val="24"/>
              </w:rPr>
              <w:t>u*=0.4u(z)/ln（z/z</w:t>
            </w:r>
            <w:r>
              <w:rPr>
                <w:color w:val="auto"/>
                <w:sz w:val="24"/>
                <w:szCs w:val="24"/>
                <w:vertAlign w:val="subscript"/>
              </w:rPr>
              <w:t>0</w:t>
            </w:r>
            <w:r>
              <w:rPr>
                <w:color w:val="auto"/>
                <w:sz w:val="24"/>
                <w:szCs w:val="24"/>
              </w:rPr>
              <w:t>）（z&gt;z</w:t>
            </w:r>
            <w:r>
              <w:rPr>
                <w:color w:val="auto"/>
                <w:sz w:val="24"/>
                <w:szCs w:val="24"/>
                <w:vertAlign w:val="subscript"/>
              </w:rPr>
              <w:t>0</w:t>
            </w:r>
            <w:r>
              <w:rPr>
                <w:color w:val="auto"/>
                <w:sz w:val="24"/>
                <w:szCs w:val="24"/>
              </w:rPr>
              <w:t>）</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式中：u(z)——地面风速，m/s；</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z——地面风速检测高度，m，取2m；</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z</w:t>
            </w:r>
            <w:r>
              <w:rPr>
                <w:color w:val="auto"/>
                <w:sz w:val="24"/>
                <w:szCs w:val="24"/>
                <w:vertAlign w:val="subscript"/>
              </w:rPr>
              <w:t>0</w:t>
            </w:r>
            <w:r>
              <w:rPr>
                <w:color w:val="auto"/>
                <w:sz w:val="24"/>
                <w:szCs w:val="24"/>
              </w:rPr>
              <w:t>——为地面粗糙度，m，郊区取值0.2；</w:t>
            </w:r>
          </w:p>
          <w:p>
            <w:pPr>
              <w:pStyle w:val="15"/>
              <w:keepNext w:val="0"/>
              <w:keepLines w:val="0"/>
              <w:pageBreakBefore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经计算，地面风速（u(z)）大于7.7m/s时，才会产生风蚀潜势，根据2019年1月到12月全年丹凤县气象资料，具体见表4-6。</w:t>
            </w:r>
          </w:p>
          <w:p>
            <w:pPr>
              <w:pStyle w:val="1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color w:val="auto"/>
                <w:szCs w:val="21"/>
              </w:rPr>
            </w:pPr>
            <w:r>
              <w:rPr>
                <w:color w:val="auto"/>
                <w:szCs w:val="21"/>
              </w:rPr>
              <w:t>表4-6</w:t>
            </w:r>
            <w:r>
              <w:rPr>
                <w:color w:val="auto"/>
              </w:rPr>
              <w:t>排放系数表</w:t>
            </w:r>
          </w:p>
          <w:tbl>
            <w:tblPr>
              <w:tblStyle w:val="23"/>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18"/>
              <w:gridCol w:w="1134"/>
              <w:gridCol w:w="1417"/>
              <w:gridCol w:w="166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序号</w:t>
                  </w:r>
                </w:p>
              </w:tc>
              <w:tc>
                <w:tcPr>
                  <w:tcW w:w="1418" w:type="dxa"/>
                  <w:vAlign w:val="center"/>
                </w:tcPr>
                <w:p>
                  <w:pPr>
                    <w:pStyle w:val="15"/>
                    <w:spacing w:after="0"/>
                    <w:ind w:left="0" w:leftChars="0" w:firstLine="0" w:firstLineChars="0"/>
                    <w:jc w:val="center"/>
                    <w:rPr>
                      <w:color w:val="auto"/>
                      <w:szCs w:val="21"/>
                    </w:rPr>
                  </w:pPr>
                  <w:r>
                    <w:rPr>
                      <w:color w:val="auto"/>
                      <w:szCs w:val="21"/>
                    </w:rPr>
                    <w:t>时间</w:t>
                  </w:r>
                </w:p>
              </w:tc>
              <w:tc>
                <w:tcPr>
                  <w:tcW w:w="1134" w:type="dxa"/>
                  <w:vAlign w:val="center"/>
                </w:tcPr>
                <w:p>
                  <w:pPr>
                    <w:pStyle w:val="15"/>
                    <w:spacing w:after="0"/>
                    <w:ind w:left="0" w:leftChars="0" w:firstLine="0" w:firstLineChars="0"/>
                    <w:jc w:val="center"/>
                    <w:rPr>
                      <w:color w:val="auto"/>
                      <w:szCs w:val="21"/>
                    </w:rPr>
                  </w:pPr>
                  <w:r>
                    <w:rPr>
                      <w:color w:val="auto"/>
                      <w:szCs w:val="21"/>
                    </w:rPr>
                    <w:t>风速（m/s）</w:t>
                  </w:r>
                </w:p>
              </w:tc>
              <w:tc>
                <w:tcPr>
                  <w:tcW w:w="1417" w:type="dxa"/>
                  <w:vAlign w:val="center"/>
                </w:tcPr>
                <w:p>
                  <w:pPr>
                    <w:pStyle w:val="15"/>
                    <w:spacing w:after="0"/>
                    <w:ind w:left="0" w:leftChars="0" w:firstLine="0" w:firstLineChars="0"/>
                    <w:jc w:val="center"/>
                    <w:rPr>
                      <w:color w:val="auto"/>
                      <w:szCs w:val="21"/>
                    </w:rPr>
                  </w:pPr>
                  <w:r>
                    <w:rPr>
                      <w:color w:val="auto"/>
                      <w:szCs w:val="21"/>
                    </w:rPr>
                    <w:t>摩擦风速u*（m/s）</w:t>
                  </w:r>
                </w:p>
              </w:tc>
              <w:tc>
                <w:tcPr>
                  <w:tcW w:w="1669" w:type="dxa"/>
                  <w:vAlign w:val="center"/>
                </w:tcPr>
                <w:p>
                  <w:pPr>
                    <w:pStyle w:val="15"/>
                    <w:spacing w:after="0"/>
                    <w:ind w:left="0" w:leftChars="0" w:firstLine="0" w:firstLineChars="0"/>
                    <w:jc w:val="center"/>
                    <w:rPr>
                      <w:color w:val="auto"/>
                      <w:szCs w:val="21"/>
                    </w:rPr>
                  </w:pPr>
                  <w:r>
                    <w:rPr>
                      <w:color w:val="auto"/>
                      <w:szCs w:val="21"/>
                    </w:rPr>
                    <w:t>风蚀潜势Pi（g/m</w:t>
                  </w:r>
                  <w:r>
                    <w:rPr>
                      <w:color w:val="auto"/>
                      <w:szCs w:val="21"/>
                      <w:vertAlign w:val="superscript"/>
                    </w:rPr>
                    <w:t>2</w:t>
                  </w:r>
                  <w:r>
                    <w:rPr>
                      <w:color w:val="auto"/>
                      <w:szCs w:val="21"/>
                    </w:rPr>
                    <w:t>）</w:t>
                  </w:r>
                </w:p>
              </w:tc>
              <w:tc>
                <w:tcPr>
                  <w:tcW w:w="1789" w:type="dxa"/>
                </w:tcPr>
                <w:p>
                  <w:pPr>
                    <w:pStyle w:val="15"/>
                    <w:spacing w:after="0"/>
                    <w:ind w:left="0" w:leftChars="0" w:firstLine="0" w:firstLineChars="0"/>
                    <w:jc w:val="center"/>
                    <w:rPr>
                      <w:color w:val="auto"/>
                      <w:szCs w:val="21"/>
                    </w:rPr>
                  </w:pPr>
                  <w:r>
                    <w:rPr>
                      <w:color w:val="auto"/>
                    </w:rPr>
                    <w:t>排放系数Ew（kg/m</w:t>
                  </w:r>
                  <w:r>
                    <w:rPr>
                      <w:color w:val="auto"/>
                      <w:vertAlign w:val="superscript"/>
                    </w:rPr>
                    <w:t>2</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1</w:t>
                  </w:r>
                </w:p>
              </w:tc>
              <w:tc>
                <w:tcPr>
                  <w:tcW w:w="1418" w:type="dxa"/>
                  <w:vAlign w:val="center"/>
                </w:tcPr>
                <w:p>
                  <w:pPr>
                    <w:pStyle w:val="15"/>
                    <w:spacing w:after="0"/>
                    <w:ind w:left="0" w:leftChars="0" w:firstLine="0" w:firstLineChars="0"/>
                    <w:jc w:val="center"/>
                    <w:rPr>
                      <w:color w:val="auto"/>
                      <w:szCs w:val="21"/>
                    </w:rPr>
                  </w:pPr>
                  <w:r>
                    <w:rPr>
                      <w:color w:val="auto"/>
                      <w:szCs w:val="21"/>
                    </w:rPr>
                    <w:t>2019-01-23</w:t>
                  </w:r>
                </w:p>
              </w:tc>
              <w:tc>
                <w:tcPr>
                  <w:tcW w:w="1134" w:type="dxa"/>
                  <w:vAlign w:val="center"/>
                </w:tcPr>
                <w:p>
                  <w:pPr>
                    <w:pStyle w:val="15"/>
                    <w:spacing w:after="0"/>
                    <w:ind w:left="0" w:leftChars="0" w:firstLine="0" w:firstLineChars="0"/>
                    <w:jc w:val="center"/>
                    <w:rPr>
                      <w:color w:val="auto"/>
                      <w:szCs w:val="21"/>
                    </w:rPr>
                  </w:pPr>
                  <w:r>
                    <w:rPr>
                      <w:color w:val="auto"/>
                      <w:szCs w:val="21"/>
                    </w:rPr>
                    <w:t>7.9</w:t>
                  </w:r>
                </w:p>
              </w:tc>
              <w:tc>
                <w:tcPr>
                  <w:tcW w:w="1417" w:type="dxa"/>
                  <w:vAlign w:val="center"/>
                </w:tcPr>
                <w:p>
                  <w:pPr>
                    <w:jc w:val="center"/>
                    <w:rPr>
                      <w:color w:val="auto"/>
                      <w:szCs w:val="21"/>
                    </w:rPr>
                  </w:pPr>
                  <w:r>
                    <w:rPr>
                      <w:color w:val="auto"/>
                      <w:szCs w:val="21"/>
                    </w:rPr>
                    <w:t>1.37</w:t>
                  </w:r>
                </w:p>
              </w:tc>
              <w:tc>
                <w:tcPr>
                  <w:tcW w:w="1669" w:type="dxa"/>
                  <w:vAlign w:val="center"/>
                </w:tcPr>
                <w:p>
                  <w:pPr>
                    <w:jc w:val="center"/>
                    <w:rPr>
                      <w:color w:val="auto"/>
                      <w:szCs w:val="21"/>
                    </w:rPr>
                  </w:pPr>
                  <w:r>
                    <w:rPr>
                      <w:color w:val="auto"/>
                      <w:szCs w:val="21"/>
                    </w:rPr>
                    <w:t>1.163</w:t>
                  </w:r>
                </w:p>
              </w:tc>
              <w:tc>
                <w:tcPr>
                  <w:tcW w:w="1789" w:type="dxa"/>
                  <w:vAlign w:val="center"/>
                </w:tcPr>
                <w:p>
                  <w:pPr>
                    <w:jc w:val="center"/>
                    <w:rPr>
                      <w:color w:val="auto"/>
                      <w:szCs w:val="21"/>
                    </w:rPr>
                  </w:pPr>
                  <w:r>
                    <w:rPr>
                      <w:color w:val="auto"/>
                      <w:szCs w:val="21"/>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2</w:t>
                  </w:r>
                </w:p>
              </w:tc>
              <w:tc>
                <w:tcPr>
                  <w:tcW w:w="1418" w:type="dxa"/>
                  <w:vAlign w:val="center"/>
                </w:tcPr>
                <w:p>
                  <w:pPr>
                    <w:pStyle w:val="15"/>
                    <w:spacing w:after="0"/>
                    <w:ind w:left="0" w:leftChars="0" w:firstLine="0" w:firstLineChars="0"/>
                    <w:jc w:val="center"/>
                    <w:rPr>
                      <w:color w:val="auto"/>
                      <w:szCs w:val="21"/>
                    </w:rPr>
                  </w:pPr>
                  <w:r>
                    <w:rPr>
                      <w:color w:val="auto"/>
                      <w:szCs w:val="21"/>
                    </w:rPr>
                    <w:t>2019-04-01</w:t>
                  </w:r>
                </w:p>
              </w:tc>
              <w:tc>
                <w:tcPr>
                  <w:tcW w:w="1134" w:type="dxa"/>
                  <w:vAlign w:val="center"/>
                </w:tcPr>
                <w:p>
                  <w:pPr>
                    <w:pStyle w:val="15"/>
                    <w:spacing w:after="0"/>
                    <w:ind w:left="0" w:leftChars="0" w:firstLine="0" w:firstLineChars="0"/>
                    <w:jc w:val="center"/>
                    <w:rPr>
                      <w:color w:val="auto"/>
                      <w:szCs w:val="21"/>
                    </w:rPr>
                  </w:pPr>
                  <w:r>
                    <w:rPr>
                      <w:color w:val="auto"/>
                      <w:szCs w:val="21"/>
                    </w:rPr>
                    <w:t>10.5</w:t>
                  </w:r>
                </w:p>
              </w:tc>
              <w:tc>
                <w:tcPr>
                  <w:tcW w:w="1417" w:type="dxa"/>
                  <w:vAlign w:val="center"/>
                </w:tcPr>
                <w:p>
                  <w:pPr>
                    <w:jc w:val="center"/>
                    <w:rPr>
                      <w:color w:val="auto"/>
                      <w:szCs w:val="21"/>
                    </w:rPr>
                  </w:pPr>
                  <w:r>
                    <w:rPr>
                      <w:color w:val="auto"/>
                      <w:szCs w:val="21"/>
                    </w:rPr>
                    <w:t>1.82</w:t>
                  </w:r>
                </w:p>
              </w:tc>
              <w:tc>
                <w:tcPr>
                  <w:tcW w:w="1669" w:type="dxa"/>
                  <w:vAlign w:val="center"/>
                </w:tcPr>
                <w:p>
                  <w:pPr>
                    <w:jc w:val="center"/>
                    <w:rPr>
                      <w:color w:val="auto"/>
                      <w:szCs w:val="21"/>
                    </w:rPr>
                  </w:pPr>
                  <w:r>
                    <w:rPr>
                      <w:color w:val="auto"/>
                      <w:szCs w:val="21"/>
                    </w:rPr>
                    <w:t>26.507</w:t>
                  </w:r>
                </w:p>
              </w:tc>
              <w:tc>
                <w:tcPr>
                  <w:tcW w:w="1789" w:type="dxa"/>
                  <w:vAlign w:val="center"/>
                </w:tcPr>
                <w:p>
                  <w:pPr>
                    <w:jc w:val="center"/>
                    <w:rPr>
                      <w:color w:val="auto"/>
                      <w:szCs w:val="21"/>
                    </w:rPr>
                  </w:pPr>
                  <w:r>
                    <w:rPr>
                      <w:color w:val="auto"/>
                      <w:szCs w:val="21"/>
                    </w:rPr>
                    <w:t>0.00583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3</w:t>
                  </w:r>
                </w:p>
              </w:tc>
              <w:tc>
                <w:tcPr>
                  <w:tcW w:w="1418" w:type="dxa"/>
                  <w:vAlign w:val="center"/>
                </w:tcPr>
                <w:p>
                  <w:pPr>
                    <w:pStyle w:val="15"/>
                    <w:spacing w:after="0"/>
                    <w:ind w:left="0" w:leftChars="0" w:firstLine="0" w:firstLineChars="0"/>
                    <w:jc w:val="center"/>
                    <w:rPr>
                      <w:color w:val="auto"/>
                      <w:szCs w:val="21"/>
                    </w:rPr>
                  </w:pPr>
                  <w:r>
                    <w:rPr>
                      <w:color w:val="auto"/>
                      <w:szCs w:val="21"/>
                    </w:rPr>
                    <w:t>2019-05-27</w:t>
                  </w:r>
                </w:p>
              </w:tc>
              <w:tc>
                <w:tcPr>
                  <w:tcW w:w="1134" w:type="dxa"/>
                  <w:vAlign w:val="center"/>
                </w:tcPr>
                <w:p>
                  <w:pPr>
                    <w:pStyle w:val="15"/>
                    <w:spacing w:after="0"/>
                    <w:ind w:left="0" w:leftChars="0" w:firstLine="0" w:firstLineChars="0"/>
                    <w:jc w:val="center"/>
                    <w:rPr>
                      <w:color w:val="auto"/>
                      <w:szCs w:val="21"/>
                    </w:rPr>
                  </w:pPr>
                  <w:r>
                    <w:rPr>
                      <w:color w:val="auto"/>
                      <w:szCs w:val="21"/>
                    </w:rPr>
                    <w:t>8.1</w:t>
                  </w:r>
                </w:p>
              </w:tc>
              <w:tc>
                <w:tcPr>
                  <w:tcW w:w="1417" w:type="dxa"/>
                  <w:vAlign w:val="center"/>
                </w:tcPr>
                <w:p>
                  <w:pPr>
                    <w:jc w:val="center"/>
                    <w:rPr>
                      <w:color w:val="auto"/>
                      <w:szCs w:val="21"/>
                    </w:rPr>
                  </w:pPr>
                  <w:r>
                    <w:rPr>
                      <w:color w:val="auto"/>
                      <w:szCs w:val="21"/>
                    </w:rPr>
                    <w:t>1.41</w:t>
                  </w:r>
                </w:p>
              </w:tc>
              <w:tc>
                <w:tcPr>
                  <w:tcW w:w="1669" w:type="dxa"/>
                  <w:vAlign w:val="center"/>
                </w:tcPr>
                <w:p>
                  <w:pPr>
                    <w:jc w:val="center"/>
                    <w:rPr>
                      <w:color w:val="auto"/>
                      <w:szCs w:val="21"/>
                    </w:rPr>
                  </w:pPr>
                  <w:r>
                    <w:rPr>
                      <w:color w:val="auto"/>
                      <w:szCs w:val="21"/>
                    </w:rPr>
                    <w:t>2.273</w:t>
                  </w:r>
                </w:p>
              </w:tc>
              <w:tc>
                <w:tcPr>
                  <w:tcW w:w="1789" w:type="dxa"/>
                  <w:vAlign w:val="center"/>
                </w:tcPr>
                <w:p>
                  <w:pPr>
                    <w:jc w:val="center"/>
                    <w:rPr>
                      <w:color w:val="auto"/>
                      <w:szCs w:val="21"/>
                    </w:rPr>
                  </w:pPr>
                  <w:r>
                    <w:rPr>
                      <w:color w:val="auto"/>
                      <w:szCs w:val="21"/>
                    </w:rPr>
                    <w:t>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4</w:t>
                  </w:r>
                </w:p>
              </w:tc>
              <w:tc>
                <w:tcPr>
                  <w:tcW w:w="1418" w:type="dxa"/>
                  <w:vAlign w:val="center"/>
                </w:tcPr>
                <w:p>
                  <w:pPr>
                    <w:pStyle w:val="15"/>
                    <w:spacing w:after="0"/>
                    <w:ind w:left="0" w:leftChars="0" w:firstLine="0" w:firstLineChars="0"/>
                    <w:jc w:val="center"/>
                    <w:rPr>
                      <w:color w:val="auto"/>
                      <w:szCs w:val="21"/>
                    </w:rPr>
                  </w:pPr>
                  <w:r>
                    <w:rPr>
                      <w:color w:val="auto"/>
                      <w:szCs w:val="21"/>
                    </w:rPr>
                    <w:t>2019-09-13</w:t>
                  </w:r>
                </w:p>
              </w:tc>
              <w:tc>
                <w:tcPr>
                  <w:tcW w:w="1134" w:type="dxa"/>
                  <w:vAlign w:val="center"/>
                </w:tcPr>
                <w:p>
                  <w:pPr>
                    <w:pStyle w:val="15"/>
                    <w:spacing w:after="0"/>
                    <w:ind w:left="0" w:leftChars="0" w:firstLine="0" w:firstLineChars="0"/>
                    <w:jc w:val="center"/>
                    <w:rPr>
                      <w:color w:val="auto"/>
                      <w:szCs w:val="21"/>
                    </w:rPr>
                  </w:pPr>
                  <w:r>
                    <w:rPr>
                      <w:color w:val="auto"/>
                      <w:szCs w:val="21"/>
                    </w:rPr>
                    <w:t>8.2</w:t>
                  </w:r>
                </w:p>
              </w:tc>
              <w:tc>
                <w:tcPr>
                  <w:tcW w:w="1417" w:type="dxa"/>
                  <w:vAlign w:val="center"/>
                </w:tcPr>
                <w:p>
                  <w:pPr>
                    <w:jc w:val="center"/>
                    <w:rPr>
                      <w:color w:val="auto"/>
                      <w:szCs w:val="21"/>
                    </w:rPr>
                  </w:pPr>
                  <w:r>
                    <w:rPr>
                      <w:color w:val="auto"/>
                      <w:szCs w:val="21"/>
                    </w:rPr>
                    <w:t>1.42</w:t>
                  </w:r>
                </w:p>
              </w:tc>
              <w:tc>
                <w:tcPr>
                  <w:tcW w:w="1669" w:type="dxa"/>
                  <w:vAlign w:val="center"/>
                </w:tcPr>
                <w:p>
                  <w:pPr>
                    <w:jc w:val="center"/>
                    <w:rPr>
                      <w:color w:val="auto"/>
                      <w:szCs w:val="21"/>
                    </w:rPr>
                  </w:pPr>
                  <w:r>
                    <w:rPr>
                      <w:color w:val="auto"/>
                      <w:szCs w:val="21"/>
                    </w:rPr>
                    <w:t>2.880</w:t>
                  </w:r>
                </w:p>
              </w:tc>
              <w:tc>
                <w:tcPr>
                  <w:tcW w:w="1789" w:type="dxa"/>
                  <w:vAlign w:val="center"/>
                </w:tcPr>
                <w:p>
                  <w:pPr>
                    <w:jc w:val="center"/>
                    <w:rPr>
                      <w:color w:val="auto"/>
                      <w:szCs w:val="21"/>
                    </w:rPr>
                  </w:pPr>
                  <w:r>
                    <w:rPr>
                      <w:color w:val="auto"/>
                      <w:szCs w:val="21"/>
                    </w:rPr>
                    <w:t>0.00063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5</w:t>
                  </w:r>
                </w:p>
              </w:tc>
              <w:tc>
                <w:tcPr>
                  <w:tcW w:w="1418" w:type="dxa"/>
                  <w:vAlign w:val="center"/>
                </w:tcPr>
                <w:p>
                  <w:pPr>
                    <w:pStyle w:val="15"/>
                    <w:spacing w:after="0"/>
                    <w:ind w:left="0" w:leftChars="0" w:firstLine="0" w:firstLineChars="0"/>
                    <w:jc w:val="center"/>
                    <w:rPr>
                      <w:color w:val="auto"/>
                      <w:szCs w:val="21"/>
                    </w:rPr>
                  </w:pPr>
                  <w:r>
                    <w:rPr>
                      <w:color w:val="auto"/>
                      <w:szCs w:val="21"/>
                    </w:rPr>
                    <w:t>2019-10-24</w:t>
                  </w:r>
                </w:p>
              </w:tc>
              <w:tc>
                <w:tcPr>
                  <w:tcW w:w="1134" w:type="dxa"/>
                  <w:vAlign w:val="center"/>
                </w:tcPr>
                <w:p>
                  <w:pPr>
                    <w:pStyle w:val="15"/>
                    <w:spacing w:after="0"/>
                    <w:ind w:left="0" w:leftChars="0" w:firstLine="0" w:firstLineChars="0"/>
                    <w:jc w:val="center"/>
                    <w:rPr>
                      <w:color w:val="auto"/>
                      <w:szCs w:val="21"/>
                    </w:rPr>
                  </w:pPr>
                  <w:r>
                    <w:rPr>
                      <w:color w:val="auto"/>
                      <w:szCs w:val="21"/>
                    </w:rPr>
                    <w:t>13.9</w:t>
                  </w:r>
                </w:p>
              </w:tc>
              <w:tc>
                <w:tcPr>
                  <w:tcW w:w="1417" w:type="dxa"/>
                  <w:vAlign w:val="center"/>
                </w:tcPr>
                <w:p>
                  <w:pPr>
                    <w:jc w:val="center"/>
                    <w:rPr>
                      <w:color w:val="auto"/>
                      <w:szCs w:val="21"/>
                    </w:rPr>
                  </w:pPr>
                  <w:r>
                    <w:rPr>
                      <w:color w:val="auto"/>
                      <w:szCs w:val="21"/>
                    </w:rPr>
                    <w:t>2.41</w:t>
                  </w:r>
                </w:p>
              </w:tc>
              <w:tc>
                <w:tcPr>
                  <w:tcW w:w="1669" w:type="dxa"/>
                  <w:vAlign w:val="center"/>
                </w:tcPr>
                <w:p>
                  <w:pPr>
                    <w:jc w:val="center"/>
                    <w:rPr>
                      <w:color w:val="auto"/>
                      <w:szCs w:val="21"/>
                    </w:rPr>
                  </w:pPr>
                  <w:r>
                    <w:rPr>
                      <w:color w:val="auto"/>
                      <w:szCs w:val="21"/>
                    </w:rPr>
                    <w:t>95.355</w:t>
                  </w:r>
                </w:p>
              </w:tc>
              <w:tc>
                <w:tcPr>
                  <w:tcW w:w="1789" w:type="dxa"/>
                  <w:vAlign w:val="center"/>
                </w:tcPr>
                <w:p>
                  <w:pPr>
                    <w:jc w:val="center"/>
                    <w:rPr>
                      <w:color w:val="auto"/>
                      <w:szCs w:val="21"/>
                    </w:rPr>
                  </w:pPr>
                  <w:r>
                    <w:rPr>
                      <w:color w:val="auto"/>
                      <w:szCs w:val="21"/>
                    </w:rPr>
                    <w:t>0.02098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6</w:t>
                  </w:r>
                </w:p>
              </w:tc>
              <w:tc>
                <w:tcPr>
                  <w:tcW w:w="1418" w:type="dxa"/>
                  <w:vAlign w:val="center"/>
                </w:tcPr>
                <w:p>
                  <w:pPr>
                    <w:pStyle w:val="15"/>
                    <w:spacing w:after="0"/>
                    <w:ind w:left="0" w:leftChars="0" w:firstLine="0" w:firstLineChars="0"/>
                    <w:jc w:val="center"/>
                    <w:rPr>
                      <w:color w:val="auto"/>
                      <w:szCs w:val="21"/>
                    </w:rPr>
                  </w:pPr>
                  <w:r>
                    <w:rPr>
                      <w:color w:val="auto"/>
                      <w:szCs w:val="21"/>
                    </w:rPr>
                    <w:t>2019-11-10</w:t>
                  </w:r>
                </w:p>
              </w:tc>
              <w:tc>
                <w:tcPr>
                  <w:tcW w:w="1134" w:type="dxa"/>
                  <w:vAlign w:val="center"/>
                </w:tcPr>
                <w:p>
                  <w:pPr>
                    <w:pStyle w:val="15"/>
                    <w:spacing w:after="0"/>
                    <w:ind w:left="0" w:leftChars="0" w:firstLine="0" w:firstLineChars="0"/>
                    <w:jc w:val="center"/>
                    <w:rPr>
                      <w:color w:val="auto"/>
                      <w:szCs w:val="21"/>
                    </w:rPr>
                  </w:pPr>
                  <w:r>
                    <w:rPr>
                      <w:color w:val="auto"/>
                      <w:szCs w:val="21"/>
                    </w:rPr>
                    <w:t>7.9</w:t>
                  </w:r>
                </w:p>
              </w:tc>
              <w:tc>
                <w:tcPr>
                  <w:tcW w:w="1417" w:type="dxa"/>
                  <w:vAlign w:val="center"/>
                </w:tcPr>
                <w:p>
                  <w:pPr>
                    <w:jc w:val="center"/>
                    <w:rPr>
                      <w:color w:val="auto"/>
                      <w:szCs w:val="21"/>
                    </w:rPr>
                  </w:pPr>
                  <w:r>
                    <w:rPr>
                      <w:color w:val="auto"/>
                      <w:szCs w:val="21"/>
                    </w:rPr>
                    <w:t>1.37</w:t>
                  </w:r>
                </w:p>
              </w:tc>
              <w:tc>
                <w:tcPr>
                  <w:tcW w:w="1669" w:type="dxa"/>
                  <w:vAlign w:val="center"/>
                </w:tcPr>
                <w:p>
                  <w:pPr>
                    <w:jc w:val="center"/>
                    <w:rPr>
                      <w:color w:val="auto"/>
                      <w:szCs w:val="21"/>
                    </w:rPr>
                  </w:pPr>
                  <w:r>
                    <w:rPr>
                      <w:color w:val="auto"/>
                      <w:szCs w:val="21"/>
                    </w:rPr>
                    <w:t>1.163</w:t>
                  </w:r>
                </w:p>
              </w:tc>
              <w:tc>
                <w:tcPr>
                  <w:tcW w:w="1789" w:type="dxa"/>
                  <w:vAlign w:val="center"/>
                </w:tcPr>
                <w:p>
                  <w:pPr>
                    <w:jc w:val="center"/>
                    <w:rPr>
                      <w:color w:val="auto"/>
                      <w:szCs w:val="21"/>
                    </w:rPr>
                  </w:pPr>
                  <w:r>
                    <w:rPr>
                      <w:color w:val="auto"/>
                      <w:szCs w:val="21"/>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7</w:t>
                  </w:r>
                </w:p>
              </w:tc>
              <w:tc>
                <w:tcPr>
                  <w:tcW w:w="1418" w:type="dxa"/>
                  <w:vAlign w:val="center"/>
                </w:tcPr>
                <w:p>
                  <w:pPr>
                    <w:pStyle w:val="15"/>
                    <w:spacing w:after="0"/>
                    <w:ind w:left="0" w:leftChars="0" w:firstLine="0" w:firstLineChars="0"/>
                    <w:jc w:val="center"/>
                    <w:rPr>
                      <w:color w:val="auto"/>
                      <w:szCs w:val="21"/>
                    </w:rPr>
                  </w:pPr>
                  <w:r>
                    <w:rPr>
                      <w:color w:val="auto"/>
                      <w:szCs w:val="21"/>
                    </w:rPr>
                    <w:t>2019-11-13</w:t>
                  </w:r>
                </w:p>
              </w:tc>
              <w:tc>
                <w:tcPr>
                  <w:tcW w:w="1134" w:type="dxa"/>
                  <w:vAlign w:val="center"/>
                </w:tcPr>
                <w:p>
                  <w:pPr>
                    <w:pStyle w:val="15"/>
                    <w:spacing w:after="0"/>
                    <w:ind w:left="0" w:leftChars="0" w:firstLine="0" w:firstLineChars="0"/>
                    <w:jc w:val="center"/>
                    <w:rPr>
                      <w:color w:val="auto"/>
                      <w:szCs w:val="21"/>
                    </w:rPr>
                  </w:pPr>
                  <w:r>
                    <w:rPr>
                      <w:color w:val="auto"/>
                      <w:szCs w:val="21"/>
                    </w:rPr>
                    <w:t>8.0</w:t>
                  </w:r>
                </w:p>
              </w:tc>
              <w:tc>
                <w:tcPr>
                  <w:tcW w:w="1417" w:type="dxa"/>
                  <w:vAlign w:val="center"/>
                </w:tcPr>
                <w:p>
                  <w:pPr>
                    <w:jc w:val="center"/>
                    <w:rPr>
                      <w:color w:val="auto"/>
                      <w:szCs w:val="21"/>
                    </w:rPr>
                  </w:pPr>
                  <w:r>
                    <w:rPr>
                      <w:color w:val="auto"/>
                      <w:szCs w:val="21"/>
                    </w:rPr>
                    <w:t>1.39</w:t>
                  </w:r>
                </w:p>
              </w:tc>
              <w:tc>
                <w:tcPr>
                  <w:tcW w:w="1669" w:type="dxa"/>
                  <w:vAlign w:val="center"/>
                </w:tcPr>
                <w:p>
                  <w:pPr>
                    <w:jc w:val="center"/>
                    <w:rPr>
                      <w:color w:val="auto"/>
                      <w:szCs w:val="21"/>
                    </w:rPr>
                  </w:pPr>
                  <w:r>
                    <w:rPr>
                      <w:color w:val="auto"/>
                      <w:szCs w:val="21"/>
                    </w:rPr>
                    <w:t>1.701</w:t>
                  </w:r>
                </w:p>
              </w:tc>
              <w:tc>
                <w:tcPr>
                  <w:tcW w:w="1789" w:type="dxa"/>
                  <w:vAlign w:val="center"/>
                </w:tcPr>
                <w:p>
                  <w:pPr>
                    <w:jc w:val="center"/>
                    <w:rPr>
                      <w:color w:val="auto"/>
                      <w:szCs w:val="21"/>
                    </w:rPr>
                  </w:pPr>
                  <w:r>
                    <w:rPr>
                      <w:color w:val="auto"/>
                      <w:szCs w:val="21"/>
                    </w:rPr>
                    <w:t>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8</w:t>
                  </w:r>
                </w:p>
              </w:tc>
              <w:tc>
                <w:tcPr>
                  <w:tcW w:w="1418" w:type="dxa"/>
                  <w:vAlign w:val="center"/>
                </w:tcPr>
                <w:p>
                  <w:pPr>
                    <w:pStyle w:val="15"/>
                    <w:spacing w:after="0"/>
                    <w:ind w:left="0" w:leftChars="0" w:firstLine="0" w:firstLineChars="0"/>
                    <w:jc w:val="center"/>
                    <w:rPr>
                      <w:color w:val="auto"/>
                      <w:szCs w:val="21"/>
                    </w:rPr>
                  </w:pPr>
                  <w:r>
                    <w:rPr>
                      <w:color w:val="auto"/>
                      <w:szCs w:val="21"/>
                    </w:rPr>
                    <w:t>2019-11-17</w:t>
                  </w:r>
                </w:p>
              </w:tc>
              <w:tc>
                <w:tcPr>
                  <w:tcW w:w="1134" w:type="dxa"/>
                  <w:vAlign w:val="center"/>
                </w:tcPr>
                <w:p>
                  <w:pPr>
                    <w:pStyle w:val="15"/>
                    <w:spacing w:after="0"/>
                    <w:ind w:left="0" w:leftChars="0" w:firstLine="0" w:firstLineChars="0"/>
                    <w:jc w:val="center"/>
                    <w:rPr>
                      <w:color w:val="auto"/>
                      <w:szCs w:val="21"/>
                    </w:rPr>
                  </w:pPr>
                  <w:r>
                    <w:rPr>
                      <w:color w:val="auto"/>
                      <w:szCs w:val="21"/>
                    </w:rPr>
                    <w:t>11.1</w:t>
                  </w:r>
                </w:p>
              </w:tc>
              <w:tc>
                <w:tcPr>
                  <w:tcW w:w="1417" w:type="dxa"/>
                  <w:vAlign w:val="center"/>
                </w:tcPr>
                <w:p>
                  <w:pPr>
                    <w:jc w:val="center"/>
                    <w:rPr>
                      <w:color w:val="auto"/>
                      <w:szCs w:val="21"/>
                    </w:rPr>
                  </w:pPr>
                  <w:r>
                    <w:rPr>
                      <w:color w:val="auto"/>
                      <w:szCs w:val="21"/>
                    </w:rPr>
                    <w:t>1.93</w:t>
                  </w:r>
                </w:p>
              </w:tc>
              <w:tc>
                <w:tcPr>
                  <w:tcW w:w="1669" w:type="dxa"/>
                  <w:vAlign w:val="center"/>
                </w:tcPr>
                <w:p>
                  <w:pPr>
                    <w:jc w:val="center"/>
                    <w:rPr>
                      <w:color w:val="auto"/>
                      <w:szCs w:val="21"/>
                    </w:rPr>
                  </w:pPr>
                  <w:r>
                    <w:rPr>
                      <w:color w:val="auto"/>
                      <w:szCs w:val="21"/>
                    </w:rPr>
                    <w:t>35.716</w:t>
                  </w:r>
                </w:p>
              </w:tc>
              <w:tc>
                <w:tcPr>
                  <w:tcW w:w="1789" w:type="dxa"/>
                  <w:vAlign w:val="center"/>
                </w:tcPr>
                <w:p>
                  <w:pPr>
                    <w:jc w:val="center"/>
                    <w:rPr>
                      <w:color w:val="auto"/>
                      <w:szCs w:val="21"/>
                    </w:rPr>
                  </w:pPr>
                  <w:r>
                    <w:rPr>
                      <w:color w:val="auto"/>
                      <w:szCs w:val="21"/>
                    </w:rPr>
                    <w:t>0.00786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9</w:t>
                  </w:r>
                </w:p>
              </w:tc>
              <w:tc>
                <w:tcPr>
                  <w:tcW w:w="1418" w:type="dxa"/>
                  <w:vAlign w:val="center"/>
                </w:tcPr>
                <w:p>
                  <w:pPr>
                    <w:pStyle w:val="15"/>
                    <w:spacing w:after="0"/>
                    <w:ind w:left="0" w:leftChars="0" w:firstLine="0" w:firstLineChars="0"/>
                    <w:jc w:val="center"/>
                    <w:rPr>
                      <w:color w:val="auto"/>
                      <w:szCs w:val="21"/>
                    </w:rPr>
                  </w:pPr>
                  <w:r>
                    <w:rPr>
                      <w:color w:val="auto"/>
                      <w:szCs w:val="21"/>
                    </w:rPr>
                    <w:t>2019-12-01</w:t>
                  </w:r>
                </w:p>
              </w:tc>
              <w:tc>
                <w:tcPr>
                  <w:tcW w:w="1134" w:type="dxa"/>
                  <w:vAlign w:val="center"/>
                </w:tcPr>
                <w:p>
                  <w:pPr>
                    <w:pStyle w:val="15"/>
                    <w:spacing w:after="0"/>
                    <w:ind w:left="0" w:leftChars="0" w:firstLine="0" w:firstLineChars="0"/>
                    <w:jc w:val="center"/>
                    <w:rPr>
                      <w:color w:val="auto"/>
                      <w:szCs w:val="21"/>
                    </w:rPr>
                  </w:pPr>
                  <w:r>
                    <w:rPr>
                      <w:color w:val="auto"/>
                      <w:szCs w:val="21"/>
                    </w:rPr>
                    <w:t>7.9</w:t>
                  </w:r>
                </w:p>
              </w:tc>
              <w:tc>
                <w:tcPr>
                  <w:tcW w:w="1417" w:type="dxa"/>
                  <w:vAlign w:val="center"/>
                </w:tcPr>
                <w:p>
                  <w:pPr>
                    <w:jc w:val="center"/>
                    <w:rPr>
                      <w:color w:val="auto"/>
                      <w:szCs w:val="21"/>
                    </w:rPr>
                  </w:pPr>
                  <w:r>
                    <w:rPr>
                      <w:color w:val="auto"/>
                      <w:szCs w:val="21"/>
                    </w:rPr>
                    <w:t>1.37</w:t>
                  </w:r>
                </w:p>
              </w:tc>
              <w:tc>
                <w:tcPr>
                  <w:tcW w:w="1669" w:type="dxa"/>
                  <w:vAlign w:val="center"/>
                </w:tcPr>
                <w:p>
                  <w:pPr>
                    <w:jc w:val="center"/>
                    <w:rPr>
                      <w:color w:val="auto"/>
                      <w:szCs w:val="21"/>
                    </w:rPr>
                  </w:pPr>
                  <w:r>
                    <w:rPr>
                      <w:color w:val="auto"/>
                      <w:szCs w:val="21"/>
                    </w:rPr>
                    <w:t>1.163</w:t>
                  </w:r>
                </w:p>
              </w:tc>
              <w:tc>
                <w:tcPr>
                  <w:tcW w:w="1789" w:type="dxa"/>
                  <w:vAlign w:val="center"/>
                </w:tcPr>
                <w:p>
                  <w:pPr>
                    <w:jc w:val="center"/>
                    <w:rPr>
                      <w:color w:val="auto"/>
                      <w:szCs w:val="21"/>
                    </w:rPr>
                  </w:pPr>
                  <w:r>
                    <w:rPr>
                      <w:color w:val="auto"/>
                      <w:szCs w:val="21"/>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52" w:type="dxa"/>
                  <w:vAlign w:val="center"/>
                </w:tcPr>
                <w:p>
                  <w:pPr>
                    <w:pStyle w:val="15"/>
                    <w:spacing w:after="0"/>
                    <w:ind w:left="0" w:leftChars="0" w:firstLine="0" w:firstLineChars="0"/>
                    <w:jc w:val="center"/>
                    <w:rPr>
                      <w:color w:val="auto"/>
                      <w:szCs w:val="21"/>
                    </w:rPr>
                  </w:pPr>
                  <w:r>
                    <w:rPr>
                      <w:color w:val="auto"/>
                      <w:szCs w:val="21"/>
                    </w:rPr>
                    <w:t>合计</w:t>
                  </w:r>
                </w:p>
              </w:tc>
              <w:tc>
                <w:tcPr>
                  <w:tcW w:w="1418" w:type="dxa"/>
                  <w:vAlign w:val="center"/>
                </w:tcPr>
                <w:p>
                  <w:pPr>
                    <w:pStyle w:val="15"/>
                    <w:spacing w:after="0"/>
                    <w:ind w:left="0" w:leftChars="0" w:firstLine="0" w:firstLineChars="0"/>
                    <w:jc w:val="center"/>
                    <w:rPr>
                      <w:color w:val="auto"/>
                      <w:szCs w:val="21"/>
                    </w:rPr>
                  </w:pPr>
                  <w:r>
                    <w:rPr>
                      <w:color w:val="auto"/>
                      <w:szCs w:val="21"/>
                    </w:rPr>
                    <w:t>/</w:t>
                  </w:r>
                </w:p>
              </w:tc>
              <w:tc>
                <w:tcPr>
                  <w:tcW w:w="1134" w:type="dxa"/>
                  <w:vAlign w:val="center"/>
                </w:tcPr>
                <w:p>
                  <w:pPr>
                    <w:pStyle w:val="15"/>
                    <w:spacing w:after="0"/>
                    <w:ind w:left="0" w:leftChars="0" w:firstLine="0" w:firstLineChars="0"/>
                    <w:jc w:val="center"/>
                    <w:rPr>
                      <w:color w:val="auto"/>
                      <w:szCs w:val="21"/>
                    </w:rPr>
                  </w:pPr>
                  <w:r>
                    <w:rPr>
                      <w:color w:val="auto"/>
                      <w:szCs w:val="21"/>
                    </w:rPr>
                    <w:t>/</w:t>
                  </w:r>
                </w:p>
              </w:tc>
              <w:tc>
                <w:tcPr>
                  <w:tcW w:w="1417" w:type="dxa"/>
                  <w:vAlign w:val="center"/>
                </w:tcPr>
                <w:p>
                  <w:pPr>
                    <w:pStyle w:val="15"/>
                    <w:spacing w:after="0"/>
                    <w:ind w:left="0" w:leftChars="0" w:firstLine="0" w:firstLineChars="0"/>
                    <w:jc w:val="center"/>
                    <w:rPr>
                      <w:color w:val="auto"/>
                      <w:szCs w:val="21"/>
                    </w:rPr>
                  </w:pPr>
                  <w:r>
                    <w:rPr>
                      <w:color w:val="auto"/>
                      <w:szCs w:val="21"/>
                    </w:rPr>
                    <w:t>/</w:t>
                  </w:r>
                </w:p>
              </w:tc>
              <w:tc>
                <w:tcPr>
                  <w:tcW w:w="1669" w:type="dxa"/>
                  <w:vAlign w:val="center"/>
                </w:tcPr>
                <w:p>
                  <w:pPr>
                    <w:jc w:val="center"/>
                    <w:rPr>
                      <w:color w:val="auto"/>
                      <w:szCs w:val="21"/>
                    </w:rPr>
                  </w:pPr>
                  <w:r>
                    <w:rPr>
                      <w:color w:val="auto"/>
                      <w:szCs w:val="21"/>
                    </w:rPr>
                    <w:t>167.922</w:t>
                  </w:r>
                </w:p>
              </w:tc>
              <w:tc>
                <w:tcPr>
                  <w:tcW w:w="1789" w:type="dxa"/>
                  <w:vAlign w:val="center"/>
                </w:tcPr>
                <w:p>
                  <w:pPr>
                    <w:jc w:val="center"/>
                    <w:rPr>
                      <w:color w:val="auto"/>
                      <w:szCs w:val="21"/>
                    </w:rPr>
                  </w:pPr>
                  <w:r>
                    <w:rPr>
                      <w:color w:val="auto"/>
                      <w:szCs w:val="21"/>
                    </w:rPr>
                    <w:t>0.03694</w:t>
                  </w:r>
                </w:p>
              </w:tc>
            </w:tr>
          </w:tbl>
          <w:p>
            <w:pPr>
              <w:pStyle w:val="15"/>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color w:val="auto"/>
                <w:sz w:val="24"/>
                <w:szCs w:val="24"/>
              </w:rPr>
            </w:pPr>
            <w:r>
              <w:rPr>
                <w:color w:val="auto"/>
                <w:sz w:val="24"/>
                <w:szCs w:val="24"/>
              </w:rPr>
              <w:t>综上所述，堆场风蚀扬尘TSP排放系数Ew为0.037kg/m</w:t>
            </w:r>
            <w:r>
              <w:rPr>
                <w:color w:val="auto"/>
                <w:sz w:val="24"/>
                <w:szCs w:val="24"/>
                <w:vertAlign w:val="superscript"/>
              </w:rPr>
              <w:t>2</w:t>
            </w:r>
            <w:r>
              <w:rPr>
                <w:color w:val="auto"/>
                <w:sz w:val="24"/>
                <w:szCs w:val="24"/>
              </w:rPr>
              <w:t>，堆场装卸运输过程的扬尘TSP排放系数Eh为0.00044kg/t，堆场扬尘源中颗粒物总排放量Wy为0.0112t/a，最大扬尘量约为0.59kg/h。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kern w:val="0"/>
                <w:sz w:val="24"/>
                <w:szCs w:val="24"/>
              </w:rPr>
            </w:pPr>
            <w:r>
              <w:rPr>
                <w:bCs/>
                <w:color w:val="auto"/>
                <w:kern w:val="0"/>
                <w:sz w:val="24"/>
                <w:szCs w:val="24"/>
              </w:rPr>
              <w:fldChar w:fldCharType="begin"/>
            </w:r>
            <w:r>
              <w:rPr>
                <w:bCs/>
                <w:color w:val="auto"/>
                <w:kern w:val="0"/>
                <w:sz w:val="24"/>
                <w:szCs w:val="24"/>
              </w:rPr>
              <w:instrText xml:space="preserve"> = 2 \* GB3 </w:instrText>
            </w:r>
            <w:r>
              <w:rPr>
                <w:bCs/>
                <w:color w:val="auto"/>
                <w:kern w:val="0"/>
                <w:sz w:val="24"/>
                <w:szCs w:val="24"/>
              </w:rPr>
              <w:fldChar w:fldCharType="separate"/>
            </w:r>
            <w:r>
              <w:rPr>
                <w:rFonts w:ascii="宋体"/>
                <w:bCs/>
                <w:color w:val="auto"/>
                <w:kern w:val="0"/>
                <w:sz w:val="24"/>
                <w:szCs w:val="24"/>
              </w:rPr>
              <w:t>②</w:t>
            </w:r>
            <w:r>
              <w:rPr>
                <w:bCs/>
                <w:color w:val="auto"/>
                <w:kern w:val="0"/>
                <w:sz w:val="24"/>
                <w:szCs w:val="24"/>
              </w:rPr>
              <w:fldChar w:fldCharType="end"/>
            </w:r>
            <w:r>
              <w:rPr>
                <w:bCs/>
                <w:color w:val="auto"/>
                <w:kern w:val="0"/>
                <w:sz w:val="24"/>
                <w:szCs w:val="24"/>
              </w:rPr>
              <w:t>道路扬尘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szCs w:val="24"/>
              </w:rPr>
            </w:pPr>
            <w:r>
              <w:rPr>
                <w:color w:val="auto"/>
                <w:sz w:val="24"/>
                <w:szCs w:val="24"/>
              </w:rPr>
              <w:t>根据《扬尘源颗粒物排放清单编制技术指南》，道路扬尘计算公式如下：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drawing>
                <wp:inline distT="0" distB="0" distL="0" distR="0">
                  <wp:extent cx="3248025" cy="4857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3248025" cy="48577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式中：W</w:t>
            </w:r>
            <w:r>
              <w:rPr>
                <w:bCs/>
                <w:color w:val="auto"/>
                <w:sz w:val="24"/>
                <w:szCs w:val="24"/>
                <w:vertAlign w:val="subscript"/>
              </w:rPr>
              <w:t>Ri</w:t>
            </w:r>
            <w:r>
              <w:rPr>
                <w:bCs/>
                <w:color w:val="auto"/>
                <w:sz w:val="24"/>
                <w:szCs w:val="24"/>
              </w:rPr>
              <w:t>为道路扬尘源中颗粒物的总排放量，t/a。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E</w:t>
            </w:r>
            <w:r>
              <w:rPr>
                <w:bCs/>
                <w:color w:val="auto"/>
                <w:sz w:val="24"/>
                <w:szCs w:val="24"/>
                <w:vertAlign w:val="subscript"/>
              </w:rPr>
              <w:t>Ri</w:t>
            </w:r>
            <w:r>
              <w:rPr>
                <w:bCs/>
                <w:color w:val="auto"/>
                <w:sz w:val="24"/>
                <w:szCs w:val="24"/>
              </w:rPr>
              <w:t>为道路扬尘源中平均排放系数，g/(km•辆)。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L</w:t>
            </w:r>
            <w:r>
              <w:rPr>
                <w:bCs/>
                <w:color w:val="auto"/>
                <w:sz w:val="24"/>
                <w:szCs w:val="24"/>
                <w:vertAlign w:val="subscript"/>
              </w:rPr>
              <w:t>R</w:t>
            </w:r>
            <w:r>
              <w:rPr>
                <w:bCs/>
                <w:color w:val="auto"/>
                <w:sz w:val="24"/>
                <w:szCs w:val="24"/>
              </w:rPr>
              <w:t>为道路长度，km，取0.62km。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N</w:t>
            </w:r>
            <w:r>
              <w:rPr>
                <w:bCs/>
                <w:color w:val="auto"/>
                <w:sz w:val="24"/>
                <w:szCs w:val="24"/>
                <w:vertAlign w:val="subscript"/>
              </w:rPr>
              <w:t>R</w:t>
            </w:r>
            <w:r>
              <w:rPr>
                <w:bCs/>
                <w:color w:val="auto"/>
                <w:sz w:val="24"/>
                <w:szCs w:val="24"/>
              </w:rPr>
              <w:t>为一定时期内车辆在该段道路上的平均车流量，辆/a，取325辆/a。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n</w:t>
            </w:r>
            <w:r>
              <w:rPr>
                <w:bCs/>
                <w:color w:val="auto"/>
                <w:sz w:val="24"/>
                <w:szCs w:val="24"/>
                <w:vertAlign w:val="subscript"/>
              </w:rPr>
              <w:t>r</w:t>
            </w:r>
            <w:r>
              <w:rPr>
                <w:bCs/>
                <w:color w:val="auto"/>
                <w:sz w:val="24"/>
                <w:szCs w:val="24"/>
              </w:rPr>
              <w:t>为不起尘天数，通过实测（统计降水造成的路面潮湿的天数）得到；在实测过程中存在困难的，可使用一年中降水量大于0.25mm/d的天数表示。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对于铺装道路，道路扬尘源排放系数计算公式：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drawing>
                <wp:inline distT="0" distB="0" distL="0" distR="0">
                  <wp:extent cx="4276725" cy="45720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srcRect/>
                          <a:stretch>
                            <a:fillRect/>
                          </a:stretch>
                        </pic:blipFill>
                        <pic:spPr>
                          <a:xfrm>
                            <a:off x="0" y="0"/>
                            <a:ext cx="4276725" cy="45720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式中：E</w:t>
            </w:r>
            <w:r>
              <w:rPr>
                <w:bCs/>
                <w:color w:val="auto"/>
                <w:sz w:val="24"/>
                <w:szCs w:val="24"/>
                <w:vertAlign w:val="subscript"/>
              </w:rPr>
              <w:t>Pi</w:t>
            </w:r>
            <w:r>
              <w:rPr>
                <w:bCs/>
                <w:color w:val="auto"/>
                <w:sz w:val="24"/>
                <w:szCs w:val="24"/>
              </w:rPr>
              <w:t>为铺装道路的扬尘中TSP排放系数，g/km。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k</w:t>
            </w:r>
            <w:r>
              <w:rPr>
                <w:bCs/>
                <w:color w:val="auto"/>
                <w:sz w:val="24"/>
                <w:szCs w:val="24"/>
                <w:vertAlign w:val="subscript"/>
              </w:rPr>
              <w:t>i</w:t>
            </w:r>
            <w:r>
              <w:rPr>
                <w:bCs/>
                <w:color w:val="auto"/>
                <w:sz w:val="24"/>
                <w:szCs w:val="24"/>
              </w:rPr>
              <w:t>为产生的扬尘中粒度乘数，</w:t>
            </w:r>
            <w:r>
              <w:rPr>
                <w:color w:val="auto"/>
                <w:sz w:val="24"/>
                <w:szCs w:val="24"/>
              </w:rPr>
              <w:t>TSP的粒度乘数为3.23</w:t>
            </w:r>
            <w:r>
              <w:rPr>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sL为道路积尘负荷，g/m</w:t>
            </w:r>
            <w:r>
              <w:rPr>
                <w:bCs/>
                <w:color w:val="auto"/>
                <w:sz w:val="24"/>
                <w:szCs w:val="24"/>
                <w:vertAlign w:val="superscript"/>
              </w:rPr>
              <w:t>2</w:t>
            </w:r>
            <w:r>
              <w:rPr>
                <w:bCs/>
                <w:color w:val="auto"/>
                <w:sz w:val="24"/>
                <w:szCs w:val="24"/>
              </w:rPr>
              <w:t>，取12.0g/m</w:t>
            </w:r>
            <w:r>
              <w:rPr>
                <w:bCs/>
                <w:color w:val="auto"/>
                <w:sz w:val="24"/>
                <w:szCs w:val="24"/>
                <w:vertAlign w:val="superscript"/>
              </w:rPr>
              <w:t>2</w:t>
            </w:r>
            <w:r>
              <w:rPr>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W为平均车重，t，取20t。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η为污染控制技术对扬尘的去除效率，%，取洒水2次/天的控制效率66%。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综上，经计算，TSP排放系数223.76g/km，TSP排放量约为0.045t/a。</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auto"/>
                <w:sz w:val="24"/>
                <w:szCs w:val="24"/>
              </w:rPr>
            </w:pPr>
            <w:r>
              <w:rPr>
                <w:b/>
                <w:bCs/>
                <w:color w:val="auto"/>
                <w:sz w:val="24"/>
                <w:szCs w:val="24"/>
              </w:rPr>
              <w:t>（3）</w:t>
            </w:r>
            <w:r>
              <w:rPr>
                <w:b/>
                <w:color w:val="auto"/>
                <w:sz w:val="24"/>
                <w:szCs w:val="24"/>
              </w:rPr>
              <w:t>环境影响分析</w:t>
            </w:r>
          </w:p>
          <w:p>
            <w:pPr>
              <w:spacing w:line="360" w:lineRule="auto"/>
              <w:ind w:firstLine="480" w:firstLineChars="200"/>
              <w:rPr>
                <w:rFonts w:hint="default" w:eastAsia="宋体"/>
                <w:color w:val="FF0000"/>
                <w:lang w:val="en-US" w:eastAsia="zh-CN"/>
              </w:rPr>
            </w:pPr>
            <w:r>
              <w:rPr>
                <w:rFonts w:hint="eastAsia"/>
                <w:color w:val="FF0000"/>
                <w:sz w:val="24"/>
                <w:szCs w:val="24"/>
                <w:lang w:eastAsia="zh-CN"/>
              </w:rPr>
              <w:t>采用</w:t>
            </w:r>
            <w:r>
              <w:rPr>
                <w:rFonts w:hint="eastAsia"/>
                <w:color w:val="FF0000"/>
                <w:sz w:val="24"/>
                <w:szCs w:val="24"/>
                <w:lang w:val="en-US" w:eastAsia="zh-CN"/>
              </w:rPr>
              <w:t>ARESCREEN模型进行估算，在本工程下风向58m处最大占标率约为22.5%，结合本次评价“三、生态环境现状、保护目标及评价标准”本工程大气环境现状，本工程所在地区TSP24小时平均值浓度约125μg/m</w:t>
            </w:r>
            <w:r>
              <w:rPr>
                <w:rFonts w:hint="eastAsia"/>
                <w:color w:val="FF0000"/>
                <w:sz w:val="24"/>
                <w:szCs w:val="24"/>
                <w:vertAlign w:val="superscript"/>
                <w:lang w:val="en-US" w:eastAsia="zh-CN"/>
              </w:rPr>
              <w:t>3</w:t>
            </w:r>
            <w:r>
              <w:rPr>
                <w:rFonts w:hint="eastAsia"/>
                <w:color w:val="FF0000"/>
                <w:sz w:val="24"/>
                <w:szCs w:val="24"/>
                <w:vertAlign w:val="baseline"/>
                <w:lang w:val="en-US" w:eastAsia="zh-CN"/>
              </w:rPr>
              <w:t>，最大浓度占标率约为41.67%，所以本项目所在区域</w:t>
            </w:r>
            <w:r>
              <w:rPr>
                <w:rFonts w:hint="eastAsia"/>
                <w:color w:val="FF0000"/>
                <w:sz w:val="24"/>
                <w:szCs w:val="24"/>
                <w:lang w:val="en-US" w:eastAsia="zh-CN"/>
              </w:rPr>
              <w:t>TSP24小时平均值浓度</w:t>
            </w:r>
            <w:r>
              <w:rPr>
                <w:bCs/>
                <w:color w:val="FF0000"/>
                <w:kern w:val="0"/>
                <w:sz w:val="24"/>
                <w:szCs w:val="24"/>
              </w:rPr>
              <w:t>均满足</w:t>
            </w:r>
            <w:r>
              <w:rPr>
                <w:color w:val="FF0000"/>
                <w:kern w:val="0"/>
                <w:sz w:val="24"/>
                <w:szCs w:val="24"/>
              </w:rPr>
              <w:t>《环境空气质量标准》（GB3095-2012）中二级标准要求。</w:t>
            </w:r>
            <w:r>
              <w:rPr>
                <w:rFonts w:hint="eastAsia"/>
                <w:color w:val="FF0000"/>
                <w:kern w:val="0"/>
                <w:sz w:val="24"/>
                <w:szCs w:val="24"/>
                <w:lang w:eastAsia="zh-CN"/>
              </w:rPr>
              <w:t>所以本项目不设置大气防护距离。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lang w:val="en-US" w:eastAsia="zh-CN"/>
              </w:rPr>
            </w:pPr>
            <w:r>
              <w:rPr>
                <w:color w:val="auto"/>
                <w:sz w:val="24"/>
                <w:szCs w:val="24"/>
              </w:rPr>
              <w:t>丹凤县主要风向为西北风，本工程位于居民区主导风向侧风向，且采用措施后污染物排放量较少，所以本</w:t>
            </w:r>
            <w:r>
              <w:rPr>
                <w:rFonts w:hint="eastAsia"/>
                <w:color w:val="auto"/>
                <w:sz w:val="24"/>
                <w:szCs w:val="24"/>
                <w:lang w:eastAsia="zh-CN"/>
              </w:rPr>
              <w:t>工程</w:t>
            </w:r>
            <w:r>
              <w:rPr>
                <w:color w:val="auto"/>
                <w:sz w:val="24"/>
                <w:szCs w:val="24"/>
              </w:rPr>
              <w:t>在运营期间产生废气对环境影响较小。</w:t>
            </w:r>
          </w:p>
          <w:p>
            <w:pPr>
              <w:numPr>
                <w:ilvl w:val="0"/>
                <w:numId w:val="1"/>
              </w:numPr>
              <w:adjustRightInd w:val="0"/>
              <w:snapToGrid w:val="0"/>
              <w:spacing w:line="360" w:lineRule="auto"/>
              <w:ind w:left="0" w:leftChars="0" w:firstLine="482" w:firstLineChars="200"/>
              <w:rPr>
                <w:b/>
                <w:color w:val="auto"/>
                <w:sz w:val="24"/>
                <w:szCs w:val="24"/>
              </w:rPr>
            </w:pPr>
            <w:r>
              <w:rPr>
                <w:b/>
                <w:bCs/>
                <w:color w:val="auto"/>
                <w:sz w:val="24"/>
                <w:szCs w:val="24"/>
              </w:rPr>
              <w:t>水</w:t>
            </w:r>
            <w:r>
              <w:rPr>
                <w:b/>
                <w:color w:val="auto"/>
                <w:sz w:val="24"/>
                <w:szCs w:val="24"/>
              </w:rPr>
              <w:t>环境影响分析</w:t>
            </w:r>
          </w:p>
          <w:p>
            <w:pPr>
              <w:numPr>
                <w:ilvl w:val="0"/>
                <w:numId w:val="0"/>
              </w:numPr>
              <w:adjustRightInd w:val="0"/>
              <w:snapToGrid w:val="0"/>
              <w:spacing w:line="360" w:lineRule="auto"/>
              <w:ind w:leftChars="200"/>
              <w:rPr>
                <w:b/>
                <w:color w:val="auto"/>
                <w:sz w:val="24"/>
                <w:szCs w:val="24"/>
              </w:rPr>
            </w:pPr>
            <w:r>
              <w:rPr>
                <w:b/>
                <w:color w:val="auto"/>
                <w:sz w:val="24"/>
                <w:szCs w:val="24"/>
              </w:rPr>
              <w:t>（1）废水污染物排放源一览表</w:t>
            </w:r>
          </w:p>
          <w:p>
            <w:pPr>
              <w:spacing w:line="360" w:lineRule="auto"/>
              <w:ind w:firstLine="480"/>
              <w:rPr>
                <w:color w:val="auto"/>
                <w:sz w:val="24"/>
                <w:szCs w:val="24"/>
              </w:rPr>
            </w:pPr>
            <w:r>
              <w:rPr>
                <w:color w:val="auto"/>
                <w:sz w:val="24"/>
                <w:szCs w:val="24"/>
              </w:rPr>
              <w:t>本</w:t>
            </w:r>
            <w:r>
              <w:rPr>
                <w:rFonts w:hint="eastAsia"/>
                <w:bCs/>
                <w:color w:val="auto"/>
                <w:sz w:val="24"/>
                <w:szCs w:val="24"/>
                <w:lang w:eastAsia="zh-CN"/>
              </w:rPr>
              <w:t>工程</w:t>
            </w:r>
            <w:r>
              <w:rPr>
                <w:color w:val="auto"/>
                <w:sz w:val="24"/>
                <w:szCs w:val="24"/>
              </w:rPr>
              <w:t>生产运行阶段产生的废水包括冲洗废水、渗出水和生活污水。</w:t>
            </w:r>
          </w:p>
          <w:p>
            <w:pPr>
              <w:ind w:firstLine="480"/>
              <w:jc w:val="center"/>
              <w:rPr>
                <w:color w:val="auto"/>
              </w:rPr>
            </w:pPr>
            <w:r>
              <w:rPr>
                <w:color w:val="auto"/>
              </w:rPr>
              <w:t>表4-7废水污染物排放源一览表</w:t>
            </w:r>
          </w:p>
          <w:tbl>
            <w:tblPr>
              <w:tblStyle w:val="23"/>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931"/>
              <w:gridCol w:w="1404"/>
              <w:gridCol w:w="1410"/>
              <w:gridCol w:w="693"/>
              <w:gridCol w:w="807"/>
              <w:gridCol w:w="72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产污环节</w:t>
                  </w:r>
                </w:p>
              </w:tc>
              <w:tc>
                <w:tcPr>
                  <w:tcW w:w="1404" w:type="dxa"/>
                  <w:vAlign w:val="center"/>
                </w:tcPr>
                <w:p>
                  <w:pPr>
                    <w:pStyle w:val="51"/>
                    <w:rPr>
                      <w:color w:val="auto"/>
                    </w:rPr>
                  </w:pPr>
                  <w:r>
                    <w:rPr>
                      <w:color w:val="auto"/>
                    </w:rPr>
                    <w:t>冲洗废水</w:t>
                  </w:r>
                </w:p>
              </w:tc>
              <w:tc>
                <w:tcPr>
                  <w:tcW w:w="1410" w:type="dxa"/>
                  <w:vAlign w:val="center"/>
                </w:tcPr>
                <w:p>
                  <w:pPr>
                    <w:pStyle w:val="51"/>
                    <w:rPr>
                      <w:color w:val="auto"/>
                    </w:rPr>
                  </w:pPr>
                  <w:r>
                    <w:rPr>
                      <w:color w:val="auto"/>
                    </w:rPr>
                    <w:t>渗出水</w:t>
                  </w:r>
                </w:p>
              </w:tc>
              <w:tc>
                <w:tcPr>
                  <w:tcW w:w="3021" w:type="dxa"/>
                  <w:gridSpan w:val="4"/>
                  <w:vAlign w:val="center"/>
                </w:tcPr>
                <w:p>
                  <w:pPr>
                    <w:pStyle w:val="51"/>
                    <w:rPr>
                      <w:color w:val="auto"/>
                    </w:rPr>
                  </w:pPr>
                  <w:r>
                    <w:rPr>
                      <w:color w:val="auto"/>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污染物种类</w:t>
                  </w:r>
                </w:p>
              </w:tc>
              <w:tc>
                <w:tcPr>
                  <w:tcW w:w="1404" w:type="dxa"/>
                  <w:vAlign w:val="center"/>
                </w:tcPr>
                <w:p>
                  <w:pPr>
                    <w:pStyle w:val="51"/>
                    <w:rPr>
                      <w:color w:val="auto"/>
                    </w:rPr>
                  </w:pPr>
                  <w:r>
                    <w:rPr>
                      <w:color w:val="auto"/>
                    </w:rPr>
                    <w:t>SS</w:t>
                  </w:r>
                </w:p>
              </w:tc>
              <w:tc>
                <w:tcPr>
                  <w:tcW w:w="1410" w:type="dxa"/>
                  <w:vAlign w:val="center"/>
                </w:tcPr>
                <w:p>
                  <w:pPr>
                    <w:pStyle w:val="51"/>
                    <w:rPr>
                      <w:color w:val="auto"/>
                    </w:rPr>
                  </w:pPr>
                  <w:r>
                    <w:rPr>
                      <w:color w:val="auto"/>
                    </w:rPr>
                    <w:t>SS</w:t>
                  </w:r>
                </w:p>
              </w:tc>
              <w:tc>
                <w:tcPr>
                  <w:tcW w:w="693" w:type="dxa"/>
                  <w:vAlign w:val="center"/>
                </w:tcPr>
                <w:p>
                  <w:pPr>
                    <w:pStyle w:val="51"/>
                    <w:rPr>
                      <w:color w:val="auto"/>
                    </w:rPr>
                  </w:pPr>
                  <w:r>
                    <w:rPr>
                      <w:color w:val="auto"/>
                    </w:rPr>
                    <w:t>COD</w:t>
                  </w:r>
                </w:p>
              </w:tc>
              <w:tc>
                <w:tcPr>
                  <w:tcW w:w="807" w:type="dxa"/>
                  <w:vAlign w:val="center"/>
                </w:tcPr>
                <w:p>
                  <w:pPr>
                    <w:pStyle w:val="51"/>
                    <w:rPr>
                      <w:color w:val="auto"/>
                    </w:rPr>
                  </w:pPr>
                  <w:r>
                    <w:rPr>
                      <w:color w:val="auto"/>
                    </w:rPr>
                    <w:t>BOD</w:t>
                  </w:r>
                  <w:r>
                    <w:rPr>
                      <w:color w:val="auto"/>
                      <w:vertAlign w:val="subscript"/>
                    </w:rPr>
                    <w:t>5</w:t>
                  </w:r>
                </w:p>
              </w:tc>
              <w:tc>
                <w:tcPr>
                  <w:tcW w:w="727" w:type="dxa"/>
                  <w:vAlign w:val="center"/>
                </w:tcPr>
                <w:p>
                  <w:pPr>
                    <w:pStyle w:val="51"/>
                    <w:rPr>
                      <w:color w:val="auto"/>
                    </w:rPr>
                  </w:pPr>
                  <w:r>
                    <w:rPr>
                      <w:color w:val="auto"/>
                    </w:rPr>
                    <w:t>SS</w:t>
                  </w:r>
                </w:p>
              </w:tc>
              <w:tc>
                <w:tcPr>
                  <w:tcW w:w="794" w:type="dxa"/>
                  <w:vAlign w:val="center"/>
                </w:tcPr>
                <w:p>
                  <w:pPr>
                    <w:pStyle w:val="51"/>
                    <w:rPr>
                      <w:color w:val="auto"/>
                    </w:rPr>
                  </w:pPr>
                  <w:r>
                    <w:rPr>
                      <w:color w:val="auto"/>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废水产生量（m</w:t>
                  </w:r>
                  <w:r>
                    <w:rPr>
                      <w:color w:val="auto"/>
                      <w:vertAlign w:val="superscript"/>
                    </w:rPr>
                    <w:t>3</w:t>
                  </w:r>
                  <w:r>
                    <w:rPr>
                      <w:color w:val="auto"/>
                    </w:rPr>
                    <w:t>/a）</w:t>
                  </w:r>
                </w:p>
              </w:tc>
              <w:tc>
                <w:tcPr>
                  <w:tcW w:w="1404" w:type="dxa"/>
                  <w:vAlign w:val="center"/>
                </w:tcPr>
                <w:p>
                  <w:pPr>
                    <w:pStyle w:val="51"/>
                    <w:rPr>
                      <w:color w:val="auto"/>
                    </w:rPr>
                  </w:pPr>
                  <w:r>
                    <w:rPr>
                      <w:color w:val="auto"/>
                    </w:rPr>
                    <w:t>17.875</w:t>
                  </w:r>
                </w:p>
              </w:tc>
              <w:tc>
                <w:tcPr>
                  <w:tcW w:w="1410" w:type="dxa"/>
                  <w:vAlign w:val="center"/>
                </w:tcPr>
                <w:p>
                  <w:pPr>
                    <w:pStyle w:val="51"/>
                    <w:rPr>
                      <w:color w:val="auto"/>
                    </w:rPr>
                  </w:pPr>
                  <w:r>
                    <w:rPr>
                      <w:color w:val="auto"/>
                    </w:rPr>
                    <w:t>494.93</w:t>
                  </w:r>
                </w:p>
              </w:tc>
              <w:tc>
                <w:tcPr>
                  <w:tcW w:w="3021" w:type="dxa"/>
                  <w:gridSpan w:val="4"/>
                  <w:vAlign w:val="center"/>
                </w:tcPr>
                <w:p>
                  <w:pPr>
                    <w:pStyle w:val="51"/>
                    <w:rPr>
                      <w:color w:val="auto"/>
                    </w:rPr>
                  </w:pPr>
                  <w:r>
                    <w:rPr>
                      <w:color w:val="auto"/>
                    </w:rPr>
                    <w:t>56.94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污染物产生浓度（mg/L）</w:t>
                  </w:r>
                </w:p>
              </w:tc>
              <w:tc>
                <w:tcPr>
                  <w:tcW w:w="1404" w:type="dxa"/>
                  <w:vAlign w:val="center"/>
                </w:tcPr>
                <w:p>
                  <w:pPr>
                    <w:pStyle w:val="51"/>
                    <w:rPr>
                      <w:color w:val="auto"/>
                    </w:rPr>
                  </w:pPr>
                  <w:r>
                    <w:rPr>
                      <w:color w:val="auto"/>
                    </w:rPr>
                    <w:t>600</w:t>
                  </w:r>
                </w:p>
              </w:tc>
              <w:tc>
                <w:tcPr>
                  <w:tcW w:w="1410" w:type="dxa"/>
                  <w:vAlign w:val="center"/>
                </w:tcPr>
                <w:p>
                  <w:pPr>
                    <w:pStyle w:val="51"/>
                    <w:rPr>
                      <w:color w:val="auto"/>
                    </w:rPr>
                  </w:pPr>
                  <w:r>
                    <w:rPr>
                      <w:color w:val="auto"/>
                    </w:rPr>
                    <w:t>400</w:t>
                  </w:r>
                </w:p>
              </w:tc>
              <w:tc>
                <w:tcPr>
                  <w:tcW w:w="693" w:type="dxa"/>
                  <w:vAlign w:val="center"/>
                </w:tcPr>
                <w:p>
                  <w:pPr>
                    <w:jc w:val="center"/>
                    <w:rPr>
                      <w:color w:val="auto"/>
                      <w:sz w:val="22"/>
                      <w:szCs w:val="22"/>
                    </w:rPr>
                  </w:pPr>
                  <w:r>
                    <w:rPr>
                      <w:color w:val="auto"/>
                      <w:sz w:val="22"/>
                      <w:szCs w:val="22"/>
                    </w:rPr>
                    <w:t>350</w:t>
                  </w:r>
                </w:p>
              </w:tc>
              <w:tc>
                <w:tcPr>
                  <w:tcW w:w="807" w:type="dxa"/>
                  <w:vAlign w:val="center"/>
                </w:tcPr>
                <w:p>
                  <w:pPr>
                    <w:jc w:val="center"/>
                    <w:rPr>
                      <w:color w:val="auto"/>
                      <w:sz w:val="22"/>
                      <w:szCs w:val="22"/>
                    </w:rPr>
                  </w:pPr>
                  <w:r>
                    <w:rPr>
                      <w:color w:val="auto"/>
                      <w:sz w:val="22"/>
                      <w:szCs w:val="22"/>
                    </w:rPr>
                    <w:t>150</w:t>
                  </w:r>
                </w:p>
              </w:tc>
              <w:tc>
                <w:tcPr>
                  <w:tcW w:w="727" w:type="dxa"/>
                  <w:vAlign w:val="center"/>
                </w:tcPr>
                <w:p>
                  <w:pPr>
                    <w:jc w:val="center"/>
                    <w:rPr>
                      <w:color w:val="auto"/>
                      <w:sz w:val="22"/>
                      <w:szCs w:val="22"/>
                    </w:rPr>
                  </w:pPr>
                  <w:r>
                    <w:rPr>
                      <w:color w:val="auto"/>
                      <w:sz w:val="22"/>
                      <w:szCs w:val="22"/>
                    </w:rPr>
                    <w:t>250</w:t>
                  </w:r>
                </w:p>
              </w:tc>
              <w:tc>
                <w:tcPr>
                  <w:tcW w:w="794" w:type="dxa"/>
                  <w:vAlign w:val="center"/>
                </w:tcPr>
                <w:p>
                  <w:pPr>
                    <w:jc w:val="center"/>
                    <w:rPr>
                      <w:color w:val="auto"/>
                      <w:sz w:val="22"/>
                      <w:szCs w:val="22"/>
                    </w:rPr>
                  </w:pPr>
                  <w:r>
                    <w:rPr>
                      <w:color w:val="auto"/>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污染物产生量（t/a）</w:t>
                  </w:r>
                </w:p>
              </w:tc>
              <w:tc>
                <w:tcPr>
                  <w:tcW w:w="1404" w:type="dxa"/>
                  <w:vAlign w:val="center"/>
                </w:tcPr>
                <w:p>
                  <w:pPr>
                    <w:pStyle w:val="51"/>
                    <w:rPr>
                      <w:color w:val="auto"/>
                    </w:rPr>
                  </w:pPr>
                  <w:r>
                    <w:rPr>
                      <w:color w:val="auto"/>
                    </w:rPr>
                    <w:t>0.011</w:t>
                  </w:r>
                </w:p>
              </w:tc>
              <w:tc>
                <w:tcPr>
                  <w:tcW w:w="1410" w:type="dxa"/>
                  <w:vAlign w:val="center"/>
                </w:tcPr>
                <w:p>
                  <w:pPr>
                    <w:pStyle w:val="51"/>
                    <w:rPr>
                      <w:color w:val="auto"/>
                    </w:rPr>
                  </w:pPr>
                  <w:r>
                    <w:rPr>
                      <w:color w:val="auto"/>
                    </w:rPr>
                    <w:t>0.198</w:t>
                  </w:r>
                </w:p>
              </w:tc>
              <w:tc>
                <w:tcPr>
                  <w:tcW w:w="693" w:type="dxa"/>
                  <w:vAlign w:val="center"/>
                </w:tcPr>
                <w:p>
                  <w:pPr>
                    <w:pStyle w:val="51"/>
                    <w:rPr>
                      <w:color w:val="auto"/>
                    </w:rPr>
                  </w:pPr>
                  <w:r>
                    <w:rPr>
                      <w:color w:val="auto"/>
                    </w:rPr>
                    <w:t>0.020</w:t>
                  </w:r>
                </w:p>
              </w:tc>
              <w:tc>
                <w:tcPr>
                  <w:tcW w:w="807" w:type="dxa"/>
                  <w:vAlign w:val="center"/>
                </w:tcPr>
                <w:p>
                  <w:pPr>
                    <w:pStyle w:val="51"/>
                    <w:rPr>
                      <w:color w:val="auto"/>
                    </w:rPr>
                  </w:pPr>
                  <w:r>
                    <w:rPr>
                      <w:color w:val="auto"/>
                    </w:rPr>
                    <w:t>0.0085</w:t>
                  </w:r>
                </w:p>
              </w:tc>
              <w:tc>
                <w:tcPr>
                  <w:tcW w:w="727" w:type="dxa"/>
                  <w:vAlign w:val="center"/>
                </w:tcPr>
                <w:p>
                  <w:pPr>
                    <w:pStyle w:val="51"/>
                    <w:rPr>
                      <w:color w:val="auto"/>
                    </w:rPr>
                  </w:pPr>
                  <w:r>
                    <w:rPr>
                      <w:color w:val="auto"/>
                    </w:rPr>
                    <w:t>0.014</w:t>
                  </w:r>
                </w:p>
              </w:tc>
              <w:tc>
                <w:tcPr>
                  <w:tcW w:w="794" w:type="dxa"/>
                  <w:vAlign w:val="center"/>
                </w:tcPr>
                <w:p>
                  <w:pPr>
                    <w:pStyle w:val="51"/>
                    <w:rPr>
                      <w:color w:val="auto"/>
                    </w:rPr>
                  </w:pPr>
                  <w:r>
                    <w:rPr>
                      <w:color w:val="auto"/>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5" w:type="dxa"/>
                  <w:vMerge w:val="restart"/>
                  <w:vAlign w:val="center"/>
                </w:tcPr>
                <w:p>
                  <w:pPr>
                    <w:pStyle w:val="51"/>
                    <w:rPr>
                      <w:color w:val="auto"/>
                    </w:rPr>
                  </w:pPr>
                  <w:r>
                    <w:rPr>
                      <w:color w:val="auto"/>
                    </w:rPr>
                    <w:t>治理设施</w:t>
                  </w:r>
                </w:p>
              </w:tc>
              <w:tc>
                <w:tcPr>
                  <w:tcW w:w="1931" w:type="dxa"/>
                  <w:vAlign w:val="center"/>
                </w:tcPr>
                <w:p>
                  <w:pPr>
                    <w:pStyle w:val="51"/>
                    <w:rPr>
                      <w:color w:val="auto"/>
                    </w:rPr>
                  </w:pPr>
                  <w:r>
                    <w:rPr>
                      <w:color w:val="auto"/>
                    </w:rPr>
                    <w:t>处理措施</w:t>
                  </w:r>
                </w:p>
              </w:tc>
              <w:tc>
                <w:tcPr>
                  <w:tcW w:w="1404" w:type="dxa"/>
                  <w:vAlign w:val="center"/>
                </w:tcPr>
                <w:p>
                  <w:pPr>
                    <w:pStyle w:val="51"/>
                    <w:rPr>
                      <w:color w:val="auto"/>
                    </w:rPr>
                  </w:pPr>
                  <w:r>
                    <w:rPr>
                      <w:color w:val="auto"/>
                    </w:rPr>
                    <w:t>三级沉淀池</w:t>
                  </w:r>
                </w:p>
              </w:tc>
              <w:tc>
                <w:tcPr>
                  <w:tcW w:w="1410" w:type="dxa"/>
                  <w:vAlign w:val="center"/>
                </w:tcPr>
                <w:p>
                  <w:pPr>
                    <w:pStyle w:val="51"/>
                    <w:rPr>
                      <w:color w:val="auto"/>
                    </w:rPr>
                  </w:pPr>
                  <w:r>
                    <w:rPr>
                      <w:color w:val="auto"/>
                    </w:rPr>
                    <w:t>三级沉淀池</w:t>
                  </w:r>
                </w:p>
              </w:tc>
              <w:tc>
                <w:tcPr>
                  <w:tcW w:w="3021" w:type="dxa"/>
                  <w:gridSpan w:val="4"/>
                  <w:vAlign w:val="center"/>
                </w:tcPr>
                <w:p>
                  <w:pPr>
                    <w:pStyle w:val="51"/>
                    <w:rPr>
                      <w:color w:val="auto"/>
                    </w:rPr>
                  </w:pPr>
                  <w:r>
                    <w:rPr>
                      <w:color w:val="auto"/>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5" w:type="dxa"/>
                  <w:vMerge w:val="continue"/>
                  <w:vAlign w:val="center"/>
                </w:tcPr>
                <w:p>
                  <w:pPr>
                    <w:pStyle w:val="51"/>
                    <w:rPr>
                      <w:color w:val="auto"/>
                    </w:rPr>
                  </w:pPr>
                </w:p>
              </w:tc>
              <w:tc>
                <w:tcPr>
                  <w:tcW w:w="1931" w:type="dxa"/>
                  <w:vAlign w:val="center"/>
                </w:tcPr>
                <w:p>
                  <w:pPr>
                    <w:pStyle w:val="51"/>
                    <w:rPr>
                      <w:color w:val="auto"/>
                    </w:rPr>
                  </w:pPr>
                  <w:r>
                    <w:rPr>
                      <w:color w:val="auto"/>
                    </w:rPr>
                    <w:t>处理效率（%）</w:t>
                  </w:r>
                </w:p>
              </w:tc>
              <w:tc>
                <w:tcPr>
                  <w:tcW w:w="1404" w:type="dxa"/>
                  <w:vAlign w:val="center"/>
                </w:tcPr>
                <w:p>
                  <w:pPr>
                    <w:pStyle w:val="51"/>
                    <w:rPr>
                      <w:color w:val="auto"/>
                    </w:rPr>
                  </w:pPr>
                  <w:r>
                    <w:rPr>
                      <w:color w:val="auto"/>
                    </w:rPr>
                    <w:t>50%</w:t>
                  </w:r>
                </w:p>
              </w:tc>
              <w:tc>
                <w:tcPr>
                  <w:tcW w:w="1410" w:type="dxa"/>
                  <w:vAlign w:val="center"/>
                </w:tcPr>
                <w:p>
                  <w:pPr>
                    <w:pStyle w:val="51"/>
                    <w:rPr>
                      <w:color w:val="auto"/>
                    </w:rPr>
                  </w:pPr>
                  <w:r>
                    <w:rPr>
                      <w:color w:val="auto"/>
                    </w:rPr>
                    <w:t>50%</w:t>
                  </w:r>
                </w:p>
              </w:tc>
              <w:tc>
                <w:tcPr>
                  <w:tcW w:w="3021" w:type="dxa"/>
                  <w:gridSpan w:val="4"/>
                  <w:vAlign w:val="center"/>
                </w:tcPr>
                <w:p>
                  <w:pPr>
                    <w:pStyle w:val="51"/>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5" w:type="dxa"/>
                  <w:vMerge w:val="continue"/>
                  <w:vAlign w:val="center"/>
                </w:tcPr>
                <w:p>
                  <w:pPr>
                    <w:pStyle w:val="51"/>
                    <w:rPr>
                      <w:color w:val="auto"/>
                    </w:rPr>
                  </w:pPr>
                </w:p>
              </w:tc>
              <w:tc>
                <w:tcPr>
                  <w:tcW w:w="1931" w:type="dxa"/>
                  <w:vAlign w:val="center"/>
                </w:tcPr>
                <w:p>
                  <w:pPr>
                    <w:pStyle w:val="51"/>
                    <w:rPr>
                      <w:color w:val="auto"/>
                    </w:rPr>
                  </w:pPr>
                  <w:r>
                    <w:rPr>
                      <w:color w:val="auto"/>
                    </w:rPr>
                    <w:t>是否为可行性技术</w:t>
                  </w:r>
                </w:p>
              </w:tc>
              <w:tc>
                <w:tcPr>
                  <w:tcW w:w="1404" w:type="dxa"/>
                  <w:vAlign w:val="center"/>
                </w:tcPr>
                <w:p>
                  <w:pPr>
                    <w:pStyle w:val="51"/>
                    <w:rPr>
                      <w:color w:val="auto"/>
                    </w:rPr>
                  </w:pPr>
                  <w:r>
                    <w:rPr>
                      <w:color w:val="auto"/>
                    </w:rPr>
                    <w:t>可行</w:t>
                  </w:r>
                </w:p>
              </w:tc>
              <w:tc>
                <w:tcPr>
                  <w:tcW w:w="1410" w:type="dxa"/>
                  <w:vAlign w:val="center"/>
                </w:tcPr>
                <w:p>
                  <w:pPr>
                    <w:pStyle w:val="51"/>
                    <w:rPr>
                      <w:color w:val="auto"/>
                    </w:rPr>
                  </w:pPr>
                  <w:r>
                    <w:rPr>
                      <w:color w:val="auto"/>
                    </w:rPr>
                    <w:t>可行</w:t>
                  </w:r>
                </w:p>
              </w:tc>
              <w:tc>
                <w:tcPr>
                  <w:tcW w:w="3021" w:type="dxa"/>
                  <w:gridSpan w:val="4"/>
                  <w:vAlign w:val="center"/>
                </w:tcPr>
                <w:p>
                  <w:pPr>
                    <w:pStyle w:val="51"/>
                    <w:rPr>
                      <w:color w:val="auto"/>
                    </w:rPr>
                  </w:pPr>
                  <w:r>
                    <w:rPr>
                      <w:color w:val="auto"/>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排放去向</w:t>
                  </w:r>
                </w:p>
              </w:tc>
              <w:tc>
                <w:tcPr>
                  <w:tcW w:w="1404" w:type="dxa"/>
                  <w:vAlign w:val="center"/>
                </w:tcPr>
                <w:p>
                  <w:pPr>
                    <w:pStyle w:val="51"/>
                    <w:rPr>
                      <w:color w:val="auto"/>
                    </w:rPr>
                  </w:pPr>
                  <w:r>
                    <w:rPr>
                      <w:color w:val="auto"/>
                    </w:rPr>
                    <w:t>回用，不外排</w:t>
                  </w:r>
                </w:p>
              </w:tc>
              <w:tc>
                <w:tcPr>
                  <w:tcW w:w="1410" w:type="dxa"/>
                  <w:vAlign w:val="center"/>
                </w:tcPr>
                <w:p>
                  <w:pPr>
                    <w:pStyle w:val="51"/>
                    <w:rPr>
                      <w:color w:val="auto"/>
                    </w:rPr>
                  </w:pPr>
                  <w:r>
                    <w:rPr>
                      <w:color w:val="auto"/>
                    </w:rPr>
                    <w:t>回用，不外排</w:t>
                  </w:r>
                </w:p>
              </w:tc>
              <w:tc>
                <w:tcPr>
                  <w:tcW w:w="3021" w:type="dxa"/>
                  <w:gridSpan w:val="4"/>
                  <w:vAlign w:val="center"/>
                </w:tcPr>
                <w:p>
                  <w:pPr>
                    <w:spacing w:line="360" w:lineRule="auto"/>
                    <w:jc w:val="center"/>
                    <w:rPr>
                      <w:color w:val="auto"/>
                      <w:szCs w:val="21"/>
                    </w:rPr>
                  </w:pPr>
                  <w:r>
                    <w:rPr>
                      <w:color w:val="auto"/>
                      <w:szCs w:val="21"/>
                    </w:rPr>
                    <w:t>定期委托清掏，不外排。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废水排放量（m</w:t>
                  </w:r>
                  <w:r>
                    <w:rPr>
                      <w:color w:val="auto"/>
                      <w:vertAlign w:val="superscript"/>
                    </w:rPr>
                    <w:t>3</w:t>
                  </w:r>
                  <w:r>
                    <w:rPr>
                      <w:color w:val="auto"/>
                    </w:rPr>
                    <w:t>/a）</w:t>
                  </w:r>
                </w:p>
              </w:tc>
              <w:tc>
                <w:tcPr>
                  <w:tcW w:w="1404" w:type="dxa"/>
                  <w:vAlign w:val="center"/>
                </w:tcPr>
                <w:p>
                  <w:pPr>
                    <w:pStyle w:val="51"/>
                    <w:rPr>
                      <w:color w:val="auto"/>
                    </w:rPr>
                  </w:pPr>
                  <w:r>
                    <w:rPr>
                      <w:color w:val="auto"/>
                    </w:rPr>
                    <w:t>0</w:t>
                  </w:r>
                </w:p>
              </w:tc>
              <w:tc>
                <w:tcPr>
                  <w:tcW w:w="1410" w:type="dxa"/>
                  <w:vAlign w:val="center"/>
                </w:tcPr>
                <w:p>
                  <w:pPr>
                    <w:pStyle w:val="51"/>
                    <w:rPr>
                      <w:color w:val="auto"/>
                    </w:rPr>
                  </w:pPr>
                  <w:r>
                    <w:rPr>
                      <w:color w:val="auto"/>
                    </w:rPr>
                    <w:t>0</w:t>
                  </w:r>
                </w:p>
              </w:tc>
              <w:tc>
                <w:tcPr>
                  <w:tcW w:w="693" w:type="dxa"/>
                  <w:vAlign w:val="center"/>
                </w:tcPr>
                <w:p>
                  <w:pPr>
                    <w:pStyle w:val="51"/>
                    <w:rPr>
                      <w:color w:val="auto"/>
                    </w:rPr>
                  </w:pPr>
                  <w:r>
                    <w:rPr>
                      <w:color w:val="auto"/>
                    </w:rPr>
                    <w:t>0</w:t>
                  </w:r>
                </w:p>
              </w:tc>
              <w:tc>
                <w:tcPr>
                  <w:tcW w:w="807" w:type="dxa"/>
                  <w:vAlign w:val="center"/>
                </w:tcPr>
                <w:p>
                  <w:pPr>
                    <w:pStyle w:val="51"/>
                    <w:rPr>
                      <w:bCs w:val="0"/>
                      <w:color w:val="auto"/>
                    </w:rPr>
                  </w:pPr>
                  <w:r>
                    <w:rPr>
                      <w:bCs w:val="0"/>
                      <w:color w:val="auto"/>
                    </w:rPr>
                    <w:t>0</w:t>
                  </w:r>
                </w:p>
              </w:tc>
              <w:tc>
                <w:tcPr>
                  <w:tcW w:w="727" w:type="dxa"/>
                  <w:vAlign w:val="center"/>
                </w:tcPr>
                <w:p>
                  <w:pPr>
                    <w:pStyle w:val="51"/>
                    <w:rPr>
                      <w:color w:val="auto"/>
                    </w:rPr>
                  </w:pPr>
                  <w:r>
                    <w:rPr>
                      <w:color w:val="auto"/>
                    </w:rPr>
                    <w:t>0</w:t>
                  </w:r>
                </w:p>
              </w:tc>
              <w:tc>
                <w:tcPr>
                  <w:tcW w:w="794" w:type="dxa"/>
                  <w:vAlign w:val="center"/>
                </w:tcPr>
                <w:p>
                  <w:pPr>
                    <w:pStyle w:val="51"/>
                    <w:rPr>
                      <w:color w:val="auto"/>
                    </w:rPr>
                  </w:pPr>
                  <w:r>
                    <w:rPr>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2466" w:type="dxa"/>
                  <w:gridSpan w:val="2"/>
                  <w:vAlign w:val="center"/>
                </w:tcPr>
                <w:p>
                  <w:pPr>
                    <w:pStyle w:val="51"/>
                    <w:rPr>
                      <w:color w:val="auto"/>
                    </w:rPr>
                  </w:pPr>
                  <w:r>
                    <w:rPr>
                      <w:color w:val="auto"/>
                    </w:rPr>
                    <w:t>污染物排放量（t/a）</w:t>
                  </w:r>
                </w:p>
              </w:tc>
              <w:tc>
                <w:tcPr>
                  <w:tcW w:w="1404" w:type="dxa"/>
                  <w:vAlign w:val="center"/>
                </w:tcPr>
                <w:p>
                  <w:pPr>
                    <w:pStyle w:val="51"/>
                    <w:rPr>
                      <w:color w:val="auto"/>
                    </w:rPr>
                  </w:pPr>
                  <w:r>
                    <w:rPr>
                      <w:color w:val="auto"/>
                    </w:rPr>
                    <w:t>0</w:t>
                  </w:r>
                </w:p>
              </w:tc>
              <w:tc>
                <w:tcPr>
                  <w:tcW w:w="1410" w:type="dxa"/>
                  <w:vAlign w:val="center"/>
                </w:tcPr>
                <w:p>
                  <w:pPr>
                    <w:pStyle w:val="51"/>
                    <w:rPr>
                      <w:color w:val="auto"/>
                    </w:rPr>
                  </w:pPr>
                  <w:r>
                    <w:rPr>
                      <w:color w:val="auto"/>
                    </w:rPr>
                    <w:t>0</w:t>
                  </w:r>
                </w:p>
              </w:tc>
              <w:tc>
                <w:tcPr>
                  <w:tcW w:w="693" w:type="dxa"/>
                  <w:vAlign w:val="center"/>
                </w:tcPr>
                <w:p>
                  <w:pPr>
                    <w:pStyle w:val="51"/>
                    <w:rPr>
                      <w:color w:val="auto"/>
                    </w:rPr>
                  </w:pPr>
                  <w:r>
                    <w:rPr>
                      <w:color w:val="auto"/>
                    </w:rPr>
                    <w:t>0</w:t>
                  </w:r>
                </w:p>
              </w:tc>
              <w:tc>
                <w:tcPr>
                  <w:tcW w:w="807" w:type="dxa"/>
                  <w:vAlign w:val="center"/>
                </w:tcPr>
                <w:p>
                  <w:pPr>
                    <w:pStyle w:val="51"/>
                    <w:rPr>
                      <w:color w:val="auto"/>
                    </w:rPr>
                  </w:pPr>
                  <w:r>
                    <w:rPr>
                      <w:color w:val="auto"/>
                    </w:rPr>
                    <w:t>0</w:t>
                  </w:r>
                </w:p>
              </w:tc>
              <w:tc>
                <w:tcPr>
                  <w:tcW w:w="727" w:type="dxa"/>
                  <w:vAlign w:val="center"/>
                </w:tcPr>
                <w:p>
                  <w:pPr>
                    <w:pStyle w:val="51"/>
                    <w:rPr>
                      <w:color w:val="auto"/>
                    </w:rPr>
                  </w:pPr>
                  <w:r>
                    <w:rPr>
                      <w:color w:val="auto"/>
                    </w:rPr>
                    <w:t>0</w:t>
                  </w:r>
                </w:p>
              </w:tc>
              <w:tc>
                <w:tcPr>
                  <w:tcW w:w="794" w:type="dxa"/>
                  <w:vAlign w:val="center"/>
                </w:tcPr>
                <w:p>
                  <w:pPr>
                    <w:pStyle w:val="51"/>
                    <w:rPr>
                      <w:color w:val="auto"/>
                    </w:rPr>
                  </w:pPr>
                  <w:r>
                    <w:rPr>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5" w:type="dxa"/>
                  <w:vMerge w:val="restart"/>
                  <w:vAlign w:val="center"/>
                </w:tcPr>
                <w:p>
                  <w:pPr>
                    <w:pStyle w:val="51"/>
                    <w:rPr>
                      <w:color w:val="auto"/>
                    </w:rPr>
                  </w:pPr>
                  <w:r>
                    <w:rPr>
                      <w:color w:val="auto"/>
                    </w:rPr>
                    <w:t>排放口</w:t>
                  </w:r>
                </w:p>
              </w:tc>
              <w:tc>
                <w:tcPr>
                  <w:tcW w:w="1931" w:type="dxa"/>
                  <w:vAlign w:val="center"/>
                </w:tcPr>
                <w:p>
                  <w:pPr>
                    <w:pStyle w:val="51"/>
                    <w:rPr>
                      <w:color w:val="auto"/>
                    </w:rPr>
                  </w:pPr>
                  <w:r>
                    <w:rPr>
                      <w:color w:val="auto"/>
                    </w:rPr>
                    <w:t>排放标准</w:t>
                  </w:r>
                </w:p>
              </w:tc>
              <w:tc>
                <w:tcPr>
                  <w:tcW w:w="1404" w:type="dxa"/>
                  <w:vAlign w:val="center"/>
                </w:tcPr>
                <w:p>
                  <w:pPr>
                    <w:jc w:val="center"/>
                    <w:rPr>
                      <w:color w:val="auto"/>
                      <w:szCs w:val="21"/>
                    </w:rPr>
                  </w:pPr>
                  <w:r>
                    <w:rPr>
                      <w:color w:val="auto"/>
                      <w:szCs w:val="21"/>
                    </w:rPr>
                    <w:t>/</w:t>
                  </w:r>
                </w:p>
              </w:tc>
              <w:tc>
                <w:tcPr>
                  <w:tcW w:w="1410" w:type="dxa"/>
                  <w:vAlign w:val="center"/>
                </w:tcPr>
                <w:p>
                  <w:pPr>
                    <w:jc w:val="center"/>
                    <w:rPr>
                      <w:color w:val="auto"/>
                      <w:szCs w:val="21"/>
                    </w:rPr>
                  </w:pPr>
                  <w:r>
                    <w:rPr>
                      <w:color w:val="auto"/>
                      <w:szCs w:val="21"/>
                    </w:rPr>
                    <w:t>/</w:t>
                  </w:r>
                </w:p>
              </w:tc>
              <w:tc>
                <w:tcPr>
                  <w:tcW w:w="693" w:type="dxa"/>
                  <w:vAlign w:val="center"/>
                </w:tcPr>
                <w:p>
                  <w:pPr>
                    <w:jc w:val="center"/>
                    <w:rPr>
                      <w:color w:val="auto"/>
                      <w:szCs w:val="21"/>
                    </w:rPr>
                  </w:pPr>
                  <w:r>
                    <w:rPr>
                      <w:color w:val="auto"/>
                      <w:szCs w:val="21"/>
                    </w:rPr>
                    <w:t>/</w:t>
                  </w:r>
                </w:p>
              </w:tc>
              <w:tc>
                <w:tcPr>
                  <w:tcW w:w="807" w:type="dxa"/>
                  <w:vAlign w:val="center"/>
                </w:tcPr>
                <w:p>
                  <w:pPr>
                    <w:jc w:val="center"/>
                    <w:rPr>
                      <w:color w:val="auto"/>
                      <w:szCs w:val="21"/>
                    </w:rPr>
                  </w:pPr>
                  <w:r>
                    <w:rPr>
                      <w:color w:val="auto"/>
                      <w:szCs w:val="21"/>
                    </w:rPr>
                    <w:t>/</w:t>
                  </w:r>
                </w:p>
              </w:tc>
              <w:tc>
                <w:tcPr>
                  <w:tcW w:w="727" w:type="dxa"/>
                  <w:vAlign w:val="center"/>
                </w:tcPr>
                <w:p>
                  <w:pPr>
                    <w:jc w:val="center"/>
                    <w:rPr>
                      <w:color w:val="auto"/>
                      <w:szCs w:val="21"/>
                    </w:rPr>
                  </w:pPr>
                  <w:r>
                    <w:rPr>
                      <w:color w:val="auto"/>
                      <w:szCs w:val="21"/>
                    </w:rPr>
                    <w:t>/</w:t>
                  </w:r>
                </w:p>
              </w:tc>
              <w:tc>
                <w:tcPr>
                  <w:tcW w:w="794" w:type="dxa"/>
                  <w:vAlign w:val="center"/>
                </w:tcPr>
                <w:p>
                  <w:pPr>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5" w:type="dxa"/>
                  <w:vMerge w:val="continue"/>
                  <w:vAlign w:val="center"/>
                </w:tcPr>
                <w:p>
                  <w:pPr>
                    <w:pStyle w:val="51"/>
                    <w:rPr>
                      <w:color w:val="auto"/>
                    </w:rPr>
                  </w:pPr>
                </w:p>
              </w:tc>
              <w:tc>
                <w:tcPr>
                  <w:tcW w:w="1931" w:type="dxa"/>
                  <w:vAlign w:val="center"/>
                </w:tcPr>
                <w:p>
                  <w:pPr>
                    <w:pStyle w:val="51"/>
                    <w:rPr>
                      <w:color w:val="auto"/>
                    </w:rPr>
                  </w:pPr>
                  <w:r>
                    <w:rPr>
                      <w:color w:val="auto"/>
                    </w:rPr>
                    <w:t>浓度限值（mg/m</w:t>
                  </w:r>
                  <w:r>
                    <w:rPr>
                      <w:color w:val="auto"/>
                      <w:vertAlign w:val="superscript"/>
                    </w:rPr>
                    <w:t>3</w:t>
                  </w:r>
                  <w:r>
                    <w:rPr>
                      <w:color w:val="auto"/>
                    </w:rPr>
                    <w:t>）</w:t>
                  </w:r>
                </w:p>
              </w:tc>
              <w:tc>
                <w:tcPr>
                  <w:tcW w:w="1404" w:type="dxa"/>
                  <w:vAlign w:val="center"/>
                </w:tcPr>
                <w:p>
                  <w:pPr>
                    <w:jc w:val="center"/>
                    <w:rPr>
                      <w:color w:val="auto"/>
                      <w:szCs w:val="21"/>
                    </w:rPr>
                  </w:pPr>
                  <w:r>
                    <w:rPr>
                      <w:color w:val="auto"/>
                      <w:szCs w:val="21"/>
                    </w:rPr>
                    <w:t>/</w:t>
                  </w:r>
                </w:p>
              </w:tc>
              <w:tc>
                <w:tcPr>
                  <w:tcW w:w="1410" w:type="dxa"/>
                  <w:vAlign w:val="center"/>
                </w:tcPr>
                <w:p>
                  <w:pPr>
                    <w:jc w:val="center"/>
                    <w:rPr>
                      <w:color w:val="auto"/>
                      <w:szCs w:val="21"/>
                    </w:rPr>
                  </w:pPr>
                  <w:r>
                    <w:rPr>
                      <w:color w:val="auto"/>
                      <w:szCs w:val="21"/>
                    </w:rPr>
                    <w:t>/</w:t>
                  </w:r>
                </w:p>
              </w:tc>
              <w:tc>
                <w:tcPr>
                  <w:tcW w:w="693" w:type="dxa"/>
                  <w:vAlign w:val="center"/>
                </w:tcPr>
                <w:p>
                  <w:pPr>
                    <w:jc w:val="center"/>
                    <w:rPr>
                      <w:color w:val="auto"/>
                      <w:szCs w:val="21"/>
                    </w:rPr>
                  </w:pPr>
                  <w:r>
                    <w:rPr>
                      <w:color w:val="auto"/>
                      <w:szCs w:val="21"/>
                    </w:rPr>
                    <w:t>/</w:t>
                  </w:r>
                </w:p>
              </w:tc>
              <w:tc>
                <w:tcPr>
                  <w:tcW w:w="807" w:type="dxa"/>
                  <w:vAlign w:val="center"/>
                </w:tcPr>
                <w:p>
                  <w:pPr>
                    <w:jc w:val="center"/>
                    <w:rPr>
                      <w:color w:val="auto"/>
                      <w:szCs w:val="21"/>
                    </w:rPr>
                  </w:pPr>
                  <w:r>
                    <w:rPr>
                      <w:color w:val="auto"/>
                      <w:szCs w:val="21"/>
                    </w:rPr>
                    <w:t>/</w:t>
                  </w:r>
                </w:p>
              </w:tc>
              <w:tc>
                <w:tcPr>
                  <w:tcW w:w="727" w:type="dxa"/>
                  <w:vAlign w:val="center"/>
                </w:tcPr>
                <w:p>
                  <w:pPr>
                    <w:jc w:val="center"/>
                    <w:rPr>
                      <w:color w:val="auto"/>
                      <w:szCs w:val="21"/>
                    </w:rPr>
                  </w:pPr>
                  <w:r>
                    <w:rPr>
                      <w:color w:val="auto"/>
                      <w:szCs w:val="21"/>
                    </w:rPr>
                    <w:t>/</w:t>
                  </w:r>
                </w:p>
              </w:tc>
              <w:tc>
                <w:tcPr>
                  <w:tcW w:w="794" w:type="dxa"/>
                  <w:vAlign w:val="center"/>
                </w:tcPr>
                <w:p>
                  <w:pPr>
                    <w:jc w:val="center"/>
                    <w:rPr>
                      <w:color w:val="auto"/>
                      <w:szCs w:val="21"/>
                    </w:rPr>
                  </w:pPr>
                  <w:r>
                    <w:rPr>
                      <w:color w:val="auto"/>
                      <w:szCs w:val="21"/>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rPr>
            </w:pPr>
            <w:r>
              <w:rPr>
                <w:b/>
                <w:bCs/>
                <w:color w:val="auto"/>
                <w:sz w:val="24"/>
                <w:szCs w:val="24"/>
              </w:rPr>
              <w:t>（2）污染源源强核算过程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fldChar w:fldCharType="begin"/>
            </w:r>
            <w:r>
              <w:rPr>
                <w:bCs/>
                <w:color w:val="auto"/>
                <w:sz w:val="24"/>
                <w:szCs w:val="24"/>
              </w:rPr>
              <w:instrText xml:space="preserve"> = 1 \* GB3 </w:instrText>
            </w:r>
            <w:r>
              <w:rPr>
                <w:bCs/>
                <w:color w:val="auto"/>
                <w:sz w:val="24"/>
                <w:szCs w:val="24"/>
              </w:rPr>
              <w:fldChar w:fldCharType="separate"/>
            </w:r>
            <w:r>
              <w:rPr>
                <w:rFonts w:ascii="宋体"/>
                <w:bCs/>
                <w:color w:val="auto"/>
                <w:sz w:val="24"/>
                <w:szCs w:val="24"/>
              </w:rPr>
              <w:t>①</w:t>
            </w:r>
            <w:r>
              <w:rPr>
                <w:bCs/>
                <w:color w:val="auto"/>
                <w:sz w:val="24"/>
                <w:szCs w:val="24"/>
              </w:rPr>
              <w:fldChar w:fldCharType="end"/>
            </w:r>
            <w:r>
              <w:rPr>
                <w:bCs/>
                <w:color w:val="auto"/>
                <w:sz w:val="24"/>
                <w:szCs w:val="24"/>
              </w:rPr>
              <w:t>洗车废水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每年清洗运输车辆按325辆算，每辆车清洗用水量55L/次，类比堆填场洗车废水，洗车废水中的SS浓度按600mg/L计，则SS产生量约为0.011t/a，洗车废水经三级沉淀池处理后，循环使用，不外排。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fldChar w:fldCharType="begin"/>
            </w:r>
            <w:r>
              <w:rPr>
                <w:bCs/>
                <w:color w:val="auto"/>
                <w:sz w:val="24"/>
                <w:szCs w:val="24"/>
              </w:rPr>
              <w:instrText xml:space="preserve"> = 2 \* GB3 </w:instrText>
            </w:r>
            <w:r>
              <w:rPr>
                <w:bCs/>
                <w:color w:val="auto"/>
                <w:sz w:val="24"/>
                <w:szCs w:val="24"/>
              </w:rPr>
              <w:fldChar w:fldCharType="separate"/>
            </w:r>
            <w:r>
              <w:rPr>
                <w:rFonts w:ascii="宋体"/>
                <w:bCs/>
                <w:color w:val="auto"/>
                <w:sz w:val="24"/>
                <w:szCs w:val="24"/>
              </w:rPr>
              <w:t>②</w:t>
            </w:r>
            <w:r>
              <w:rPr>
                <w:bCs/>
                <w:color w:val="auto"/>
                <w:sz w:val="24"/>
                <w:szCs w:val="24"/>
              </w:rPr>
              <w:fldChar w:fldCharType="end"/>
            </w:r>
            <w:r>
              <w:rPr>
                <w:bCs/>
                <w:color w:val="auto"/>
                <w:sz w:val="24"/>
                <w:szCs w:val="24"/>
              </w:rPr>
              <w:t>渗出水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根据相关资料，建筑垃圾自身渗出水量可忽略不计，堆填区渗出水主要来源于雨水降入库区，下渗产生。根据本</w:t>
            </w:r>
            <w:r>
              <w:rPr>
                <w:rFonts w:hint="eastAsia"/>
                <w:bCs/>
                <w:color w:val="auto"/>
                <w:sz w:val="24"/>
                <w:szCs w:val="24"/>
                <w:lang w:eastAsia="zh-CN"/>
              </w:rPr>
              <w:t>工程</w:t>
            </w:r>
            <w:r>
              <w:rPr>
                <w:bCs/>
                <w:color w:val="auto"/>
                <w:sz w:val="24"/>
                <w:szCs w:val="24"/>
              </w:rPr>
              <w:t>设计，渗出水产生量根据</w:t>
            </w:r>
            <w:r>
              <w:rPr>
                <w:color w:val="auto"/>
                <w:sz w:val="24"/>
                <w:szCs w:val="24"/>
              </w:rPr>
              <w:t>《建筑垃圾处理技术标准》（CJJ/T134-2019）附录C污水产生量计算方法进行</w:t>
            </w:r>
            <w:r>
              <w:rPr>
                <w:bCs/>
                <w:color w:val="auto"/>
                <w:sz w:val="24"/>
                <w:szCs w:val="24"/>
              </w:rPr>
              <w:t>计算，计算公式如下：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bCs/>
                <w:color w:val="auto"/>
                <w:sz w:val="24"/>
                <w:szCs w:val="24"/>
              </w:rPr>
            </w:pPr>
            <w:r>
              <w:rPr>
                <w:bCs/>
                <w:color w:val="auto"/>
                <w:sz w:val="24"/>
                <w:szCs w:val="24"/>
              </w:rPr>
              <w:t>Q=I×(C</w:t>
            </w:r>
            <w:r>
              <w:rPr>
                <w:bCs/>
                <w:color w:val="auto"/>
                <w:sz w:val="24"/>
                <w:szCs w:val="24"/>
                <w:vertAlign w:val="subscript"/>
              </w:rPr>
              <w:t>1</w:t>
            </w:r>
            <w:r>
              <w:rPr>
                <w:bCs/>
                <w:color w:val="auto"/>
                <w:sz w:val="24"/>
                <w:szCs w:val="24"/>
              </w:rPr>
              <w:t>A</w:t>
            </w:r>
            <w:r>
              <w:rPr>
                <w:bCs/>
                <w:color w:val="auto"/>
                <w:sz w:val="24"/>
                <w:szCs w:val="24"/>
                <w:vertAlign w:val="subscript"/>
              </w:rPr>
              <w:t>1</w:t>
            </w:r>
            <w:r>
              <w:rPr>
                <w:bCs/>
                <w:color w:val="auto"/>
                <w:sz w:val="24"/>
                <w:szCs w:val="24"/>
              </w:rPr>
              <w:t>+C</w:t>
            </w:r>
            <w:r>
              <w:rPr>
                <w:bCs/>
                <w:color w:val="auto"/>
                <w:sz w:val="24"/>
                <w:szCs w:val="24"/>
                <w:vertAlign w:val="subscript"/>
              </w:rPr>
              <w:t>2</w:t>
            </w:r>
            <w:r>
              <w:rPr>
                <w:bCs/>
                <w:color w:val="auto"/>
                <w:sz w:val="24"/>
                <w:szCs w:val="24"/>
              </w:rPr>
              <w:t>A</w:t>
            </w:r>
            <w:r>
              <w:rPr>
                <w:bCs/>
                <w:color w:val="auto"/>
                <w:sz w:val="24"/>
                <w:szCs w:val="24"/>
                <w:vertAlign w:val="subscript"/>
              </w:rPr>
              <w:t>2</w:t>
            </w:r>
            <w:r>
              <w:rPr>
                <w:bCs/>
                <w:color w:val="auto"/>
                <w:sz w:val="24"/>
                <w:szCs w:val="24"/>
              </w:rPr>
              <w:t>+C</w:t>
            </w:r>
            <w:r>
              <w:rPr>
                <w:bCs/>
                <w:color w:val="auto"/>
                <w:sz w:val="24"/>
                <w:szCs w:val="24"/>
                <w:vertAlign w:val="subscript"/>
              </w:rPr>
              <w:t>3</w:t>
            </w:r>
            <w:r>
              <w:rPr>
                <w:bCs/>
                <w:color w:val="auto"/>
                <w:sz w:val="24"/>
                <w:szCs w:val="24"/>
              </w:rPr>
              <w:t>A</w:t>
            </w:r>
            <w:r>
              <w:rPr>
                <w:bCs/>
                <w:color w:val="auto"/>
                <w:sz w:val="24"/>
                <w:szCs w:val="24"/>
                <w:vertAlign w:val="subscript"/>
              </w:rPr>
              <w:t>3</w:t>
            </w:r>
            <w:r>
              <w:rPr>
                <w:bCs/>
                <w:color w:val="auto"/>
                <w:sz w:val="24"/>
                <w:szCs w:val="24"/>
              </w:rPr>
              <w:t>+C</w:t>
            </w:r>
            <w:r>
              <w:rPr>
                <w:bCs/>
                <w:color w:val="auto"/>
                <w:sz w:val="24"/>
                <w:szCs w:val="24"/>
                <w:vertAlign w:val="subscript"/>
              </w:rPr>
              <w:t>4</w:t>
            </w:r>
            <w:r>
              <w:rPr>
                <w:bCs/>
                <w:color w:val="auto"/>
                <w:sz w:val="24"/>
                <w:szCs w:val="24"/>
              </w:rPr>
              <w:t>A</w:t>
            </w:r>
            <w:r>
              <w:rPr>
                <w:bCs/>
                <w:color w:val="auto"/>
                <w:sz w:val="24"/>
                <w:szCs w:val="24"/>
                <w:vertAlign w:val="subscript"/>
              </w:rPr>
              <w:t>4</w:t>
            </w:r>
            <w:r>
              <w:rPr>
                <w:bCs/>
                <w:color w:val="auto"/>
                <w:sz w:val="24"/>
                <w:szCs w:val="24"/>
              </w:rPr>
              <w:t>)/1000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式中：Q——渗出水产生量（m</w:t>
            </w:r>
            <w:r>
              <w:rPr>
                <w:bCs/>
                <w:color w:val="auto"/>
                <w:sz w:val="24"/>
                <w:szCs w:val="24"/>
                <w:vertAlign w:val="superscript"/>
              </w:rPr>
              <w:t>3</w:t>
            </w:r>
            <w:r>
              <w:rPr>
                <w:bCs/>
                <w:color w:val="auto"/>
                <w:sz w:val="24"/>
                <w:szCs w:val="24"/>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I——降水量（mm/d），当计算最大日产生量时，取历史最大日降水量，取12.57mm/d；当计算日平均产生量时，去多年平均日降水量，取1.88mm/d；当计算污水逐月平均产生量时取多年逐月平均降雨量，取57.3mm/月；年均降雨量，取687.4mm/a。</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A</w:t>
            </w:r>
            <w:r>
              <w:rPr>
                <w:bCs/>
                <w:color w:val="auto"/>
                <w:sz w:val="24"/>
                <w:szCs w:val="24"/>
                <w:vertAlign w:val="subscript"/>
              </w:rPr>
              <w:t>1</w:t>
            </w:r>
            <w:r>
              <w:rPr>
                <w:bCs/>
                <w:color w:val="auto"/>
                <w:sz w:val="24"/>
                <w:szCs w:val="24"/>
              </w:rPr>
              <w:t>——正在堆填作业区汇水面积（m</w:t>
            </w:r>
            <w:r>
              <w:rPr>
                <w:bCs/>
                <w:color w:val="auto"/>
                <w:sz w:val="24"/>
                <w:szCs w:val="24"/>
                <w:vertAlign w:val="superscript"/>
              </w:rPr>
              <w:t>2</w:t>
            </w:r>
            <w:r>
              <w:rPr>
                <w:bCs/>
                <w:color w:val="auto"/>
                <w:sz w:val="24"/>
                <w:szCs w:val="24"/>
              </w:rPr>
              <w:t>），取125m</w:t>
            </w:r>
            <w:r>
              <w:rPr>
                <w:bCs/>
                <w:color w:val="auto"/>
                <w:sz w:val="24"/>
                <w:szCs w:val="24"/>
                <w:vertAlign w:val="superscript"/>
              </w:rPr>
              <w:t>2</w:t>
            </w:r>
            <w:r>
              <w:rPr>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C</w:t>
            </w:r>
            <w:r>
              <w:rPr>
                <w:bCs/>
                <w:color w:val="auto"/>
                <w:sz w:val="24"/>
                <w:szCs w:val="24"/>
                <w:vertAlign w:val="subscript"/>
              </w:rPr>
              <w:t>1</w:t>
            </w:r>
            <w:r>
              <w:rPr>
                <w:bCs/>
                <w:color w:val="auto"/>
                <w:sz w:val="24"/>
                <w:szCs w:val="24"/>
              </w:rPr>
              <w:t>——正在堆填作业区浸出系数，一般宜取0.4-1.0之间，本工程取0.6；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A</w:t>
            </w:r>
            <w:r>
              <w:rPr>
                <w:bCs/>
                <w:color w:val="auto"/>
                <w:sz w:val="24"/>
                <w:szCs w:val="24"/>
                <w:vertAlign w:val="subscript"/>
              </w:rPr>
              <w:t>2</w:t>
            </w:r>
            <w:r>
              <w:rPr>
                <w:bCs/>
                <w:color w:val="auto"/>
                <w:sz w:val="24"/>
                <w:szCs w:val="24"/>
              </w:rPr>
              <w:t>——已中间覆盖区汇水面积（m</w:t>
            </w:r>
            <w:r>
              <w:rPr>
                <w:bCs/>
                <w:color w:val="auto"/>
                <w:sz w:val="24"/>
                <w:szCs w:val="24"/>
                <w:vertAlign w:val="superscript"/>
              </w:rPr>
              <w:t>2</w:t>
            </w:r>
            <w:r>
              <w:rPr>
                <w:bCs/>
                <w:color w:val="auto"/>
                <w:sz w:val="24"/>
                <w:szCs w:val="24"/>
              </w:rPr>
              <w:t>），取1050m</w:t>
            </w:r>
            <w:r>
              <w:rPr>
                <w:bCs/>
                <w:color w:val="auto"/>
                <w:sz w:val="24"/>
                <w:szCs w:val="24"/>
                <w:vertAlign w:val="superscript"/>
              </w:rPr>
              <w:t>2</w:t>
            </w:r>
            <w:r>
              <w:rPr>
                <w:bCs/>
                <w:color w:val="auto"/>
                <w:sz w:val="24"/>
                <w:szCs w:val="24"/>
              </w:rPr>
              <w:t>（根据设计资料）；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C</w:t>
            </w:r>
            <w:r>
              <w:rPr>
                <w:bCs/>
                <w:color w:val="auto"/>
                <w:sz w:val="24"/>
                <w:szCs w:val="24"/>
                <w:vertAlign w:val="subscript"/>
              </w:rPr>
              <w:t>2</w:t>
            </w:r>
            <w:r>
              <w:rPr>
                <w:bCs/>
                <w:color w:val="auto"/>
                <w:sz w:val="24"/>
                <w:szCs w:val="24"/>
              </w:rPr>
              <w:t>——已中间覆盖区作业浸出系数，宜取0.4-0.6之间，取0.5；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A</w:t>
            </w:r>
            <w:r>
              <w:rPr>
                <w:bCs/>
                <w:color w:val="auto"/>
                <w:sz w:val="24"/>
                <w:szCs w:val="24"/>
                <w:vertAlign w:val="subscript"/>
              </w:rPr>
              <w:t>3</w:t>
            </w:r>
            <w:r>
              <w:rPr>
                <w:bCs/>
                <w:color w:val="auto"/>
                <w:sz w:val="24"/>
                <w:szCs w:val="24"/>
              </w:rPr>
              <w:t>——终场覆盖单元汇水面积（m</w:t>
            </w:r>
            <w:r>
              <w:rPr>
                <w:bCs/>
                <w:color w:val="auto"/>
                <w:sz w:val="24"/>
                <w:szCs w:val="24"/>
                <w:vertAlign w:val="superscript"/>
              </w:rPr>
              <w:t>2</w:t>
            </w:r>
            <w:r>
              <w:rPr>
                <w:bCs/>
                <w:color w:val="auto"/>
                <w:sz w:val="24"/>
                <w:szCs w:val="24"/>
              </w:rPr>
              <w:t>），取1200m</w:t>
            </w:r>
            <w:r>
              <w:rPr>
                <w:bCs/>
                <w:color w:val="auto"/>
                <w:sz w:val="24"/>
                <w:szCs w:val="24"/>
                <w:vertAlign w:val="superscript"/>
              </w:rPr>
              <w:t>2</w:t>
            </w:r>
            <w:r>
              <w:rPr>
                <w:bCs/>
                <w:color w:val="auto"/>
                <w:sz w:val="24"/>
                <w:szCs w:val="24"/>
              </w:rPr>
              <w:t>（根据设计资料）；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C</w:t>
            </w:r>
            <w:r>
              <w:rPr>
                <w:bCs/>
                <w:color w:val="auto"/>
                <w:sz w:val="24"/>
                <w:szCs w:val="24"/>
                <w:vertAlign w:val="subscript"/>
              </w:rPr>
              <w:t>3</w:t>
            </w:r>
            <w:r>
              <w:rPr>
                <w:bCs/>
                <w:color w:val="auto"/>
                <w:sz w:val="24"/>
                <w:szCs w:val="24"/>
              </w:rPr>
              <w:t>——终场覆盖单元浸出系数，一般取0.1-0.2，本工程取0.1；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A</w:t>
            </w:r>
            <w:r>
              <w:rPr>
                <w:bCs/>
                <w:color w:val="auto"/>
                <w:sz w:val="24"/>
                <w:szCs w:val="24"/>
                <w:vertAlign w:val="subscript"/>
              </w:rPr>
              <w:t>4</w:t>
            </w:r>
            <w:r>
              <w:rPr>
                <w:bCs/>
                <w:color w:val="auto"/>
                <w:sz w:val="24"/>
                <w:szCs w:val="24"/>
              </w:rPr>
              <w:t>——调节池汇水面积（m</w:t>
            </w:r>
            <w:r>
              <w:rPr>
                <w:bCs/>
                <w:color w:val="auto"/>
                <w:sz w:val="24"/>
                <w:szCs w:val="24"/>
                <w:vertAlign w:val="superscript"/>
              </w:rPr>
              <w:t>2</w:t>
            </w:r>
            <w:r>
              <w:rPr>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C</w:t>
            </w:r>
            <w:r>
              <w:rPr>
                <w:bCs/>
                <w:color w:val="auto"/>
                <w:sz w:val="24"/>
                <w:szCs w:val="24"/>
                <w:vertAlign w:val="subscript"/>
              </w:rPr>
              <w:t>4</w:t>
            </w:r>
            <w:r>
              <w:rPr>
                <w:bCs/>
                <w:color w:val="auto"/>
                <w:sz w:val="24"/>
                <w:szCs w:val="24"/>
              </w:rPr>
              <w:t>——渗出系数，取0或1（若调节池设置有覆盖系统取0，若调节池未设置覆盖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系统取1.0），本工程有覆盖系统取0。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综上，渗出水产生量见表4-8。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auto"/>
                <w:szCs w:val="21"/>
              </w:rPr>
            </w:pPr>
            <w:r>
              <w:rPr>
                <w:bCs/>
                <w:color w:val="auto"/>
                <w:szCs w:val="21"/>
              </w:rPr>
              <w:t>表4-8渗出水产生量表</w:t>
            </w:r>
          </w:p>
          <w:tbl>
            <w:tblPr>
              <w:tblStyle w:val="23"/>
              <w:tblW w:w="8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187"/>
              <w:gridCol w:w="2065"/>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187" w:type="dxa"/>
                  <w:vAlign w:val="center"/>
                </w:tcPr>
                <w:p>
                  <w:pPr>
                    <w:adjustRightInd w:val="0"/>
                    <w:snapToGrid w:val="0"/>
                    <w:jc w:val="center"/>
                    <w:rPr>
                      <w:bCs/>
                      <w:color w:val="auto"/>
                      <w:szCs w:val="21"/>
                    </w:rPr>
                  </w:pPr>
                  <w:r>
                    <w:rPr>
                      <w:bCs/>
                      <w:color w:val="auto"/>
                      <w:szCs w:val="21"/>
                    </w:rPr>
                    <w:t>最大日产生量（m</w:t>
                  </w:r>
                  <w:r>
                    <w:rPr>
                      <w:bCs/>
                      <w:color w:val="auto"/>
                      <w:szCs w:val="21"/>
                      <w:vertAlign w:val="superscript"/>
                    </w:rPr>
                    <w:t>3</w:t>
                  </w:r>
                  <w:r>
                    <w:rPr>
                      <w:bCs/>
                      <w:color w:val="auto"/>
                      <w:szCs w:val="21"/>
                    </w:rPr>
                    <w:t>/d）</w:t>
                  </w:r>
                </w:p>
              </w:tc>
              <w:tc>
                <w:tcPr>
                  <w:tcW w:w="2187" w:type="dxa"/>
                  <w:vAlign w:val="center"/>
                </w:tcPr>
                <w:p>
                  <w:pPr>
                    <w:adjustRightInd w:val="0"/>
                    <w:snapToGrid w:val="0"/>
                    <w:jc w:val="center"/>
                    <w:rPr>
                      <w:bCs/>
                      <w:color w:val="auto"/>
                      <w:szCs w:val="21"/>
                    </w:rPr>
                  </w:pPr>
                  <w:r>
                    <w:rPr>
                      <w:bCs/>
                      <w:color w:val="auto"/>
                      <w:szCs w:val="21"/>
                    </w:rPr>
                    <w:t>日平均产生量（m</w:t>
                  </w:r>
                  <w:r>
                    <w:rPr>
                      <w:bCs/>
                      <w:color w:val="auto"/>
                      <w:szCs w:val="21"/>
                      <w:vertAlign w:val="superscript"/>
                    </w:rPr>
                    <w:t>3</w:t>
                  </w:r>
                  <w:r>
                    <w:rPr>
                      <w:bCs/>
                      <w:color w:val="auto"/>
                      <w:szCs w:val="21"/>
                    </w:rPr>
                    <w:t>/d）</w:t>
                  </w:r>
                </w:p>
              </w:tc>
              <w:tc>
                <w:tcPr>
                  <w:tcW w:w="2065" w:type="dxa"/>
                  <w:vAlign w:val="center"/>
                </w:tcPr>
                <w:p>
                  <w:pPr>
                    <w:adjustRightInd w:val="0"/>
                    <w:snapToGrid w:val="0"/>
                    <w:jc w:val="center"/>
                    <w:rPr>
                      <w:bCs/>
                      <w:color w:val="auto"/>
                      <w:szCs w:val="21"/>
                    </w:rPr>
                  </w:pPr>
                  <w:r>
                    <w:rPr>
                      <w:bCs/>
                      <w:color w:val="auto"/>
                      <w:szCs w:val="21"/>
                    </w:rPr>
                    <w:t>逐月产生量（m</w:t>
                  </w:r>
                  <w:r>
                    <w:rPr>
                      <w:bCs/>
                      <w:color w:val="auto"/>
                      <w:szCs w:val="21"/>
                      <w:vertAlign w:val="superscript"/>
                    </w:rPr>
                    <w:t>3</w:t>
                  </w:r>
                  <w:r>
                    <w:rPr>
                      <w:bCs/>
                      <w:color w:val="auto"/>
                      <w:szCs w:val="21"/>
                    </w:rPr>
                    <w:t>/月）</w:t>
                  </w:r>
                </w:p>
              </w:tc>
              <w:tc>
                <w:tcPr>
                  <w:tcW w:w="1983" w:type="dxa"/>
                  <w:vAlign w:val="center"/>
                </w:tcPr>
                <w:p>
                  <w:pPr>
                    <w:adjustRightInd w:val="0"/>
                    <w:snapToGrid w:val="0"/>
                    <w:jc w:val="center"/>
                    <w:rPr>
                      <w:bCs/>
                      <w:color w:val="auto"/>
                      <w:szCs w:val="21"/>
                    </w:rPr>
                  </w:pPr>
                  <w:r>
                    <w:rPr>
                      <w:bCs/>
                      <w:color w:val="auto"/>
                      <w:szCs w:val="21"/>
                    </w:rPr>
                    <w:t>年均产生量（m</w:t>
                  </w:r>
                  <w:r>
                    <w:rPr>
                      <w:bCs/>
                      <w:color w:val="auto"/>
                      <w:szCs w:val="21"/>
                      <w:vertAlign w:val="superscript"/>
                    </w:rPr>
                    <w:t>3</w:t>
                  </w:r>
                  <w:r>
                    <w:rPr>
                      <w:bCs/>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187" w:type="dxa"/>
                  <w:vAlign w:val="center"/>
                </w:tcPr>
                <w:p>
                  <w:pPr>
                    <w:adjustRightInd w:val="0"/>
                    <w:snapToGrid w:val="0"/>
                    <w:jc w:val="center"/>
                    <w:rPr>
                      <w:bCs/>
                      <w:color w:val="auto"/>
                      <w:szCs w:val="21"/>
                    </w:rPr>
                  </w:pPr>
                  <w:r>
                    <w:rPr>
                      <w:bCs/>
                      <w:color w:val="auto"/>
                      <w:szCs w:val="21"/>
                    </w:rPr>
                    <w:t>9.05</w:t>
                  </w:r>
                </w:p>
              </w:tc>
              <w:tc>
                <w:tcPr>
                  <w:tcW w:w="2187" w:type="dxa"/>
                  <w:vAlign w:val="center"/>
                </w:tcPr>
                <w:p>
                  <w:pPr>
                    <w:adjustRightInd w:val="0"/>
                    <w:snapToGrid w:val="0"/>
                    <w:jc w:val="center"/>
                    <w:rPr>
                      <w:bCs/>
                      <w:color w:val="auto"/>
                      <w:szCs w:val="21"/>
                    </w:rPr>
                  </w:pPr>
                  <w:r>
                    <w:rPr>
                      <w:bCs/>
                      <w:color w:val="auto"/>
                      <w:szCs w:val="21"/>
                    </w:rPr>
                    <w:t>1.35</w:t>
                  </w:r>
                </w:p>
              </w:tc>
              <w:tc>
                <w:tcPr>
                  <w:tcW w:w="2065" w:type="dxa"/>
                  <w:vAlign w:val="center"/>
                </w:tcPr>
                <w:p>
                  <w:pPr>
                    <w:adjustRightInd w:val="0"/>
                    <w:snapToGrid w:val="0"/>
                    <w:jc w:val="center"/>
                    <w:rPr>
                      <w:bCs/>
                      <w:color w:val="auto"/>
                      <w:szCs w:val="21"/>
                    </w:rPr>
                  </w:pPr>
                  <w:r>
                    <w:rPr>
                      <w:bCs/>
                      <w:color w:val="auto"/>
                      <w:szCs w:val="21"/>
                    </w:rPr>
                    <w:t>41.26</w:t>
                  </w:r>
                </w:p>
              </w:tc>
              <w:tc>
                <w:tcPr>
                  <w:tcW w:w="1983" w:type="dxa"/>
                  <w:vAlign w:val="center"/>
                </w:tcPr>
                <w:p>
                  <w:pPr>
                    <w:adjustRightInd w:val="0"/>
                    <w:snapToGrid w:val="0"/>
                    <w:jc w:val="center"/>
                    <w:rPr>
                      <w:bCs/>
                      <w:color w:val="auto"/>
                      <w:szCs w:val="21"/>
                    </w:rPr>
                  </w:pPr>
                  <w:r>
                    <w:rPr>
                      <w:bCs/>
                      <w:color w:val="auto"/>
                      <w:szCs w:val="21"/>
                    </w:rPr>
                    <w:t>494.93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t>本</w:t>
            </w:r>
            <w:r>
              <w:rPr>
                <w:rFonts w:hint="eastAsia"/>
                <w:bCs/>
                <w:color w:val="auto"/>
                <w:sz w:val="24"/>
                <w:szCs w:val="24"/>
                <w:lang w:eastAsia="zh-CN"/>
              </w:rPr>
              <w:t>工程</w:t>
            </w:r>
            <w:r>
              <w:rPr>
                <w:bCs/>
                <w:color w:val="auto"/>
                <w:sz w:val="24"/>
                <w:szCs w:val="24"/>
              </w:rPr>
              <w:t>堆填区产生的渗出水中污染物主要为SS，SS浓度按400mg/L，则SS产生量约为0.198t/a，渗出水进入调节池经三级沉淀池后入清水池，然后回喷至堆填区洒水降尘。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color w:val="auto"/>
                <w:sz w:val="24"/>
                <w:szCs w:val="24"/>
              </w:rPr>
            </w:pPr>
            <w:r>
              <w:rPr>
                <w:bCs/>
                <w:color w:val="auto"/>
                <w:sz w:val="24"/>
                <w:szCs w:val="24"/>
              </w:rPr>
              <w:fldChar w:fldCharType="begin"/>
            </w:r>
            <w:r>
              <w:rPr>
                <w:bCs/>
                <w:color w:val="auto"/>
                <w:sz w:val="24"/>
                <w:szCs w:val="24"/>
              </w:rPr>
              <w:instrText xml:space="preserve"> = 3 \* GB3 </w:instrText>
            </w:r>
            <w:r>
              <w:rPr>
                <w:bCs/>
                <w:color w:val="auto"/>
                <w:sz w:val="24"/>
                <w:szCs w:val="24"/>
              </w:rPr>
              <w:fldChar w:fldCharType="separate"/>
            </w:r>
            <w:r>
              <w:rPr>
                <w:rFonts w:ascii="宋体"/>
                <w:bCs/>
                <w:color w:val="auto"/>
                <w:sz w:val="24"/>
                <w:szCs w:val="24"/>
              </w:rPr>
              <w:t>③</w:t>
            </w:r>
            <w:r>
              <w:rPr>
                <w:bCs/>
                <w:color w:val="auto"/>
                <w:sz w:val="24"/>
                <w:szCs w:val="24"/>
              </w:rPr>
              <w:fldChar w:fldCharType="end"/>
            </w:r>
            <w:r>
              <w:rPr>
                <w:bCs/>
                <w:color w:val="auto"/>
                <w:sz w:val="24"/>
                <w:szCs w:val="24"/>
              </w:rPr>
              <w:t>生活污水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bCs/>
                <w:color w:val="auto"/>
                <w:sz w:val="24"/>
                <w:szCs w:val="24"/>
              </w:rPr>
              <w:t>本</w:t>
            </w:r>
            <w:r>
              <w:rPr>
                <w:rFonts w:hint="eastAsia"/>
                <w:bCs/>
                <w:color w:val="auto"/>
                <w:sz w:val="24"/>
                <w:szCs w:val="24"/>
                <w:lang w:eastAsia="zh-CN"/>
              </w:rPr>
              <w:t>工程</w:t>
            </w:r>
            <w:r>
              <w:rPr>
                <w:color w:val="auto"/>
                <w:sz w:val="24"/>
                <w:szCs w:val="24"/>
              </w:rPr>
              <w:t>运营期职工3人，</w:t>
            </w:r>
            <w:r>
              <w:rPr>
                <w:rFonts w:hint="eastAsia"/>
                <w:color w:val="auto"/>
                <w:sz w:val="24"/>
                <w:szCs w:val="24"/>
                <w:lang w:eastAsia="zh-CN"/>
              </w:rPr>
              <w:t>场区内设有宿舍，不设食堂</w:t>
            </w:r>
            <w:r>
              <w:rPr>
                <w:color w:val="auto"/>
                <w:sz w:val="24"/>
                <w:szCs w:val="24"/>
              </w:rPr>
              <w:t>，生活用水参照《陕西省行业用水定额》（DB61/T943-2020）陕北农村居民生活用水，生活用水定额取“65L/人·d”，年工作365d，则生活用水量为71.18m</w:t>
            </w:r>
            <w:r>
              <w:rPr>
                <w:color w:val="auto"/>
                <w:sz w:val="24"/>
                <w:szCs w:val="24"/>
                <w:vertAlign w:val="superscript"/>
              </w:rPr>
              <w:t>3</w:t>
            </w:r>
            <w:r>
              <w:rPr>
                <w:color w:val="auto"/>
                <w:sz w:val="24"/>
                <w:szCs w:val="24"/>
              </w:rPr>
              <w:t>/a；污水产生量按用水量的80%计，则污水产生量为56.94m</w:t>
            </w:r>
            <w:r>
              <w:rPr>
                <w:color w:val="auto"/>
                <w:sz w:val="24"/>
                <w:szCs w:val="24"/>
                <w:vertAlign w:val="superscript"/>
              </w:rPr>
              <w:t>3</w:t>
            </w:r>
            <w:r>
              <w:rPr>
                <w:color w:val="auto"/>
                <w:sz w:val="24"/>
                <w:szCs w:val="24"/>
              </w:rPr>
              <w:t>/a。根据调查和类比监测，生活污水中COD污染物浓度为350mg/L，产生量约为0.020t/a；BOD</w:t>
            </w:r>
            <w:r>
              <w:rPr>
                <w:color w:val="auto"/>
                <w:sz w:val="24"/>
                <w:szCs w:val="24"/>
                <w:vertAlign w:val="subscript"/>
              </w:rPr>
              <w:t>5</w:t>
            </w:r>
            <w:r>
              <w:rPr>
                <w:color w:val="auto"/>
                <w:sz w:val="24"/>
                <w:szCs w:val="24"/>
              </w:rPr>
              <w:t>污染物浓度为150mg/L，产生量约为0.0085t/a；SS污染物浓度为250mg/L，产生量约为0.014t/a；氨氮污染物浓度为40mg/L，产生量约为0.0023t/a。生活污水经化粪池处理后，定期委托清掏</w:t>
            </w:r>
            <w:r>
              <w:rPr>
                <w:rFonts w:hint="eastAsia"/>
                <w:color w:val="auto"/>
                <w:sz w:val="24"/>
                <w:szCs w:val="24"/>
                <w:lang w:eastAsia="zh-CN"/>
              </w:rPr>
              <w:t>用于农田灌溉</w:t>
            </w:r>
            <w:r>
              <w:rPr>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auto"/>
                <w:sz w:val="24"/>
                <w:szCs w:val="24"/>
              </w:rPr>
            </w:pPr>
            <w:r>
              <w:rPr>
                <w:b/>
                <w:bCs/>
                <w:color w:val="auto"/>
                <w:sz w:val="24"/>
                <w:szCs w:val="24"/>
              </w:rPr>
              <w:t>（3）</w:t>
            </w:r>
            <w:r>
              <w:rPr>
                <w:b/>
                <w:color w:val="auto"/>
                <w:sz w:val="24"/>
                <w:szCs w:val="24"/>
              </w:rPr>
              <w:t>环境影响分析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本工程</w:t>
            </w:r>
            <w:r>
              <w:rPr>
                <w:bCs/>
                <w:color w:val="auto"/>
                <w:sz w:val="24"/>
                <w:szCs w:val="24"/>
              </w:rPr>
              <w:t>洗车废水经三级沉淀池处理后，循环使用，不外排；渗出水进入调节池经三级沉淀池后入清水池，然后回喷至堆填区洒水降尘；</w:t>
            </w:r>
            <w:r>
              <w:rPr>
                <w:color w:val="auto"/>
                <w:sz w:val="24"/>
                <w:szCs w:val="24"/>
              </w:rPr>
              <w:t>生活污水经化粪池处理后，定期委托清掏。所以本工程在运营期间产生废水对环境影响较小。</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b/>
                <w:color w:val="auto"/>
                <w:sz w:val="24"/>
                <w:szCs w:val="24"/>
              </w:rPr>
            </w:pPr>
            <w:r>
              <w:rPr>
                <w:b/>
                <w:color w:val="auto"/>
                <w:sz w:val="24"/>
                <w:szCs w:val="24"/>
              </w:rPr>
              <w:t>3、地下水影响分析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本工程为建筑垃圾堆填</w:t>
            </w:r>
            <w:r>
              <w:rPr>
                <w:rFonts w:hint="eastAsia"/>
                <w:color w:val="auto"/>
                <w:sz w:val="24"/>
                <w:szCs w:val="24"/>
                <w:lang w:eastAsia="zh-CN"/>
              </w:rPr>
              <w:t>工程</w:t>
            </w:r>
            <w:r>
              <w:rPr>
                <w:color w:val="auto"/>
                <w:sz w:val="24"/>
                <w:szCs w:val="24"/>
              </w:rPr>
              <w:t>，施工垃圾堆填区主要是处置一些工程渣土、混凝土、砖瓦、砂石块等建筑垃圾，渗出水主要污染物为SS，对地下水产生影响较小。</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b/>
                <w:color w:val="auto"/>
                <w:sz w:val="24"/>
                <w:szCs w:val="24"/>
              </w:rPr>
            </w:pPr>
            <w:r>
              <w:rPr>
                <w:b/>
                <w:color w:val="auto"/>
                <w:sz w:val="24"/>
                <w:szCs w:val="24"/>
              </w:rPr>
              <w:t>4、土壤影响分析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本工程为建筑垃圾堆填项目，施工垃圾堆填区主要是处置一些工程渣土、混凝土、砖瓦、砂石块等建筑垃圾，渗出水主要污染物为SS，对土壤产生影响较小。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bCs/>
                <w:color w:val="auto"/>
                <w:sz w:val="24"/>
                <w:szCs w:val="24"/>
              </w:rPr>
            </w:pPr>
            <w:r>
              <w:rPr>
                <w:b/>
                <w:bCs/>
                <w:color w:val="auto"/>
                <w:sz w:val="24"/>
                <w:szCs w:val="24"/>
              </w:rPr>
              <w:t>5、声</w:t>
            </w:r>
            <w:r>
              <w:rPr>
                <w:b/>
                <w:color w:val="auto"/>
                <w:sz w:val="24"/>
                <w:szCs w:val="24"/>
              </w:rPr>
              <w:t>环境影响分析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sz w:val="24"/>
                <w:szCs w:val="24"/>
              </w:rPr>
            </w:pPr>
            <w:r>
              <w:rPr>
                <w:color w:val="auto"/>
                <w:sz w:val="24"/>
                <w:szCs w:val="24"/>
              </w:rPr>
              <w:t>根据堆填场机械设备、运输设备种类及运行情况，堆填场作业区内设备噪声80dB(A)~85dB(A)之间。为降低噪声污染，对所选用设备噪声进行严格控制，并尽量避免机械空转。</w:t>
            </w:r>
            <w:r>
              <w:rPr>
                <w:rFonts w:hint="eastAsia"/>
                <w:color w:val="auto"/>
                <w:sz w:val="24"/>
                <w:szCs w:val="24"/>
                <w:lang w:eastAsia="zh-CN"/>
              </w:rPr>
              <w:t>工程</w:t>
            </w:r>
            <w:r>
              <w:rPr>
                <w:color w:val="auto"/>
                <w:sz w:val="24"/>
                <w:szCs w:val="24"/>
              </w:rPr>
              <w:t>主要噪声设备声级值见表4-9。</w:t>
            </w:r>
          </w:p>
          <w:p>
            <w:pPr>
              <w:pStyle w:val="54"/>
              <w:adjustRightInd w:val="0"/>
              <w:spacing w:line="240" w:lineRule="auto"/>
              <w:ind w:firstLine="0" w:firstLineChars="0"/>
              <w:jc w:val="center"/>
              <w:rPr>
                <w:rFonts w:ascii="Times New Roman" w:hAnsi="Times New Roman"/>
                <w:color w:val="auto"/>
                <w:sz w:val="21"/>
                <w:szCs w:val="16"/>
              </w:rPr>
            </w:pPr>
            <w:r>
              <w:rPr>
                <w:rFonts w:ascii="Times New Roman" w:hAnsi="Times New Roman"/>
                <w:color w:val="auto"/>
                <w:sz w:val="21"/>
                <w:szCs w:val="16"/>
              </w:rPr>
              <w:t>表4-9主要噪声源一览表</w:t>
            </w:r>
          </w:p>
          <w:tbl>
            <w:tblPr>
              <w:tblStyle w:val="23"/>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66"/>
              <w:gridCol w:w="1303"/>
              <w:gridCol w:w="951"/>
              <w:gridCol w:w="1463"/>
              <w:gridCol w:w="142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序号</w:t>
                  </w:r>
                </w:p>
              </w:tc>
              <w:tc>
                <w:tcPr>
                  <w:tcW w:w="1166"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位置</w:t>
                  </w:r>
                </w:p>
              </w:tc>
              <w:tc>
                <w:tcPr>
                  <w:tcW w:w="1303"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污染源</w:t>
                  </w:r>
                </w:p>
              </w:tc>
              <w:tc>
                <w:tcPr>
                  <w:tcW w:w="951"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数量</w:t>
                  </w:r>
                </w:p>
              </w:tc>
              <w:tc>
                <w:tcPr>
                  <w:tcW w:w="1463"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源强（dB（A））</w:t>
                  </w:r>
                </w:p>
              </w:tc>
              <w:tc>
                <w:tcPr>
                  <w:tcW w:w="1425"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降噪措施</w:t>
                  </w:r>
                </w:p>
              </w:tc>
              <w:tc>
                <w:tcPr>
                  <w:tcW w:w="1313"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pStyle w:val="52"/>
                    <w:rPr>
                      <w:rFonts w:ascii="Times New Roman" w:hAnsi="Times New Roman"/>
                      <w:b/>
                      <w:bCs/>
                      <w:color w:val="auto"/>
                      <w:kern w:val="2"/>
                      <w:szCs w:val="21"/>
                    </w:rPr>
                  </w:pPr>
                  <w:r>
                    <w:rPr>
                      <w:rFonts w:ascii="Times New Roman" w:hAnsi="Times New Roman"/>
                      <w:color w:val="auto"/>
                      <w:kern w:val="2"/>
                      <w:szCs w:val="21"/>
                    </w:rPr>
                    <w:t>1</w:t>
                  </w:r>
                </w:p>
              </w:tc>
              <w:tc>
                <w:tcPr>
                  <w:tcW w:w="1166" w:type="dxa"/>
                  <w:vMerge w:val="restart"/>
                  <w:vAlign w:val="center"/>
                </w:tcPr>
                <w:p>
                  <w:pPr>
                    <w:pStyle w:val="52"/>
                    <w:rPr>
                      <w:rFonts w:ascii="Times New Roman" w:hAnsi="Times New Roman"/>
                      <w:color w:val="auto"/>
                      <w:kern w:val="2"/>
                      <w:szCs w:val="21"/>
                    </w:rPr>
                  </w:pPr>
                  <w:r>
                    <w:rPr>
                      <w:rFonts w:ascii="Times New Roman" w:hAnsi="Times New Roman"/>
                      <w:color w:val="auto"/>
                      <w:kern w:val="2"/>
                      <w:szCs w:val="21"/>
                    </w:rPr>
                    <w:t>堆填区</w:t>
                  </w:r>
                </w:p>
              </w:tc>
              <w:tc>
                <w:tcPr>
                  <w:tcW w:w="1303" w:type="dxa"/>
                  <w:vAlign w:val="center"/>
                </w:tcPr>
                <w:p>
                  <w:pPr>
                    <w:pStyle w:val="52"/>
                    <w:rPr>
                      <w:rFonts w:ascii="Times New Roman" w:hAnsi="Times New Roman"/>
                      <w:color w:val="auto"/>
                      <w:kern w:val="2"/>
                      <w:szCs w:val="21"/>
                    </w:rPr>
                  </w:pPr>
                  <w:r>
                    <w:rPr>
                      <w:rFonts w:ascii="Times New Roman" w:hAnsi="Times New Roman"/>
                      <w:color w:val="auto"/>
                      <w:kern w:val="2"/>
                      <w:szCs w:val="21"/>
                    </w:rPr>
                    <w:t>推土机</w:t>
                  </w:r>
                </w:p>
              </w:tc>
              <w:tc>
                <w:tcPr>
                  <w:tcW w:w="951" w:type="dxa"/>
                  <w:vAlign w:val="center"/>
                </w:tcPr>
                <w:p>
                  <w:pPr>
                    <w:pStyle w:val="53"/>
                    <w:rPr>
                      <w:color w:val="auto"/>
                      <w:szCs w:val="21"/>
                    </w:rPr>
                  </w:pPr>
                  <w:r>
                    <w:rPr>
                      <w:color w:val="auto"/>
                      <w:szCs w:val="21"/>
                    </w:rPr>
                    <w:t>1台</w:t>
                  </w:r>
                </w:p>
              </w:tc>
              <w:tc>
                <w:tcPr>
                  <w:tcW w:w="1463" w:type="dxa"/>
                  <w:vAlign w:val="center"/>
                </w:tcPr>
                <w:p>
                  <w:pPr>
                    <w:pStyle w:val="53"/>
                    <w:rPr>
                      <w:color w:val="auto"/>
                      <w:szCs w:val="21"/>
                    </w:rPr>
                  </w:pPr>
                  <w:r>
                    <w:rPr>
                      <w:color w:val="auto"/>
                      <w:szCs w:val="21"/>
                    </w:rPr>
                    <w:t>85</w:t>
                  </w:r>
                </w:p>
              </w:tc>
              <w:tc>
                <w:tcPr>
                  <w:tcW w:w="1425" w:type="dxa"/>
                  <w:vMerge w:val="restart"/>
                  <w:vAlign w:val="center"/>
                </w:tcPr>
                <w:p>
                  <w:pPr>
                    <w:pStyle w:val="52"/>
                    <w:rPr>
                      <w:rFonts w:ascii="Times New Roman" w:hAnsi="Times New Roman"/>
                      <w:color w:val="auto"/>
                      <w:kern w:val="2"/>
                      <w:szCs w:val="21"/>
                    </w:rPr>
                  </w:pPr>
                  <w:r>
                    <w:rPr>
                      <w:rFonts w:ascii="Times New Roman" w:hAnsi="Times New Roman"/>
                      <w:color w:val="auto"/>
                      <w:szCs w:val="21"/>
                    </w:rPr>
                    <w:t>购置低噪声设备，设备定期检修</w:t>
                  </w:r>
                </w:p>
              </w:tc>
              <w:tc>
                <w:tcPr>
                  <w:tcW w:w="1313" w:type="dxa"/>
                  <w:vAlign w:val="center"/>
                </w:tcPr>
                <w:p>
                  <w:pPr>
                    <w:jc w:val="center"/>
                    <w:rPr>
                      <w:color w:val="auto"/>
                    </w:rPr>
                  </w:pPr>
                  <w:r>
                    <w:rPr>
                      <w:color w:val="auto"/>
                      <w:szCs w:val="21"/>
                    </w:rPr>
                    <w:t>移动源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pStyle w:val="52"/>
                    <w:rPr>
                      <w:rFonts w:ascii="Times New Roman" w:hAnsi="Times New Roman"/>
                      <w:bCs/>
                      <w:color w:val="auto"/>
                      <w:kern w:val="2"/>
                      <w:szCs w:val="21"/>
                    </w:rPr>
                  </w:pPr>
                  <w:r>
                    <w:rPr>
                      <w:rFonts w:ascii="Times New Roman" w:hAnsi="Times New Roman"/>
                      <w:bCs/>
                      <w:color w:val="auto"/>
                      <w:kern w:val="2"/>
                      <w:szCs w:val="21"/>
                    </w:rPr>
                    <w:t>2</w:t>
                  </w:r>
                </w:p>
              </w:tc>
              <w:tc>
                <w:tcPr>
                  <w:tcW w:w="1166" w:type="dxa"/>
                  <w:vMerge w:val="continue"/>
                  <w:vAlign w:val="center"/>
                </w:tcPr>
                <w:p>
                  <w:pPr>
                    <w:pStyle w:val="52"/>
                    <w:rPr>
                      <w:rFonts w:ascii="Times New Roman" w:hAnsi="Times New Roman"/>
                      <w:color w:val="auto"/>
                      <w:kern w:val="2"/>
                      <w:szCs w:val="21"/>
                    </w:rPr>
                  </w:pPr>
                </w:p>
              </w:tc>
              <w:tc>
                <w:tcPr>
                  <w:tcW w:w="1303" w:type="dxa"/>
                  <w:vAlign w:val="center"/>
                </w:tcPr>
                <w:p>
                  <w:pPr>
                    <w:pStyle w:val="52"/>
                    <w:rPr>
                      <w:rFonts w:ascii="Times New Roman" w:hAnsi="Times New Roman"/>
                      <w:color w:val="auto"/>
                      <w:kern w:val="2"/>
                      <w:szCs w:val="21"/>
                    </w:rPr>
                  </w:pPr>
                  <w:r>
                    <w:rPr>
                      <w:rFonts w:ascii="Times New Roman" w:hAnsi="Times New Roman"/>
                      <w:color w:val="auto"/>
                      <w:kern w:val="2"/>
                      <w:szCs w:val="21"/>
                    </w:rPr>
                    <w:t>压路机</w:t>
                  </w:r>
                </w:p>
              </w:tc>
              <w:tc>
                <w:tcPr>
                  <w:tcW w:w="951" w:type="dxa"/>
                  <w:vAlign w:val="center"/>
                </w:tcPr>
                <w:p>
                  <w:pPr>
                    <w:pStyle w:val="53"/>
                    <w:rPr>
                      <w:color w:val="auto"/>
                      <w:szCs w:val="21"/>
                    </w:rPr>
                  </w:pPr>
                  <w:r>
                    <w:rPr>
                      <w:color w:val="auto"/>
                      <w:szCs w:val="21"/>
                    </w:rPr>
                    <w:t>1台</w:t>
                  </w:r>
                </w:p>
              </w:tc>
              <w:tc>
                <w:tcPr>
                  <w:tcW w:w="1463" w:type="dxa"/>
                  <w:vAlign w:val="center"/>
                </w:tcPr>
                <w:p>
                  <w:pPr>
                    <w:pStyle w:val="53"/>
                    <w:rPr>
                      <w:color w:val="auto"/>
                      <w:szCs w:val="21"/>
                    </w:rPr>
                  </w:pPr>
                  <w:r>
                    <w:rPr>
                      <w:color w:val="auto"/>
                      <w:szCs w:val="21"/>
                    </w:rPr>
                    <w:t>85</w:t>
                  </w:r>
                </w:p>
              </w:tc>
              <w:tc>
                <w:tcPr>
                  <w:tcW w:w="1425" w:type="dxa"/>
                  <w:vMerge w:val="continue"/>
                  <w:vAlign w:val="center"/>
                </w:tcPr>
                <w:p>
                  <w:pPr>
                    <w:pStyle w:val="52"/>
                    <w:rPr>
                      <w:rFonts w:ascii="Times New Roman" w:hAnsi="Times New Roman"/>
                      <w:color w:val="auto"/>
                      <w:kern w:val="2"/>
                      <w:szCs w:val="21"/>
                    </w:rPr>
                  </w:pPr>
                </w:p>
              </w:tc>
              <w:tc>
                <w:tcPr>
                  <w:tcW w:w="1313" w:type="dxa"/>
                  <w:vAlign w:val="center"/>
                </w:tcPr>
                <w:p>
                  <w:pPr>
                    <w:jc w:val="center"/>
                    <w:rPr>
                      <w:color w:val="auto"/>
                    </w:rPr>
                  </w:pPr>
                  <w:r>
                    <w:rPr>
                      <w:color w:val="auto"/>
                      <w:szCs w:val="21"/>
                    </w:rPr>
                    <w:t>移动源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pStyle w:val="52"/>
                    <w:rPr>
                      <w:rFonts w:ascii="Times New Roman" w:hAnsi="Times New Roman"/>
                      <w:b/>
                      <w:bCs/>
                      <w:color w:val="auto"/>
                      <w:kern w:val="2"/>
                      <w:szCs w:val="21"/>
                    </w:rPr>
                  </w:pPr>
                  <w:r>
                    <w:rPr>
                      <w:rFonts w:ascii="Times New Roman" w:hAnsi="Times New Roman"/>
                      <w:color w:val="auto"/>
                      <w:kern w:val="2"/>
                      <w:szCs w:val="21"/>
                    </w:rPr>
                    <w:t>3</w:t>
                  </w:r>
                </w:p>
              </w:tc>
              <w:tc>
                <w:tcPr>
                  <w:tcW w:w="1166" w:type="dxa"/>
                  <w:vMerge w:val="continue"/>
                  <w:vAlign w:val="center"/>
                </w:tcPr>
                <w:p>
                  <w:pPr>
                    <w:pStyle w:val="52"/>
                    <w:rPr>
                      <w:rFonts w:ascii="Times New Roman" w:hAnsi="Times New Roman"/>
                      <w:color w:val="auto"/>
                      <w:kern w:val="2"/>
                      <w:szCs w:val="21"/>
                    </w:rPr>
                  </w:pPr>
                </w:p>
              </w:tc>
              <w:tc>
                <w:tcPr>
                  <w:tcW w:w="1303" w:type="dxa"/>
                  <w:vAlign w:val="center"/>
                </w:tcPr>
                <w:p>
                  <w:pPr>
                    <w:pStyle w:val="52"/>
                    <w:rPr>
                      <w:rFonts w:ascii="Times New Roman" w:hAnsi="Times New Roman"/>
                      <w:color w:val="auto"/>
                      <w:kern w:val="2"/>
                      <w:szCs w:val="21"/>
                    </w:rPr>
                  </w:pPr>
                  <w:r>
                    <w:rPr>
                      <w:rFonts w:ascii="Times New Roman" w:hAnsi="Times New Roman"/>
                      <w:color w:val="auto"/>
                      <w:kern w:val="2"/>
                      <w:szCs w:val="21"/>
                    </w:rPr>
                    <w:t>自卸汽车</w:t>
                  </w:r>
                </w:p>
              </w:tc>
              <w:tc>
                <w:tcPr>
                  <w:tcW w:w="951" w:type="dxa"/>
                  <w:vAlign w:val="center"/>
                </w:tcPr>
                <w:p>
                  <w:pPr>
                    <w:pStyle w:val="53"/>
                    <w:rPr>
                      <w:color w:val="auto"/>
                      <w:szCs w:val="21"/>
                    </w:rPr>
                  </w:pPr>
                  <w:r>
                    <w:rPr>
                      <w:color w:val="auto"/>
                      <w:szCs w:val="21"/>
                    </w:rPr>
                    <w:t>1辆</w:t>
                  </w:r>
                </w:p>
              </w:tc>
              <w:tc>
                <w:tcPr>
                  <w:tcW w:w="1463" w:type="dxa"/>
                  <w:vAlign w:val="center"/>
                </w:tcPr>
                <w:p>
                  <w:pPr>
                    <w:pStyle w:val="53"/>
                    <w:rPr>
                      <w:color w:val="auto"/>
                      <w:szCs w:val="21"/>
                    </w:rPr>
                  </w:pPr>
                  <w:r>
                    <w:rPr>
                      <w:color w:val="auto"/>
                      <w:szCs w:val="21"/>
                    </w:rPr>
                    <w:t>80</w:t>
                  </w:r>
                </w:p>
              </w:tc>
              <w:tc>
                <w:tcPr>
                  <w:tcW w:w="1425" w:type="dxa"/>
                  <w:vMerge w:val="continue"/>
                  <w:vAlign w:val="center"/>
                </w:tcPr>
                <w:p>
                  <w:pPr>
                    <w:pStyle w:val="52"/>
                    <w:rPr>
                      <w:rFonts w:ascii="Times New Roman" w:hAnsi="Times New Roman"/>
                      <w:color w:val="auto"/>
                      <w:kern w:val="2"/>
                      <w:szCs w:val="21"/>
                    </w:rPr>
                  </w:pPr>
                </w:p>
              </w:tc>
              <w:tc>
                <w:tcPr>
                  <w:tcW w:w="1313" w:type="dxa"/>
                  <w:vAlign w:val="center"/>
                </w:tcPr>
                <w:p>
                  <w:pPr>
                    <w:jc w:val="center"/>
                    <w:rPr>
                      <w:color w:val="auto"/>
                    </w:rPr>
                  </w:pPr>
                  <w:r>
                    <w:rPr>
                      <w:color w:val="auto"/>
                      <w:szCs w:val="21"/>
                    </w:rPr>
                    <w:t>移动源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pStyle w:val="52"/>
                    <w:rPr>
                      <w:rFonts w:ascii="Times New Roman" w:hAnsi="Times New Roman"/>
                      <w:color w:val="auto"/>
                      <w:kern w:val="2"/>
                      <w:szCs w:val="21"/>
                    </w:rPr>
                  </w:pPr>
                  <w:r>
                    <w:rPr>
                      <w:rFonts w:ascii="Times New Roman" w:hAnsi="Times New Roman"/>
                      <w:color w:val="auto"/>
                      <w:kern w:val="2"/>
                      <w:szCs w:val="21"/>
                    </w:rPr>
                    <w:t>4</w:t>
                  </w:r>
                </w:p>
              </w:tc>
              <w:tc>
                <w:tcPr>
                  <w:tcW w:w="1166" w:type="dxa"/>
                  <w:vMerge w:val="continue"/>
                  <w:vAlign w:val="center"/>
                </w:tcPr>
                <w:p>
                  <w:pPr>
                    <w:pStyle w:val="52"/>
                    <w:rPr>
                      <w:rFonts w:ascii="Times New Roman" w:hAnsi="Times New Roman"/>
                      <w:color w:val="auto"/>
                      <w:kern w:val="2"/>
                      <w:szCs w:val="21"/>
                    </w:rPr>
                  </w:pPr>
                </w:p>
              </w:tc>
              <w:tc>
                <w:tcPr>
                  <w:tcW w:w="1303" w:type="dxa"/>
                  <w:vAlign w:val="center"/>
                </w:tcPr>
                <w:p>
                  <w:pPr>
                    <w:adjustRightInd w:val="0"/>
                    <w:snapToGrid w:val="0"/>
                    <w:jc w:val="center"/>
                    <w:rPr>
                      <w:color w:val="auto"/>
                      <w:szCs w:val="21"/>
                    </w:rPr>
                  </w:pPr>
                  <w:r>
                    <w:rPr>
                      <w:color w:val="auto"/>
                      <w:szCs w:val="21"/>
                    </w:rPr>
                    <w:t>洒水多用车</w:t>
                  </w:r>
                </w:p>
              </w:tc>
              <w:tc>
                <w:tcPr>
                  <w:tcW w:w="951" w:type="dxa"/>
                  <w:vAlign w:val="center"/>
                </w:tcPr>
                <w:p>
                  <w:pPr>
                    <w:pStyle w:val="52"/>
                    <w:rPr>
                      <w:rFonts w:ascii="Times New Roman" w:hAnsi="Times New Roman"/>
                      <w:color w:val="auto"/>
                      <w:szCs w:val="21"/>
                    </w:rPr>
                  </w:pPr>
                  <w:r>
                    <w:rPr>
                      <w:rFonts w:ascii="Times New Roman" w:hAnsi="Times New Roman"/>
                      <w:color w:val="auto"/>
                      <w:szCs w:val="21"/>
                    </w:rPr>
                    <w:t>1辆</w:t>
                  </w:r>
                </w:p>
              </w:tc>
              <w:tc>
                <w:tcPr>
                  <w:tcW w:w="1463" w:type="dxa"/>
                  <w:vAlign w:val="center"/>
                </w:tcPr>
                <w:p>
                  <w:pPr>
                    <w:pStyle w:val="52"/>
                    <w:rPr>
                      <w:rFonts w:ascii="Times New Roman" w:hAnsi="Times New Roman"/>
                      <w:color w:val="auto"/>
                      <w:szCs w:val="21"/>
                    </w:rPr>
                  </w:pPr>
                  <w:r>
                    <w:rPr>
                      <w:rFonts w:ascii="Times New Roman" w:hAnsi="Times New Roman"/>
                      <w:color w:val="auto"/>
                      <w:kern w:val="2"/>
                      <w:szCs w:val="21"/>
                    </w:rPr>
                    <w:t>85</w:t>
                  </w:r>
                </w:p>
              </w:tc>
              <w:tc>
                <w:tcPr>
                  <w:tcW w:w="1425" w:type="dxa"/>
                  <w:vMerge w:val="continue"/>
                  <w:vAlign w:val="center"/>
                </w:tcPr>
                <w:p>
                  <w:pPr>
                    <w:pStyle w:val="52"/>
                    <w:rPr>
                      <w:rFonts w:ascii="Times New Roman" w:hAnsi="Times New Roman"/>
                      <w:color w:val="auto"/>
                      <w:kern w:val="2"/>
                      <w:szCs w:val="21"/>
                    </w:rPr>
                  </w:pPr>
                </w:p>
              </w:tc>
              <w:tc>
                <w:tcPr>
                  <w:tcW w:w="1313" w:type="dxa"/>
                  <w:vAlign w:val="center"/>
                </w:tcPr>
                <w:p>
                  <w:pPr>
                    <w:jc w:val="center"/>
                    <w:rPr>
                      <w:color w:val="auto"/>
                    </w:rPr>
                  </w:pPr>
                  <w:r>
                    <w:rPr>
                      <w:color w:val="auto"/>
                      <w:szCs w:val="21"/>
                    </w:rPr>
                    <w:t>移动源</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ascii="宋体"/>
                <w:color w:val="auto"/>
                <w:sz w:val="24"/>
                <w:szCs w:val="24"/>
              </w:rPr>
              <w:t>①</w:t>
            </w:r>
            <w:r>
              <w:rPr>
                <w:rFonts w:ascii="宋体"/>
                <w:color w:val="auto"/>
                <w:sz w:val="24"/>
                <w:szCs w:val="24"/>
              </w:rPr>
              <w:fldChar w:fldCharType="end"/>
            </w:r>
            <w:r>
              <w:rPr>
                <w:color w:val="auto"/>
                <w:sz w:val="24"/>
                <w:szCs w:val="24"/>
              </w:rPr>
              <w:t>运用几何衰减点声源预测模式预测本</w:t>
            </w:r>
            <w:r>
              <w:rPr>
                <w:rFonts w:hint="eastAsia"/>
                <w:color w:val="auto"/>
                <w:sz w:val="24"/>
                <w:szCs w:val="24"/>
                <w:lang w:eastAsia="zh-CN"/>
              </w:rPr>
              <w:t>工程</w:t>
            </w:r>
            <w:r>
              <w:rPr>
                <w:color w:val="auto"/>
                <w:sz w:val="24"/>
                <w:szCs w:val="24"/>
              </w:rPr>
              <w:t>建成运行后，各设备噪声对场界的影响程度。点源预测模式如下：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color w:val="auto"/>
                <w:sz w:val="24"/>
                <w:szCs w:val="24"/>
              </w:rPr>
            </w:pPr>
            <w:r>
              <w:rPr>
                <w:color w:val="auto"/>
                <w:sz w:val="24"/>
                <w:szCs w:val="24"/>
              </w:rPr>
              <w:drawing>
                <wp:inline distT="0" distB="0" distL="0" distR="0">
                  <wp:extent cx="2105025" cy="695325"/>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srcRect/>
                          <a:stretch>
                            <a:fillRect/>
                          </a:stretch>
                        </pic:blipFill>
                        <pic:spPr>
                          <a:xfrm>
                            <a:off x="0" y="0"/>
                            <a:ext cx="2105025" cy="69532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式中：r</w:t>
            </w:r>
            <w:r>
              <w:rPr>
                <w:color w:val="auto"/>
                <w:sz w:val="24"/>
                <w:szCs w:val="24"/>
                <w:vertAlign w:val="subscript"/>
              </w:rPr>
              <w:t>0</w:t>
            </w:r>
            <w:r>
              <w:rPr>
                <w:color w:val="auto"/>
                <w:sz w:val="24"/>
                <w:szCs w:val="24"/>
              </w:rPr>
              <w:t>、r——参考点、预测点距声源的距离，m；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L</w:t>
            </w:r>
            <w:r>
              <w:rPr>
                <w:color w:val="auto"/>
                <w:sz w:val="24"/>
                <w:szCs w:val="24"/>
                <w:vertAlign w:val="subscript"/>
              </w:rPr>
              <w:t>A(r)</w:t>
            </w:r>
            <w:r>
              <w:rPr>
                <w:color w:val="auto"/>
                <w:sz w:val="24"/>
                <w:szCs w:val="24"/>
              </w:rPr>
              <w:t>——预测点的噪声A声级，dB(A)；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L</w:t>
            </w:r>
            <w:r>
              <w:rPr>
                <w:color w:val="auto"/>
                <w:sz w:val="24"/>
                <w:szCs w:val="24"/>
                <w:vertAlign w:val="subscript"/>
              </w:rPr>
              <w:t>A(r0)</w:t>
            </w:r>
            <w:r>
              <w:rPr>
                <w:color w:val="auto"/>
                <w:sz w:val="24"/>
                <w:szCs w:val="24"/>
              </w:rPr>
              <w:t>——参考点r0处的噪声A声级，dB(A)。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ascii="宋体"/>
                <w:color w:val="auto"/>
                <w:sz w:val="24"/>
                <w:szCs w:val="24"/>
              </w:rPr>
              <w:t>②</w:t>
            </w:r>
            <w:r>
              <w:rPr>
                <w:color w:val="auto"/>
                <w:sz w:val="24"/>
                <w:szCs w:val="24"/>
              </w:rPr>
              <w:fldChar w:fldCharType="end"/>
            </w:r>
            <w:r>
              <w:rPr>
                <w:color w:val="auto"/>
                <w:sz w:val="24"/>
                <w:szCs w:val="24"/>
              </w:rPr>
              <w:t>噪声叠加公式：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color w:val="auto"/>
                <w:sz w:val="24"/>
                <w:szCs w:val="24"/>
              </w:rPr>
            </w:pPr>
            <w:r>
              <w:rPr>
                <w:color w:val="auto"/>
                <w:sz w:val="24"/>
                <w:szCs w:val="24"/>
              </w:rPr>
              <w:object>
                <v:shape id="_x0000_i1025" o:spt="75" type="#_x0000_t75" style="height:37.35pt;width:115.45pt;" o:ole="t" filled="f" o:preferrelative="t" stroked="f" coordsize="21600,21600">
                  <v:path/>
                  <v:fill on="f" focussize="0,0"/>
                  <v:stroke on="f" joinstyle="miter"/>
                  <v:imagedata r:id="rId16" o:title=""/>
                  <o:lock v:ext="edit" aspectratio="t"/>
                  <w10:wrap type="none"/>
                  <w10:anchorlock/>
                </v:shape>
                <o:OLEObject Type="Embed" ProgID="Equations" ShapeID="_x0000_i1025" DrawAspect="Content" ObjectID="_1468075725" r:id="rId1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式中：</w:t>
            </w:r>
            <w:r>
              <w:rPr>
                <w:color w:val="auto"/>
                <w:sz w:val="24"/>
                <w:szCs w:val="24"/>
              </w:rPr>
              <w:object>
                <v:shape id="_x0000_i1026" o:spt="75" type="#_x0000_t75" style="height:17.65pt;width:17.65pt;" o:ole="t" filled="f" o:preferrelative="t" stroked="f" coordsize="21600,21600">
                  <v:path/>
                  <v:fill on="f" focussize="0,0"/>
                  <v:stroke on="f" joinstyle="miter"/>
                  <v:imagedata r:id="rId18" o:title=""/>
                  <o:lock v:ext="edit" aspectratio="t"/>
                  <w10:wrap type="none"/>
                  <w10:anchorlock/>
                </v:shape>
                <o:OLEObject Type="Embed" ProgID="Equations" ShapeID="_x0000_i1026" DrawAspect="Content" ObjectID="_1468075726" r:id="rId17">
                  <o:LockedField>false</o:LockedField>
                </o:OLEObject>
              </w:object>
            </w:r>
            <w:r>
              <w:rPr>
                <w:color w:val="auto"/>
                <w:sz w:val="24"/>
                <w:szCs w:val="24"/>
              </w:rPr>
              <w:t>——预测点处的等效声级，dB(A)；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object>
                <v:shape id="_x0000_i1027" o:spt="75" type="#_x0000_t75" style="height:17.65pt;width:17.65pt;" o:ole="t" filled="f" o:preferrelative="t" stroked="f" coordsize="21600,21600">
                  <v:path/>
                  <v:fill on="f" focussize="0,0"/>
                  <v:stroke on="f" joinstyle="miter"/>
                  <v:imagedata r:id="rId20" o:title=""/>
                  <o:lock v:ext="edit" aspectratio="t"/>
                  <w10:wrap type="none"/>
                  <w10:anchorlock/>
                </v:shape>
                <o:OLEObject Type="Embed" ProgID="Equations" ShapeID="_x0000_i1027" DrawAspect="Content" ObjectID="_1468075727" r:id="rId19">
                  <o:LockedField>false</o:LockedField>
                </o:OLEObject>
              </w:object>
            </w:r>
            <w:r>
              <w:rPr>
                <w:color w:val="auto"/>
                <w:sz w:val="24"/>
                <w:szCs w:val="24"/>
              </w:rPr>
              <w:t>——第</w:t>
            </w:r>
            <w:r>
              <w:rPr>
                <w:color w:val="auto"/>
                <w:sz w:val="24"/>
                <w:szCs w:val="24"/>
              </w:rPr>
              <w:object>
                <v:shape id="_x0000_i1028" o:spt="75" type="#_x0000_t75" style="height:12.25pt;width:6.1pt;" o:ole="t" filled="f" o:preferrelative="t" stroked="f" coordsize="21600,21600">
                  <v:path/>
                  <v:fill on="f" focussize="0,0"/>
                  <v:stroke on="f" joinstyle="miter"/>
                  <v:imagedata r:id="rId22" o:title=""/>
                  <o:lock v:ext="edit" aspectratio="t"/>
                  <w10:wrap type="none"/>
                  <w10:anchorlock/>
                </v:shape>
                <o:OLEObject Type="Embed" ProgID="Equations" ShapeID="_x0000_i1028" DrawAspect="Content" ObjectID="_1468075728" r:id="rId21">
                  <o:LockedField>false</o:LockedField>
                </o:OLEObject>
              </w:object>
            </w:r>
            <w:r>
              <w:rPr>
                <w:color w:val="auto"/>
                <w:sz w:val="24"/>
                <w:szCs w:val="24"/>
              </w:rPr>
              <w:t>个点声源对预测点的等效声级，dB(A)。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（3）预测结果与评价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ascii="宋体"/>
                <w:color w:val="auto"/>
                <w:sz w:val="24"/>
                <w:szCs w:val="24"/>
              </w:rPr>
              <w:t>①</w:t>
            </w:r>
            <w:r>
              <w:rPr>
                <w:rFonts w:ascii="宋体"/>
                <w:color w:val="auto"/>
                <w:sz w:val="24"/>
                <w:szCs w:val="24"/>
              </w:rPr>
              <w:fldChar w:fldCharType="end"/>
            </w:r>
            <w:r>
              <w:rPr>
                <w:color w:val="auto"/>
                <w:sz w:val="24"/>
                <w:szCs w:val="24"/>
              </w:rPr>
              <w:t>本工程场地噪声贡献值预测结果与评价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本工程场地噪声贡献值预测结果见表4-10。</w:t>
            </w:r>
          </w:p>
          <w:p>
            <w:pPr>
              <w:ind w:firstLine="1995" w:firstLineChars="950"/>
              <w:jc w:val="left"/>
              <w:rPr>
                <w:color w:val="auto"/>
              </w:rPr>
            </w:pPr>
            <w:r>
              <w:rPr>
                <w:color w:val="auto"/>
              </w:rPr>
              <w:t>表4-10距声源不同距离处的噪声值单位：dB(A)</w:t>
            </w:r>
          </w:p>
          <w:tbl>
            <w:tblPr>
              <w:tblStyle w:val="23"/>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59"/>
              <w:gridCol w:w="587"/>
              <w:gridCol w:w="587"/>
              <w:gridCol w:w="587"/>
              <w:gridCol w:w="587"/>
              <w:gridCol w:w="692"/>
              <w:gridCol w:w="692"/>
              <w:gridCol w:w="692"/>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Align w:val="center"/>
                </w:tcPr>
                <w:p>
                  <w:pPr>
                    <w:spacing w:line="360" w:lineRule="auto"/>
                    <w:jc w:val="center"/>
                    <w:rPr>
                      <w:color w:val="auto"/>
                      <w:szCs w:val="21"/>
                    </w:rPr>
                  </w:pPr>
                  <w:r>
                    <w:rPr>
                      <w:bCs/>
                      <w:color w:val="auto"/>
                      <w:szCs w:val="21"/>
                    </w:rPr>
                    <w:t>污染源</w:t>
                  </w:r>
                </w:p>
              </w:tc>
              <w:tc>
                <w:tcPr>
                  <w:tcW w:w="1759" w:type="dxa"/>
                  <w:vAlign w:val="center"/>
                </w:tcPr>
                <w:p>
                  <w:pPr>
                    <w:jc w:val="center"/>
                    <w:rPr>
                      <w:color w:val="auto"/>
                      <w:szCs w:val="21"/>
                    </w:rPr>
                  </w:pPr>
                  <w:r>
                    <w:rPr>
                      <w:bCs/>
                      <w:color w:val="auto"/>
                      <w:szCs w:val="21"/>
                    </w:rPr>
                    <w:t>源强（dB（A））</w:t>
                  </w:r>
                </w:p>
              </w:tc>
              <w:tc>
                <w:tcPr>
                  <w:tcW w:w="587" w:type="dxa"/>
                  <w:vAlign w:val="center"/>
                </w:tcPr>
                <w:p>
                  <w:pPr>
                    <w:jc w:val="center"/>
                    <w:rPr>
                      <w:color w:val="auto"/>
                      <w:szCs w:val="21"/>
                    </w:rPr>
                  </w:pPr>
                  <w:r>
                    <w:rPr>
                      <w:color w:val="auto"/>
                      <w:szCs w:val="21"/>
                    </w:rPr>
                    <w:t>10m</w:t>
                  </w:r>
                </w:p>
              </w:tc>
              <w:tc>
                <w:tcPr>
                  <w:tcW w:w="587" w:type="dxa"/>
                  <w:vAlign w:val="center"/>
                </w:tcPr>
                <w:p>
                  <w:pPr>
                    <w:jc w:val="center"/>
                    <w:rPr>
                      <w:color w:val="auto"/>
                      <w:szCs w:val="21"/>
                    </w:rPr>
                  </w:pPr>
                  <w:r>
                    <w:rPr>
                      <w:color w:val="auto"/>
                      <w:szCs w:val="21"/>
                    </w:rPr>
                    <w:t>20m</w:t>
                  </w:r>
                </w:p>
              </w:tc>
              <w:tc>
                <w:tcPr>
                  <w:tcW w:w="587" w:type="dxa"/>
                  <w:vAlign w:val="center"/>
                </w:tcPr>
                <w:p>
                  <w:pPr>
                    <w:jc w:val="center"/>
                    <w:rPr>
                      <w:color w:val="auto"/>
                      <w:szCs w:val="21"/>
                    </w:rPr>
                  </w:pPr>
                  <w:r>
                    <w:rPr>
                      <w:color w:val="auto"/>
                      <w:szCs w:val="21"/>
                    </w:rPr>
                    <w:t>30m</w:t>
                  </w:r>
                </w:p>
              </w:tc>
              <w:tc>
                <w:tcPr>
                  <w:tcW w:w="587" w:type="dxa"/>
                  <w:vAlign w:val="center"/>
                </w:tcPr>
                <w:p>
                  <w:pPr>
                    <w:jc w:val="center"/>
                    <w:rPr>
                      <w:color w:val="auto"/>
                      <w:szCs w:val="21"/>
                    </w:rPr>
                  </w:pPr>
                  <w:r>
                    <w:rPr>
                      <w:color w:val="auto"/>
                      <w:szCs w:val="21"/>
                    </w:rPr>
                    <w:t>50m</w:t>
                  </w:r>
                </w:p>
              </w:tc>
              <w:tc>
                <w:tcPr>
                  <w:tcW w:w="692" w:type="dxa"/>
                  <w:vAlign w:val="center"/>
                </w:tcPr>
                <w:p>
                  <w:pPr>
                    <w:jc w:val="center"/>
                    <w:rPr>
                      <w:color w:val="auto"/>
                      <w:szCs w:val="21"/>
                    </w:rPr>
                  </w:pPr>
                  <w:r>
                    <w:rPr>
                      <w:color w:val="auto"/>
                      <w:szCs w:val="21"/>
                    </w:rPr>
                    <w:t>70m</w:t>
                  </w:r>
                </w:p>
              </w:tc>
              <w:tc>
                <w:tcPr>
                  <w:tcW w:w="692" w:type="dxa"/>
                  <w:vAlign w:val="center"/>
                </w:tcPr>
                <w:p>
                  <w:pPr>
                    <w:jc w:val="center"/>
                    <w:rPr>
                      <w:color w:val="auto"/>
                      <w:szCs w:val="21"/>
                    </w:rPr>
                  </w:pPr>
                  <w:r>
                    <w:rPr>
                      <w:color w:val="auto"/>
                      <w:szCs w:val="21"/>
                    </w:rPr>
                    <w:t>100m</w:t>
                  </w:r>
                </w:p>
              </w:tc>
              <w:tc>
                <w:tcPr>
                  <w:tcW w:w="692" w:type="dxa"/>
                  <w:vAlign w:val="center"/>
                </w:tcPr>
                <w:p>
                  <w:pPr>
                    <w:jc w:val="center"/>
                    <w:rPr>
                      <w:color w:val="auto"/>
                      <w:szCs w:val="21"/>
                    </w:rPr>
                  </w:pPr>
                  <w:r>
                    <w:rPr>
                      <w:color w:val="auto"/>
                      <w:szCs w:val="21"/>
                    </w:rPr>
                    <w:t>150m</w:t>
                  </w:r>
                </w:p>
              </w:tc>
              <w:tc>
                <w:tcPr>
                  <w:tcW w:w="693" w:type="dxa"/>
                  <w:vAlign w:val="center"/>
                </w:tcPr>
                <w:p>
                  <w:pPr>
                    <w:jc w:val="center"/>
                    <w:rPr>
                      <w:color w:val="auto"/>
                      <w:szCs w:val="21"/>
                    </w:rPr>
                  </w:pPr>
                  <w:r>
                    <w:rPr>
                      <w:color w:val="auto"/>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Align w:val="center"/>
                </w:tcPr>
                <w:p>
                  <w:pPr>
                    <w:pStyle w:val="52"/>
                    <w:rPr>
                      <w:rFonts w:ascii="Times New Roman" w:hAnsi="Times New Roman"/>
                      <w:color w:val="auto"/>
                      <w:kern w:val="2"/>
                      <w:szCs w:val="21"/>
                    </w:rPr>
                  </w:pPr>
                  <w:r>
                    <w:rPr>
                      <w:rFonts w:ascii="Times New Roman" w:hAnsi="Times New Roman"/>
                      <w:color w:val="auto"/>
                      <w:kern w:val="2"/>
                      <w:szCs w:val="21"/>
                    </w:rPr>
                    <w:t>推土机</w:t>
                  </w:r>
                </w:p>
              </w:tc>
              <w:tc>
                <w:tcPr>
                  <w:tcW w:w="1759" w:type="dxa"/>
                  <w:vAlign w:val="center"/>
                </w:tcPr>
                <w:p>
                  <w:pPr>
                    <w:jc w:val="center"/>
                    <w:rPr>
                      <w:color w:val="auto"/>
                      <w:szCs w:val="21"/>
                    </w:rPr>
                  </w:pPr>
                  <w:r>
                    <w:rPr>
                      <w:color w:val="auto"/>
                      <w:szCs w:val="21"/>
                    </w:rPr>
                    <w:t>85</w:t>
                  </w:r>
                </w:p>
              </w:tc>
              <w:tc>
                <w:tcPr>
                  <w:tcW w:w="587" w:type="dxa"/>
                  <w:vAlign w:val="center"/>
                </w:tcPr>
                <w:p>
                  <w:pPr>
                    <w:jc w:val="center"/>
                    <w:rPr>
                      <w:color w:val="auto"/>
                      <w:sz w:val="22"/>
                      <w:szCs w:val="22"/>
                    </w:rPr>
                  </w:pPr>
                  <w:r>
                    <w:rPr>
                      <w:color w:val="auto"/>
                      <w:sz w:val="22"/>
                      <w:szCs w:val="22"/>
                    </w:rPr>
                    <w:t>63</w:t>
                  </w:r>
                </w:p>
              </w:tc>
              <w:tc>
                <w:tcPr>
                  <w:tcW w:w="587" w:type="dxa"/>
                  <w:vAlign w:val="center"/>
                </w:tcPr>
                <w:p>
                  <w:pPr>
                    <w:jc w:val="center"/>
                    <w:rPr>
                      <w:color w:val="auto"/>
                      <w:sz w:val="22"/>
                      <w:szCs w:val="22"/>
                    </w:rPr>
                  </w:pPr>
                  <w:r>
                    <w:rPr>
                      <w:color w:val="auto"/>
                      <w:sz w:val="22"/>
                      <w:szCs w:val="22"/>
                    </w:rPr>
                    <w:t>59</w:t>
                  </w:r>
                </w:p>
              </w:tc>
              <w:tc>
                <w:tcPr>
                  <w:tcW w:w="587" w:type="dxa"/>
                  <w:vAlign w:val="center"/>
                </w:tcPr>
                <w:p>
                  <w:pPr>
                    <w:jc w:val="center"/>
                    <w:rPr>
                      <w:color w:val="auto"/>
                      <w:szCs w:val="21"/>
                    </w:rPr>
                  </w:pPr>
                  <w:r>
                    <w:rPr>
                      <w:color w:val="auto"/>
                      <w:szCs w:val="21"/>
                    </w:rPr>
                    <w:t>55</w:t>
                  </w:r>
                </w:p>
              </w:tc>
              <w:tc>
                <w:tcPr>
                  <w:tcW w:w="587" w:type="dxa"/>
                  <w:vAlign w:val="center"/>
                </w:tcPr>
                <w:p>
                  <w:pPr>
                    <w:jc w:val="center"/>
                    <w:rPr>
                      <w:color w:val="auto"/>
                      <w:szCs w:val="21"/>
                    </w:rPr>
                  </w:pPr>
                  <w:r>
                    <w:rPr>
                      <w:color w:val="auto"/>
                      <w:szCs w:val="21"/>
                    </w:rPr>
                    <w:t>51</w:t>
                  </w:r>
                </w:p>
              </w:tc>
              <w:tc>
                <w:tcPr>
                  <w:tcW w:w="692" w:type="dxa"/>
                  <w:vAlign w:val="center"/>
                </w:tcPr>
                <w:p>
                  <w:pPr>
                    <w:jc w:val="center"/>
                    <w:rPr>
                      <w:color w:val="auto"/>
                      <w:szCs w:val="21"/>
                    </w:rPr>
                  </w:pPr>
                  <w:r>
                    <w:rPr>
                      <w:color w:val="auto"/>
                      <w:szCs w:val="21"/>
                    </w:rPr>
                    <w:t>48</w:t>
                  </w:r>
                </w:p>
              </w:tc>
              <w:tc>
                <w:tcPr>
                  <w:tcW w:w="692" w:type="dxa"/>
                  <w:vAlign w:val="center"/>
                </w:tcPr>
                <w:p>
                  <w:pPr>
                    <w:jc w:val="center"/>
                    <w:rPr>
                      <w:color w:val="auto"/>
                      <w:szCs w:val="21"/>
                    </w:rPr>
                  </w:pPr>
                  <w:r>
                    <w:rPr>
                      <w:color w:val="auto"/>
                      <w:szCs w:val="21"/>
                    </w:rPr>
                    <w:t>45</w:t>
                  </w:r>
                </w:p>
              </w:tc>
              <w:tc>
                <w:tcPr>
                  <w:tcW w:w="692" w:type="dxa"/>
                  <w:vAlign w:val="center"/>
                </w:tcPr>
                <w:p>
                  <w:pPr>
                    <w:jc w:val="center"/>
                    <w:rPr>
                      <w:color w:val="auto"/>
                      <w:szCs w:val="21"/>
                    </w:rPr>
                  </w:pPr>
                  <w:r>
                    <w:rPr>
                      <w:color w:val="auto"/>
                      <w:szCs w:val="21"/>
                    </w:rPr>
                    <w:t>41</w:t>
                  </w:r>
                </w:p>
              </w:tc>
              <w:tc>
                <w:tcPr>
                  <w:tcW w:w="693" w:type="dxa"/>
                  <w:vAlign w:val="center"/>
                </w:tcPr>
                <w:p>
                  <w:pPr>
                    <w:jc w:val="center"/>
                    <w:rPr>
                      <w:color w:val="auto"/>
                      <w:szCs w:val="21"/>
                    </w:rPr>
                  </w:pPr>
                  <w:r>
                    <w:rPr>
                      <w:color w:val="auto"/>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Align w:val="center"/>
                </w:tcPr>
                <w:p>
                  <w:pPr>
                    <w:pStyle w:val="52"/>
                    <w:rPr>
                      <w:rFonts w:ascii="Times New Roman" w:hAnsi="Times New Roman"/>
                      <w:color w:val="auto"/>
                      <w:kern w:val="2"/>
                      <w:szCs w:val="21"/>
                    </w:rPr>
                  </w:pPr>
                  <w:r>
                    <w:rPr>
                      <w:rFonts w:ascii="Times New Roman" w:hAnsi="Times New Roman"/>
                      <w:color w:val="auto"/>
                      <w:kern w:val="2"/>
                      <w:szCs w:val="21"/>
                    </w:rPr>
                    <w:t>压路机</w:t>
                  </w:r>
                </w:p>
              </w:tc>
              <w:tc>
                <w:tcPr>
                  <w:tcW w:w="1759" w:type="dxa"/>
                  <w:vAlign w:val="center"/>
                </w:tcPr>
                <w:p>
                  <w:pPr>
                    <w:jc w:val="center"/>
                    <w:rPr>
                      <w:color w:val="auto"/>
                      <w:szCs w:val="21"/>
                    </w:rPr>
                  </w:pPr>
                  <w:r>
                    <w:rPr>
                      <w:color w:val="auto"/>
                      <w:szCs w:val="21"/>
                    </w:rPr>
                    <w:t>85</w:t>
                  </w:r>
                </w:p>
              </w:tc>
              <w:tc>
                <w:tcPr>
                  <w:tcW w:w="587" w:type="dxa"/>
                  <w:vAlign w:val="center"/>
                </w:tcPr>
                <w:p>
                  <w:pPr>
                    <w:jc w:val="center"/>
                    <w:rPr>
                      <w:color w:val="auto"/>
                      <w:sz w:val="22"/>
                      <w:szCs w:val="22"/>
                    </w:rPr>
                  </w:pPr>
                  <w:r>
                    <w:rPr>
                      <w:color w:val="auto"/>
                      <w:sz w:val="22"/>
                      <w:szCs w:val="22"/>
                    </w:rPr>
                    <w:t>63</w:t>
                  </w:r>
                </w:p>
              </w:tc>
              <w:tc>
                <w:tcPr>
                  <w:tcW w:w="587" w:type="dxa"/>
                  <w:vAlign w:val="center"/>
                </w:tcPr>
                <w:p>
                  <w:pPr>
                    <w:jc w:val="center"/>
                    <w:rPr>
                      <w:color w:val="auto"/>
                      <w:sz w:val="22"/>
                      <w:szCs w:val="22"/>
                    </w:rPr>
                  </w:pPr>
                  <w:r>
                    <w:rPr>
                      <w:color w:val="auto"/>
                      <w:sz w:val="22"/>
                      <w:szCs w:val="22"/>
                    </w:rPr>
                    <w:t>59</w:t>
                  </w:r>
                </w:p>
              </w:tc>
              <w:tc>
                <w:tcPr>
                  <w:tcW w:w="587" w:type="dxa"/>
                  <w:vAlign w:val="center"/>
                </w:tcPr>
                <w:p>
                  <w:pPr>
                    <w:jc w:val="center"/>
                    <w:rPr>
                      <w:color w:val="auto"/>
                      <w:szCs w:val="21"/>
                    </w:rPr>
                  </w:pPr>
                  <w:r>
                    <w:rPr>
                      <w:color w:val="auto"/>
                      <w:szCs w:val="21"/>
                    </w:rPr>
                    <w:t>55</w:t>
                  </w:r>
                </w:p>
              </w:tc>
              <w:tc>
                <w:tcPr>
                  <w:tcW w:w="587" w:type="dxa"/>
                  <w:vAlign w:val="center"/>
                </w:tcPr>
                <w:p>
                  <w:pPr>
                    <w:jc w:val="center"/>
                    <w:rPr>
                      <w:color w:val="auto"/>
                      <w:szCs w:val="21"/>
                    </w:rPr>
                  </w:pPr>
                  <w:r>
                    <w:rPr>
                      <w:color w:val="auto"/>
                      <w:szCs w:val="21"/>
                    </w:rPr>
                    <w:t>51</w:t>
                  </w:r>
                </w:p>
              </w:tc>
              <w:tc>
                <w:tcPr>
                  <w:tcW w:w="692" w:type="dxa"/>
                  <w:vAlign w:val="center"/>
                </w:tcPr>
                <w:p>
                  <w:pPr>
                    <w:jc w:val="center"/>
                    <w:rPr>
                      <w:color w:val="auto"/>
                      <w:szCs w:val="21"/>
                    </w:rPr>
                  </w:pPr>
                  <w:r>
                    <w:rPr>
                      <w:color w:val="auto"/>
                      <w:szCs w:val="21"/>
                    </w:rPr>
                    <w:t>48</w:t>
                  </w:r>
                </w:p>
              </w:tc>
              <w:tc>
                <w:tcPr>
                  <w:tcW w:w="692" w:type="dxa"/>
                  <w:vAlign w:val="center"/>
                </w:tcPr>
                <w:p>
                  <w:pPr>
                    <w:jc w:val="center"/>
                    <w:rPr>
                      <w:color w:val="auto"/>
                      <w:szCs w:val="21"/>
                    </w:rPr>
                  </w:pPr>
                  <w:r>
                    <w:rPr>
                      <w:color w:val="auto"/>
                      <w:szCs w:val="21"/>
                    </w:rPr>
                    <w:t>45</w:t>
                  </w:r>
                </w:p>
              </w:tc>
              <w:tc>
                <w:tcPr>
                  <w:tcW w:w="692" w:type="dxa"/>
                  <w:vAlign w:val="center"/>
                </w:tcPr>
                <w:p>
                  <w:pPr>
                    <w:jc w:val="center"/>
                    <w:rPr>
                      <w:color w:val="auto"/>
                      <w:szCs w:val="21"/>
                    </w:rPr>
                  </w:pPr>
                  <w:r>
                    <w:rPr>
                      <w:color w:val="auto"/>
                      <w:szCs w:val="21"/>
                    </w:rPr>
                    <w:t>41</w:t>
                  </w:r>
                </w:p>
              </w:tc>
              <w:tc>
                <w:tcPr>
                  <w:tcW w:w="693" w:type="dxa"/>
                  <w:vAlign w:val="center"/>
                </w:tcPr>
                <w:p>
                  <w:pPr>
                    <w:jc w:val="center"/>
                    <w:rPr>
                      <w:color w:val="auto"/>
                      <w:szCs w:val="21"/>
                    </w:rPr>
                  </w:pPr>
                  <w:r>
                    <w:rPr>
                      <w:color w:val="auto"/>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Align w:val="center"/>
                </w:tcPr>
                <w:p>
                  <w:pPr>
                    <w:pStyle w:val="52"/>
                    <w:rPr>
                      <w:rFonts w:ascii="Times New Roman" w:hAnsi="Times New Roman"/>
                      <w:color w:val="auto"/>
                      <w:kern w:val="2"/>
                      <w:szCs w:val="21"/>
                    </w:rPr>
                  </w:pPr>
                  <w:r>
                    <w:rPr>
                      <w:rFonts w:ascii="Times New Roman" w:hAnsi="Times New Roman"/>
                      <w:color w:val="auto"/>
                      <w:kern w:val="2"/>
                      <w:szCs w:val="21"/>
                    </w:rPr>
                    <w:t>自卸汽车</w:t>
                  </w:r>
                </w:p>
              </w:tc>
              <w:tc>
                <w:tcPr>
                  <w:tcW w:w="1759" w:type="dxa"/>
                  <w:vAlign w:val="center"/>
                </w:tcPr>
                <w:p>
                  <w:pPr>
                    <w:jc w:val="center"/>
                    <w:rPr>
                      <w:color w:val="auto"/>
                      <w:szCs w:val="21"/>
                    </w:rPr>
                  </w:pPr>
                  <w:r>
                    <w:rPr>
                      <w:color w:val="auto"/>
                      <w:szCs w:val="21"/>
                    </w:rPr>
                    <w:t>80</w:t>
                  </w:r>
                </w:p>
              </w:tc>
              <w:tc>
                <w:tcPr>
                  <w:tcW w:w="587" w:type="dxa"/>
                  <w:vAlign w:val="center"/>
                </w:tcPr>
                <w:p>
                  <w:pPr>
                    <w:jc w:val="center"/>
                    <w:rPr>
                      <w:color w:val="auto"/>
                      <w:sz w:val="22"/>
                      <w:szCs w:val="22"/>
                    </w:rPr>
                  </w:pPr>
                  <w:r>
                    <w:rPr>
                      <w:color w:val="auto"/>
                      <w:sz w:val="22"/>
                      <w:szCs w:val="22"/>
                    </w:rPr>
                    <w:t>58</w:t>
                  </w:r>
                </w:p>
              </w:tc>
              <w:tc>
                <w:tcPr>
                  <w:tcW w:w="587" w:type="dxa"/>
                  <w:vAlign w:val="center"/>
                </w:tcPr>
                <w:p>
                  <w:pPr>
                    <w:jc w:val="center"/>
                    <w:rPr>
                      <w:color w:val="auto"/>
                      <w:sz w:val="22"/>
                      <w:szCs w:val="22"/>
                    </w:rPr>
                  </w:pPr>
                  <w:r>
                    <w:rPr>
                      <w:color w:val="auto"/>
                      <w:sz w:val="22"/>
                      <w:szCs w:val="22"/>
                    </w:rPr>
                    <w:t>54</w:t>
                  </w:r>
                </w:p>
              </w:tc>
              <w:tc>
                <w:tcPr>
                  <w:tcW w:w="587" w:type="dxa"/>
                  <w:vAlign w:val="center"/>
                </w:tcPr>
                <w:p>
                  <w:pPr>
                    <w:jc w:val="center"/>
                    <w:rPr>
                      <w:color w:val="auto"/>
                      <w:szCs w:val="21"/>
                    </w:rPr>
                  </w:pPr>
                  <w:r>
                    <w:rPr>
                      <w:color w:val="auto"/>
                      <w:szCs w:val="21"/>
                    </w:rPr>
                    <w:t>50</w:t>
                  </w:r>
                </w:p>
              </w:tc>
              <w:tc>
                <w:tcPr>
                  <w:tcW w:w="587" w:type="dxa"/>
                  <w:vAlign w:val="center"/>
                </w:tcPr>
                <w:p>
                  <w:pPr>
                    <w:jc w:val="center"/>
                    <w:rPr>
                      <w:color w:val="auto"/>
                      <w:szCs w:val="21"/>
                    </w:rPr>
                  </w:pPr>
                  <w:r>
                    <w:rPr>
                      <w:color w:val="auto"/>
                      <w:szCs w:val="21"/>
                    </w:rPr>
                    <w:t>46</w:t>
                  </w:r>
                </w:p>
              </w:tc>
              <w:tc>
                <w:tcPr>
                  <w:tcW w:w="692" w:type="dxa"/>
                  <w:vAlign w:val="center"/>
                </w:tcPr>
                <w:p>
                  <w:pPr>
                    <w:jc w:val="center"/>
                    <w:rPr>
                      <w:color w:val="auto"/>
                      <w:szCs w:val="21"/>
                    </w:rPr>
                  </w:pPr>
                  <w:r>
                    <w:rPr>
                      <w:color w:val="auto"/>
                      <w:szCs w:val="21"/>
                    </w:rPr>
                    <w:t>43</w:t>
                  </w:r>
                </w:p>
              </w:tc>
              <w:tc>
                <w:tcPr>
                  <w:tcW w:w="692" w:type="dxa"/>
                  <w:vAlign w:val="center"/>
                </w:tcPr>
                <w:p>
                  <w:pPr>
                    <w:jc w:val="center"/>
                    <w:rPr>
                      <w:color w:val="auto"/>
                      <w:szCs w:val="21"/>
                    </w:rPr>
                  </w:pPr>
                  <w:r>
                    <w:rPr>
                      <w:color w:val="auto"/>
                      <w:szCs w:val="21"/>
                    </w:rPr>
                    <w:t>40</w:t>
                  </w:r>
                </w:p>
              </w:tc>
              <w:tc>
                <w:tcPr>
                  <w:tcW w:w="692" w:type="dxa"/>
                  <w:vAlign w:val="center"/>
                </w:tcPr>
                <w:p>
                  <w:pPr>
                    <w:jc w:val="center"/>
                    <w:rPr>
                      <w:color w:val="auto"/>
                      <w:szCs w:val="21"/>
                    </w:rPr>
                  </w:pPr>
                  <w:r>
                    <w:rPr>
                      <w:color w:val="auto"/>
                      <w:szCs w:val="21"/>
                    </w:rPr>
                    <w:t>36</w:t>
                  </w:r>
                </w:p>
              </w:tc>
              <w:tc>
                <w:tcPr>
                  <w:tcW w:w="693" w:type="dxa"/>
                  <w:vAlign w:val="center"/>
                </w:tcPr>
                <w:p>
                  <w:pPr>
                    <w:jc w:val="center"/>
                    <w:rPr>
                      <w:color w:val="auto"/>
                      <w:szCs w:val="21"/>
                    </w:rPr>
                  </w:pPr>
                  <w:r>
                    <w:rPr>
                      <w:color w:val="auto"/>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Align w:val="center"/>
                </w:tcPr>
                <w:p>
                  <w:pPr>
                    <w:adjustRightInd w:val="0"/>
                    <w:snapToGrid w:val="0"/>
                    <w:jc w:val="center"/>
                    <w:rPr>
                      <w:color w:val="auto"/>
                      <w:szCs w:val="21"/>
                    </w:rPr>
                  </w:pPr>
                  <w:r>
                    <w:rPr>
                      <w:color w:val="auto"/>
                      <w:szCs w:val="21"/>
                    </w:rPr>
                    <w:t>洒水多用车</w:t>
                  </w:r>
                </w:p>
              </w:tc>
              <w:tc>
                <w:tcPr>
                  <w:tcW w:w="1759" w:type="dxa"/>
                  <w:vAlign w:val="center"/>
                </w:tcPr>
                <w:p>
                  <w:pPr>
                    <w:jc w:val="center"/>
                    <w:rPr>
                      <w:color w:val="auto"/>
                      <w:szCs w:val="21"/>
                    </w:rPr>
                  </w:pPr>
                  <w:r>
                    <w:rPr>
                      <w:color w:val="auto"/>
                      <w:szCs w:val="21"/>
                    </w:rPr>
                    <w:t>85</w:t>
                  </w:r>
                </w:p>
              </w:tc>
              <w:tc>
                <w:tcPr>
                  <w:tcW w:w="587" w:type="dxa"/>
                  <w:vAlign w:val="center"/>
                </w:tcPr>
                <w:p>
                  <w:pPr>
                    <w:jc w:val="center"/>
                    <w:rPr>
                      <w:color w:val="auto"/>
                      <w:sz w:val="22"/>
                      <w:szCs w:val="22"/>
                    </w:rPr>
                  </w:pPr>
                  <w:r>
                    <w:rPr>
                      <w:color w:val="auto"/>
                      <w:sz w:val="22"/>
                      <w:szCs w:val="22"/>
                    </w:rPr>
                    <w:t>63</w:t>
                  </w:r>
                </w:p>
              </w:tc>
              <w:tc>
                <w:tcPr>
                  <w:tcW w:w="587" w:type="dxa"/>
                  <w:vAlign w:val="center"/>
                </w:tcPr>
                <w:p>
                  <w:pPr>
                    <w:jc w:val="center"/>
                    <w:rPr>
                      <w:color w:val="auto"/>
                      <w:sz w:val="22"/>
                      <w:szCs w:val="22"/>
                    </w:rPr>
                  </w:pPr>
                  <w:r>
                    <w:rPr>
                      <w:color w:val="auto"/>
                      <w:sz w:val="22"/>
                      <w:szCs w:val="22"/>
                    </w:rPr>
                    <w:t>59</w:t>
                  </w:r>
                </w:p>
              </w:tc>
              <w:tc>
                <w:tcPr>
                  <w:tcW w:w="587" w:type="dxa"/>
                  <w:vAlign w:val="center"/>
                </w:tcPr>
                <w:p>
                  <w:pPr>
                    <w:jc w:val="center"/>
                    <w:rPr>
                      <w:color w:val="auto"/>
                      <w:szCs w:val="21"/>
                    </w:rPr>
                  </w:pPr>
                  <w:r>
                    <w:rPr>
                      <w:color w:val="auto"/>
                      <w:szCs w:val="21"/>
                    </w:rPr>
                    <w:t>50</w:t>
                  </w:r>
                </w:p>
              </w:tc>
              <w:tc>
                <w:tcPr>
                  <w:tcW w:w="587" w:type="dxa"/>
                  <w:vAlign w:val="center"/>
                </w:tcPr>
                <w:p>
                  <w:pPr>
                    <w:jc w:val="center"/>
                    <w:rPr>
                      <w:color w:val="auto"/>
                      <w:szCs w:val="21"/>
                    </w:rPr>
                  </w:pPr>
                  <w:r>
                    <w:rPr>
                      <w:color w:val="auto"/>
                      <w:szCs w:val="21"/>
                    </w:rPr>
                    <w:t>51</w:t>
                  </w:r>
                </w:p>
              </w:tc>
              <w:tc>
                <w:tcPr>
                  <w:tcW w:w="692" w:type="dxa"/>
                  <w:vAlign w:val="center"/>
                </w:tcPr>
                <w:p>
                  <w:pPr>
                    <w:jc w:val="center"/>
                    <w:rPr>
                      <w:color w:val="auto"/>
                      <w:szCs w:val="21"/>
                    </w:rPr>
                  </w:pPr>
                  <w:r>
                    <w:rPr>
                      <w:color w:val="auto"/>
                      <w:szCs w:val="21"/>
                    </w:rPr>
                    <w:t>48</w:t>
                  </w:r>
                </w:p>
              </w:tc>
              <w:tc>
                <w:tcPr>
                  <w:tcW w:w="692" w:type="dxa"/>
                  <w:vAlign w:val="center"/>
                </w:tcPr>
                <w:p>
                  <w:pPr>
                    <w:jc w:val="center"/>
                    <w:rPr>
                      <w:color w:val="auto"/>
                      <w:szCs w:val="21"/>
                    </w:rPr>
                  </w:pPr>
                  <w:r>
                    <w:rPr>
                      <w:color w:val="auto"/>
                      <w:szCs w:val="21"/>
                    </w:rPr>
                    <w:t>45</w:t>
                  </w:r>
                </w:p>
              </w:tc>
              <w:tc>
                <w:tcPr>
                  <w:tcW w:w="692" w:type="dxa"/>
                  <w:vAlign w:val="center"/>
                </w:tcPr>
                <w:p>
                  <w:pPr>
                    <w:jc w:val="center"/>
                    <w:rPr>
                      <w:color w:val="auto"/>
                      <w:szCs w:val="21"/>
                    </w:rPr>
                  </w:pPr>
                  <w:r>
                    <w:rPr>
                      <w:color w:val="auto"/>
                      <w:szCs w:val="21"/>
                    </w:rPr>
                    <w:t>41</w:t>
                  </w:r>
                </w:p>
              </w:tc>
              <w:tc>
                <w:tcPr>
                  <w:tcW w:w="693" w:type="dxa"/>
                  <w:vAlign w:val="center"/>
                </w:tcPr>
                <w:p>
                  <w:pPr>
                    <w:jc w:val="center"/>
                    <w:rPr>
                      <w:color w:val="auto"/>
                      <w:szCs w:val="21"/>
                    </w:rPr>
                  </w:pPr>
                  <w:r>
                    <w:rPr>
                      <w:color w:val="auto"/>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gridSpan w:val="2"/>
                  <w:vAlign w:val="center"/>
                </w:tcPr>
                <w:p>
                  <w:pPr>
                    <w:jc w:val="center"/>
                    <w:rPr>
                      <w:color w:val="auto"/>
                      <w:szCs w:val="21"/>
                    </w:rPr>
                  </w:pPr>
                  <w:r>
                    <w:rPr>
                      <w:color w:val="auto"/>
                      <w:szCs w:val="21"/>
                    </w:rPr>
                    <w:t>贡献值</w:t>
                  </w:r>
                </w:p>
              </w:tc>
              <w:tc>
                <w:tcPr>
                  <w:tcW w:w="587" w:type="dxa"/>
                  <w:vAlign w:val="center"/>
                </w:tcPr>
                <w:p>
                  <w:pPr>
                    <w:jc w:val="center"/>
                    <w:rPr>
                      <w:color w:val="auto"/>
                      <w:sz w:val="22"/>
                      <w:szCs w:val="22"/>
                    </w:rPr>
                  </w:pPr>
                  <w:r>
                    <w:rPr>
                      <w:color w:val="auto"/>
                      <w:sz w:val="22"/>
                      <w:szCs w:val="22"/>
                    </w:rPr>
                    <w:t>68</w:t>
                  </w:r>
                </w:p>
              </w:tc>
              <w:tc>
                <w:tcPr>
                  <w:tcW w:w="587" w:type="dxa"/>
                  <w:vAlign w:val="center"/>
                </w:tcPr>
                <w:p>
                  <w:pPr>
                    <w:jc w:val="center"/>
                    <w:rPr>
                      <w:color w:val="auto"/>
                      <w:sz w:val="22"/>
                      <w:szCs w:val="22"/>
                    </w:rPr>
                  </w:pPr>
                  <w:r>
                    <w:rPr>
                      <w:color w:val="auto"/>
                      <w:sz w:val="22"/>
                      <w:szCs w:val="22"/>
                    </w:rPr>
                    <w:t>64</w:t>
                  </w:r>
                </w:p>
              </w:tc>
              <w:tc>
                <w:tcPr>
                  <w:tcW w:w="587" w:type="dxa"/>
                  <w:vAlign w:val="center"/>
                </w:tcPr>
                <w:p>
                  <w:pPr>
                    <w:jc w:val="center"/>
                    <w:rPr>
                      <w:color w:val="auto"/>
                      <w:sz w:val="22"/>
                      <w:szCs w:val="22"/>
                    </w:rPr>
                  </w:pPr>
                  <w:r>
                    <w:rPr>
                      <w:color w:val="auto"/>
                      <w:sz w:val="22"/>
                      <w:szCs w:val="22"/>
                    </w:rPr>
                    <w:t>60</w:t>
                  </w:r>
                </w:p>
              </w:tc>
              <w:tc>
                <w:tcPr>
                  <w:tcW w:w="587" w:type="dxa"/>
                  <w:vAlign w:val="center"/>
                </w:tcPr>
                <w:p>
                  <w:pPr>
                    <w:jc w:val="center"/>
                    <w:rPr>
                      <w:color w:val="auto"/>
                      <w:sz w:val="22"/>
                      <w:szCs w:val="22"/>
                    </w:rPr>
                  </w:pPr>
                  <w:r>
                    <w:rPr>
                      <w:color w:val="auto"/>
                      <w:sz w:val="22"/>
                      <w:szCs w:val="22"/>
                    </w:rPr>
                    <w:t>53</w:t>
                  </w:r>
                </w:p>
              </w:tc>
              <w:tc>
                <w:tcPr>
                  <w:tcW w:w="692" w:type="dxa"/>
                  <w:vAlign w:val="center"/>
                </w:tcPr>
                <w:p>
                  <w:pPr>
                    <w:jc w:val="center"/>
                    <w:rPr>
                      <w:color w:val="auto"/>
                      <w:sz w:val="22"/>
                      <w:szCs w:val="22"/>
                    </w:rPr>
                  </w:pPr>
                  <w:r>
                    <w:rPr>
                      <w:color w:val="auto"/>
                      <w:sz w:val="22"/>
                      <w:szCs w:val="22"/>
                    </w:rPr>
                    <w:t>56</w:t>
                  </w:r>
                </w:p>
              </w:tc>
              <w:tc>
                <w:tcPr>
                  <w:tcW w:w="692" w:type="dxa"/>
                  <w:vAlign w:val="center"/>
                </w:tcPr>
                <w:p>
                  <w:pPr>
                    <w:jc w:val="center"/>
                    <w:rPr>
                      <w:color w:val="auto"/>
                      <w:sz w:val="22"/>
                      <w:szCs w:val="22"/>
                    </w:rPr>
                  </w:pPr>
                  <w:r>
                    <w:rPr>
                      <w:color w:val="auto"/>
                      <w:sz w:val="22"/>
                      <w:szCs w:val="22"/>
                    </w:rPr>
                    <w:t>53</w:t>
                  </w:r>
                </w:p>
              </w:tc>
              <w:tc>
                <w:tcPr>
                  <w:tcW w:w="692" w:type="dxa"/>
                  <w:vAlign w:val="center"/>
                </w:tcPr>
                <w:p>
                  <w:pPr>
                    <w:jc w:val="center"/>
                    <w:rPr>
                      <w:color w:val="auto"/>
                      <w:sz w:val="22"/>
                      <w:szCs w:val="22"/>
                    </w:rPr>
                  </w:pPr>
                  <w:r>
                    <w:rPr>
                      <w:color w:val="auto"/>
                      <w:sz w:val="22"/>
                      <w:szCs w:val="22"/>
                    </w:rPr>
                    <w:t>50</w:t>
                  </w:r>
                </w:p>
              </w:tc>
              <w:tc>
                <w:tcPr>
                  <w:tcW w:w="693" w:type="dxa"/>
                  <w:vAlign w:val="center"/>
                </w:tcPr>
                <w:p>
                  <w:pPr>
                    <w:jc w:val="center"/>
                    <w:rPr>
                      <w:color w:val="auto"/>
                      <w:sz w:val="22"/>
                      <w:szCs w:val="22"/>
                    </w:rPr>
                  </w:pPr>
                  <w:r>
                    <w:rPr>
                      <w:color w:val="auto"/>
                      <w:sz w:val="22"/>
                      <w:szCs w:val="22"/>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gridSpan w:val="2"/>
                  <w:vAlign w:val="center"/>
                </w:tcPr>
                <w:p>
                  <w:pPr>
                    <w:jc w:val="center"/>
                    <w:rPr>
                      <w:color w:val="auto"/>
                      <w:szCs w:val="21"/>
                    </w:rPr>
                  </w:pPr>
                  <w:r>
                    <w:rPr>
                      <w:color w:val="auto"/>
                    </w:rPr>
                    <w:t>《工业企业厂界环境噪声排放标准》(GB12348-2008)2类昼间标准限值</w:t>
                  </w:r>
                </w:p>
              </w:tc>
              <w:tc>
                <w:tcPr>
                  <w:tcW w:w="5117" w:type="dxa"/>
                  <w:gridSpan w:val="8"/>
                  <w:vAlign w:val="center"/>
                </w:tcPr>
                <w:p>
                  <w:pPr>
                    <w:jc w:val="center"/>
                    <w:rPr>
                      <w:color w:val="auto"/>
                      <w:sz w:val="22"/>
                      <w:szCs w:val="22"/>
                    </w:rPr>
                  </w:pPr>
                  <w:r>
                    <w:rPr>
                      <w:color w:val="auto"/>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gridSpan w:val="2"/>
                  <w:vAlign w:val="center"/>
                </w:tcPr>
                <w:p>
                  <w:pPr>
                    <w:jc w:val="center"/>
                    <w:rPr>
                      <w:color w:val="auto"/>
                      <w:szCs w:val="21"/>
                    </w:rPr>
                  </w:pPr>
                  <w:r>
                    <w:rPr>
                      <w:color w:val="auto"/>
                      <w:szCs w:val="21"/>
                    </w:rPr>
                    <w:t>达标情况</w:t>
                  </w:r>
                </w:p>
              </w:tc>
              <w:tc>
                <w:tcPr>
                  <w:tcW w:w="1174" w:type="dxa"/>
                  <w:gridSpan w:val="2"/>
                  <w:vAlign w:val="center"/>
                </w:tcPr>
                <w:p>
                  <w:pPr>
                    <w:jc w:val="center"/>
                    <w:rPr>
                      <w:color w:val="auto"/>
                      <w:sz w:val="22"/>
                      <w:szCs w:val="22"/>
                    </w:rPr>
                  </w:pPr>
                  <w:r>
                    <w:rPr>
                      <w:color w:val="auto"/>
                      <w:sz w:val="22"/>
                      <w:szCs w:val="22"/>
                    </w:rPr>
                    <w:t>不达标</w:t>
                  </w:r>
                </w:p>
              </w:tc>
              <w:tc>
                <w:tcPr>
                  <w:tcW w:w="3943" w:type="dxa"/>
                  <w:gridSpan w:val="6"/>
                  <w:vAlign w:val="center"/>
                </w:tcPr>
                <w:p>
                  <w:pPr>
                    <w:jc w:val="center"/>
                    <w:rPr>
                      <w:color w:val="auto"/>
                      <w:sz w:val="22"/>
                      <w:szCs w:val="22"/>
                    </w:rPr>
                  </w:pPr>
                  <w:r>
                    <w:rPr>
                      <w:color w:val="auto"/>
                      <w:sz w:val="22"/>
                      <w:szCs w:val="22"/>
                    </w:rPr>
                    <w:t>达标</w:t>
                  </w:r>
                </w:p>
              </w:tc>
            </w:tr>
          </w:tbl>
          <w:p>
            <w:pPr>
              <w:spacing w:line="360" w:lineRule="auto"/>
              <w:ind w:firstLine="480" w:firstLineChars="200"/>
              <w:jc w:val="left"/>
              <w:rPr>
                <w:color w:val="auto"/>
                <w:sz w:val="24"/>
                <w:szCs w:val="24"/>
              </w:rPr>
            </w:pPr>
            <w:r>
              <w:rPr>
                <w:color w:val="auto"/>
                <w:sz w:val="24"/>
                <w:szCs w:val="24"/>
              </w:rPr>
              <w:t>根据上表可以看出，本工程投运后昼间噪声值在距场界不小于30m可以满足《工业企业厂界环境噪声排放标准》(GB12348-2008)2类标准限值。根据本工程总平面布置，</w:t>
            </w:r>
            <w:r>
              <w:rPr>
                <w:rFonts w:hint="eastAsia"/>
                <w:color w:val="auto"/>
                <w:sz w:val="24"/>
                <w:szCs w:val="24"/>
                <w:lang w:eastAsia="zh-CN"/>
              </w:rPr>
              <w:t>工程</w:t>
            </w:r>
            <w:r>
              <w:rPr>
                <w:color w:val="auto"/>
                <w:sz w:val="24"/>
                <w:szCs w:val="24"/>
              </w:rPr>
              <w:t>西侧为办公区，堆填场距西场界约为30m，堆填场距东、南、北场界的距离在50m以上，所以本工程在各场界均能满足《工业企业厂界环境噪声排放标准》(GB12348-2008)2类昼间标准限值。</w:t>
            </w:r>
          </w:p>
          <w:p>
            <w:pPr>
              <w:spacing w:line="360" w:lineRule="auto"/>
              <w:ind w:firstLine="480" w:firstLineChars="200"/>
              <w:jc w:val="left"/>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ascii="宋体"/>
                <w:color w:val="auto"/>
                <w:sz w:val="24"/>
                <w:szCs w:val="24"/>
              </w:rPr>
              <w:t>②</w:t>
            </w:r>
            <w:r>
              <w:rPr>
                <w:rFonts w:ascii="宋体"/>
                <w:color w:val="auto"/>
                <w:sz w:val="24"/>
                <w:szCs w:val="24"/>
              </w:rPr>
              <w:fldChar w:fldCharType="end"/>
            </w:r>
            <w:r>
              <w:rPr>
                <w:color w:val="auto"/>
                <w:sz w:val="24"/>
                <w:szCs w:val="24"/>
              </w:rPr>
              <w:t>椒树洼村噪声环境质量预测结果与评价</w:t>
            </w:r>
          </w:p>
          <w:p>
            <w:pPr>
              <w:spacing w:line="360" w:lineRule="auto"/>
              <w:ind w:firstLine="480" w:firstLineChars="200"/>
              <w:jc w:val="left"/>
              <w:rPr>
                <w:color w:val="auto"/>
                <w:sz w:val="24"/>
                <w:szCs w:val="24"/>
              </w:rPr>
            </w:pPr>
            <w:r>
              <w:rPr>
                <w:color w:val="auto"/>
                <w:sz w:val="24"/>
                <w:szCs w:val="24"/>
              </w:rPr>
              <w:t>椒树洼村噪声环境质量预测结果见表4-11。</w:t>
            </w:r>
          </w:p>
          <w:p>
            <w:pPr>
              <w:ind w:firstLine="420" w:firstLineChars="200"/>
              <w:jc w:val="center"/>
              <w:rPr>
                <w:color w:val="auto"/>
              </w:rPr>
            </w:pPr>
            <w:r>
              <w:rPr>
                <w:color w:val="auto"/>
              </w:rPr>
              <w:t>表4-11椒树洼村噪声环境质量预测值</w:t>
            </w:r>
          </w:p>
          <w:tbl>
            <w:tblPr>
              <w:tblStyle w:val="23"/>
              <w:tblW w:w="8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798"/>
              <w:gridCol w:w="788"/>
              <w:gridCol w:w="788"/>
              <w:gridCol w:w="788"/>
              <w:gridCol w:w="788"/>
              <w:gridCol w:w="78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890" w:type="dxa"/>
                  <w:vAlign w:val="center"/>
                </w:tcPr>
                <w:p>
                  <w:pPr>
                    <w:jc w:val="center"/>
                    <w:rPr>
                      <w:color w:val="auto"/>
                      <w:szCs w:val="21"/>
                    </w:rPr>
                  </w:pPr>
                  <w:r>
                    <w:rPr>
                      <w:bCs/>
                      <w:color w:val="auto"/>
                      <w:szCs w:val="21"/>
                    </w:rPr>
                    <w:t>噪声值（dB（A））</w:t>
                  </w:r>
                </w:p>
              </w:tc>
              <w:tc>
                <w:tcPr>
                  <w:tcW w:w="798" w:type="dxa"/>
                  <w:vAlign w:val="center"/>
                </w:tcPr>
                <w:p>
                  <w:pPr>
                    <w:jc w:val="center"/>
                    <w:rPr>
                      <w:color w:val="auto"/>
                      <w:szCs w:val="21"/>
                    </w:rPr>
                  </w:pPr>
                  <w:r>
                    <w:rPr>
                      <w:color w:val="auto"/>
                      <w:szCs w:val="21"/>
                    </w:rPr>
                    <w:t>20m</w:t>
                  </w:r>
                </w:p>
              </w:tc>
              <w:tc>
                <w:tcPr>
                  <w:tcW w:w="788" w:type="dxa"/>
                  <w:vAlign w:val="center"/>
                </w:tcPr>
                <w:p>
                  <w:pPr>
                    <w:jc w:val="center"/>
                    <w:rPr>
                      <w:color w:val="auto"/>
                      <w:szCs w:val="21"/>
                    </w:rPr>
                  </w:pPr>
                  <w:r>
                    <w:rPr>
                      <w:color w:val="auto"/>
                      <w:szCs w:val="21"/>
                    </w:rPr>
                    <w:t>30m</w:t>
                  </w:r>
                </w:p>
              </w:tc>
              <w:tc>
                <w:tcPr>
                  <w:tcW w:w="788" w:type="dxa"/>
                  <w:vAlign w:val="center"/>
                </w:tcPr>
                <w:p>
                  <w:pPr>
                    <w:jc w:val="center"/>
                    <w:rPr>
                      <w:color w:val="auto"/>
                      <w:szCs w:val="21"/>
                    </w:rPr>
                  </w:pPr>
                  <w:r>
                    <w:rPr>
                      <w:color w:val="auto"/>
                      <w:szCs w:val="21"/>
                    </w:rPr>
                    <w:t>50m</w:t>
                  </w:r>
                </w:p>
              </w:tc>
              <w:tc>
                <w:tcPr>
                  <w:tcW w:w="788" w:type="dxa"/>
                  <w:vAlign w:val="center"/>
                </w:tcPr>
                <w:p>
                  <w:pPr>
                    <w:jc w:val="center"/>
                    <w:rPr>
                      <w:color w:val="auto"/>
                      <w:szCs w:val="21"/>
                    </w:rPr>
                  </w:pPr>
                  <w:r>
                    <w:rPr>
                      <w:color w:val="auto"/>
                      <w:szCs w:val="21"/>
                    </w:rPr>
                    <w:t>70m</w:t>
                  </w:r>
                </w:p>
              </w:tc>
              <w:tc>
                <w:tcPr>
                  <w:tcW w:w="788" w:type="dxa"/>
                  <w:vAlign w:val="center"/>
                </w:tcPr>
                <w:p>
                  <w:pPr>
                    <w:jc w:val="center"/>
                    <w:rPr>
                      <w:color w:val="auto"/>
                      <w:szCs w:val="21"/>
                    </w:rPr>
                  </w:pPr>
                  <w:r>
                    <w:rPr>
                      <w:color w:val="auto"/>
                      <w:szCs w:val="21"/>
                    </w:rPr>
                    <w:t>100m</w:t>
                  </w:r>
                </w:p>
              </w:tc>
              <w:tc>
                <w:tcPr>
                  <w:tcW w:w="789" w:type="dxa"/>
                  <w:vAlign w:val="center"/>
                </w:tcPr>
                <w:p>
                  <w:pPr>
                    <w:jc w:val="center"/>
                    <w:rPr>
                      <w:color w:val="auto"/>
                      <w:szCs w:val="21"/>
                    </w:rPr>
                  </w:pPr>
                  <w:r>
                    <w:rPr>
                      <w:color w:val="auto"/>
                      <w:szCs w:val="21"/>
                    </w:rPr>
                    <w:t>150m</w:t>
                  </w:r>
                </w:p>
              </w:tc>
              <w:tc>
                <w:tcPr>
                  <w:tcW w:w="793" w:type="dxa"/>
                  <w:vAlign w:val="center"/>
                </w:tcPr>
                <w:p>
                  <w:pPr>
                    <w:jc w:val="center"/>
                    <w:rPr>
                      <w:color w:val="auto"/>
                      <w:szCs w:val="21"/>
                    </w:rPr>
                  </w:pPr>
                  <w:r>
                    <w:rPr>
                      <w:color w:val="auto"/>
                      <w:szCs w:val="21"/>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890" w:type="dxa"/>
                  <w:vAlign w:val="center"/>
                </w:tcPr>
                <w:p>
                  <w:pPr>
                    <w:jc w:val="center"/>
                    <w:rPr>
                      <w:color w:val="auto"/>
                      <w:szCs w:val="21"/>
                    </w:rPr>
                  </w:pPr>
                  <w:r>
                    <w:rPr>
                      <w:color w:val="auto"/>
                      <w:szCs w:val="21"/>
                    </w:rPr>
                    <w:t>设备贡献值</w:t>
                  </w:r>
                </w:p>
              </w:tc>
              <w:tc>
                <w:tcPr>
                  <w:tcW w:w="798" w:type="dxa"/>
                  <w:vAlign w:val="center"/>
                </w:tcPr>
                <w:p>
                  <w:pPr>
                    <w:jc w:val="center"/>
                    <w:rPr>
                      <w:color w:val="auto"/>
                      <w:sz w:val="22"/>
                      <w:szCs w:val="22"/>
                    </w:rPr>
                  </w:pPr>
                  <w:r>
                    <w:rPr>
                      <w:color w:val="auto"/>
                      <w:sz w:val="22"/>
                      <w:szCs w:val="22"/>
                    </w:rPr>
                    <w:t>64</w:t>
                  </w:r>
                </w:p>
              </w:tc>
              <w:tc>
                <w:tcPr>
                  <w:tcW w:w="788" w:type="dxa"/>
                  <w:vAlign w:val="center"/>
                </w:tcPr>
                <w:p>
                  <w:pPr>
                    <w:jc w:val="center"/>
                    <w:rPr>
                      <w:color w:val="auto"/>
                      <w:sz w:val="22"/>
                      <w:szCs w:val="22"/>
                    </w:rPr>
                  </w:pPr>
                  <w:r>
                    <w:rPr>
                      <w:color w:val="auto"/>
                      <w:sz w:val="22"/>
                      <w:szCs w:val="22"/>
                    </w:rPr>
                    <w:t>60</w:t>
                  </w:r>
                </w:p>
              </w:tc>
              <w:tc>
                <w:tcPr>
                  <w:tcW w:w="788" w:type="dxa"/>
                  <w:vAlign w:val="center"/>
                </w:tcPr>
                <w:p>
                  <w:pPr>
                    <w:jc w:val="center"/>
                    <w:rPr>
                      <w:color w:val="auto"/>
                      <w:sz w:val="22"/>
                      <w:szCs w:val="22"/>
                    </w:rPr>
                  </w:pPr>
                  <w:r>
                    <w:rPr>
                      <w:color w:val="auto"/>
                      <w:sz w:val="22"/>
                      <w:szCs w:val="22"/>
                    </w:rPr>
                    <w:t>53</w:t>
                  </w:r>
                </w:p>
              </w:tc>
              <w:tc>
                <w:tcPr>
                  <w:tcW w:w="788" w:type="dxa"/>
                  <w:vAlign w:val="center"/>
                </w:tcPr>
                <w:p>
                  <w:pPr>
                    <w:jc w:val="center"/>
                    <w:rPr>
                      <w:color w:val="auto"/>
                      <w:sz w:val="22"/>
                      <w:szCs w:val="22"/>
                    </w:rPr>
                  </w:pPr>
                  <w:r>
                    <w:rPr>
                      <w:color w:val="auto"/>
                      <w:sz w:val="22"/>
                      <w:szCs w:val="22"/>
                    </w:rPr>
                    <w:t>56</w:t>
                  </w:r>
                </w:p>
              </w:tc>
              <w:tc>
                <w:tcPr>
                  <w:tcW w:w="788" w:type="dxa"/>
                  <w:vAlign w:val="center"/>
                </w:tcPr>
                <w:p>
                  <w:pPr>
                    <w:jc w:val="center"/>
                    <w:rPr>
                      <w:color w:val="auto"/>
                      <w:sz w:val="22"/>
                      <w:szCs w:val="22"/>
                    </w:rPr>
                  </w:pPr>
                  <w:r>
                    <w:rPr>
                      <w:color w:val="auto"/>
                      <w:sz w:val="22"/>
                      <w:szCs w:val="22"/>
                    </w:rPr>
                    <w:t>53</w:t>
                  </w:r>
                </w:p>
              </w:tc>
              <w:tc>
                <w:tcPr>
                  <w:tcW w:w="789" w:type="dxa"/>
                  <w:vAlign w:val="center"/>
                </w:tcPr>
                <w:p>
                  <w:pPr>
                    <w:jc w:val="center"/>
                    <w:rPr>
                      <w:color w:val="auto"/>
                      <w:sz w:val="22"/>
                      <w:szCs w:val="22"/>
                    </w:rPr>
                  </w:pPr>
                  <w:r>
                    <w:rPr>
                      <w:color w:val="auto"/>
                      <w:sz w:val="22"/>
                      <w:szCs w:val="22"/>
                    </w:rPr>
                    <w:t>50</w:t>
                  </w:r>
                </w:p>
              </w:tc>
              <w:tc>
                <w:tcPr>
                  <w:tcW w:w="793" w:type="dxa"/>
                  <w:vAlign w:val="center"/>
                </w:tcPr>
                <w:p>
                  <w:pPr>
                    <w:jc w:val="center"/>
                    <w:rPr>
                      <w:color w:val="auto"/>
                      <w:sz w:val="22"/>
                      <w:szCs w:val="22"/>
                    </w:rPr>
                  </w:pPr>
                  <w:r>
                    <w:rPr>
                      <w:color w:val="auto"/>
                      <w:sz w:val="22"/>
                      <w:szCs w:val="22"/>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2890" w:type="dxa"/>
                  <w:vAlign w:val="center"/>
                </w:tcPr>
                <w:p>
                  <w:pPr>
                    <w:jc w:val="center"/>
                    <w:rPr>
                      <w:color w:val="auto"/>
                      <w:szCs w:val="21"/>
                    </w:rPr>
                  </w:pPr>
                  <w:r>
                    <w:rPr>
                      <w:color w:val="auto"/>
                      <w:szCs w:val="21"/>
                    </w:rPr>
                    <w:t>噪声环境质量现状（昼间）</w:t>
                  </w:r>
                </w:p>
              </w:tc>
              <w:tc>
                <w:tcPr>
                  <w:tcW w:w="798" w:type="dxa"/>
                  <w:vAlign w:val="center"/>
                </w:tcPr>
                <w:p>
                  <w:pPr>
                    <w:jc w:val="center"/>
                    <w:rPr>
                      <w:color w:val="auto"/>
                    </w:rPr>
                  </w:pPr>
                  <w:r>
                    <w:rPr>
                      <w:color w:val="auto"/>
                      <w:sz w:val="22"/>
                      <w:szCs w:val="22"/>
                    </w:rPr>
                    <w:t>53</w:t>
                  </w:r>
                </w:p>
              </w:tc>
              <w:tc>
                <w:tcPr>
                  <w:tcW w:w="788" w:type="dxa"/>
                  <w:vAlign w:val="center"/>
                </w:tcPr>
                <w:p>
                  <w:pPr>
                    <w:jc w:val="center"/>
                    <w:rPr>
                      <w:color w:val="auto"/>
                    </w:rPr>
                  </w:pPr>
                  <w:r>
                    <w:rPr>
                      <w:color w:val="auto"/>
                      <w:sz w:val="22"/>
                      <w:szCs w:val="22"/>
                    </w:rPr>
                    <w:t>53</w:t>
                  </w:r>
                </w:p>
              </w:tc>
              <w:tc>
                <w:tcPr>
                  <w:tcW w:w="788" w:type="dxa"/>
                  <w:vAlign w:val="center"/>
                </w:tcPr>
                <w:p>
                  <w:pPr>
                    <w:jc w:val="center"/>
                    <w:rPr>
                      <w:color w:val="auto"/>
                    </w:rPr>
                  </w:pPr>
                  <w:r>
                    <w:rPr>
                      <w:color w:val="auto"/>
                      <w:sz w:val="22"/>
                      <w:szCs w:val="22"/>
                    </w:rPr>
                    <w:t>53</w:t>
                  </w:r>
                </w:p>
              </w:tc>
              <w:tc>
                <w:tcPr>
                  <w:tcW w:w="788" w:type="dxa"/>
                  <w:vAlign w:val="center"/>
                </w:tcPr>
                <w:p>
                  <w:pPr>
                    <w:jc w:val="center"/>
                    <w:rPr>
                      <w:color w:val="auto"/>
                    </w:rPr>
                  </w:pPr>
                  <w:r>
                    <w:rPr>
                      <w:color w:val="auto"/>
                      <w:sz w:val="22"/>
                      <w:szCs w:val="22"/>
                    </w:rPr>
                    <w:t>53</w:t>
                  </w:r>
                </w:p>
              </w:tc>
              <w:tc>
                <w:tcPr>
                  <w:tcW w:w="788" w:type="dxa"/>
                  <w:vAlign w:val="center"/>
                </w:tcPr>
                <w:p>
                  <w:pPr>
                    <w:jc w:val="center"/>
                    <w:rPr>
                      <w:color w:val="auto"/>
                    </w:rPr>
                  </w:pPr>
                  <w:r>
                    <w:rPr>
                      <w:color w:val="auto"/>
                      <w:sz w:val="22"/>
                      <w:szCs w:val="22"/>
                    </w:rPr>
                    <w:t>53</w:t>
                  </w:r>
                </w:p>
              </w:tc>
              <w:tc>
                <w:tcPr>
                  <w:tcW w:w="789" w:type="dxa"/>
                  <w:vAlign w:val="center"/>
                </w:tcPr>
                <w:p>
                  <w:pPr>
                    <w:jc w:val="center"/>
                    <w:rPr>
                      <w:color w:val="auto"/>
                    </w:rPr>
                  </w:pPr>
                  <w:r>
                    <w:rPr>
                      <w:color w:val="auto"/>
                      <w:sz w:val="22"/>
                      <w:szCs w:val="22"/>
                    </w:rPr>
                    <w:t>53</w:t>
                  </w:r>
                </w:p>
              </w:tc>
              <w:tc>
                <w:tcPr>
                  <w:tcW w:w="793" w:type="dxa"/>
                  <w:vAlign w:val="center"/>
                </w:tcPr>
                <w:p>
                  <w:pPr>
                    <w:jc w:val="center"/>
                    <w:rPr>
                      <w:color w:val="auto"/>
                    </w:rPr>
                  </w:pPr>
                  <w:r>
                    <w:rPr>
                      <w:color w:val="auto"/>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890" w:type="dxa"/>
                  <w:vAlign w:val="center"/>
                </w:tcPr>
                <w:p>
                  <w:pPr>
                    <w:jc w:val="center"/>
                    <w:rPr>
                      <w:color w:val="auto"/>
                      <w:szCs w:val="21"/>
                    </w:rPr>
                  </w:pPr>
                  <w:r>
                    <w:rPr>
                      <w:color w:val="auto"/>
                    </w:rPr>
                    <w:t>椒树洼村噪声环境质量预测结果</w:t>
                  </w:r>
                </w:p>
              </w:tc>
              <w:tc>
                <w:tcPr>
                  <w:tcW w:w="798" w:type="dxa"/>
                  <w:vAlign w:val="center"/>
                </w:tcPr>
                <w:p>
                  <w:pPr>
                    <w:jc w:val="right"/>
                    <w:rPr>
                      <w:color w:val="auto"/>
                      <w:sz w:val="22"/>
                      <w:szCs w:val="22"/>
                    </w:rPr>
                  </w:pPr>
                  <w:r>
                    <w:rPr>
                      <w:color w:val="auto"/>
                      <w:sz w:val="22"/>
                      <w:szCs w:val="22"/>
                    </w:rPr>
                    <w:t>64.33</w:t>
                  </w:r>
                </w:p>
              </w:tc>
              <w:tc>
                <w:tcPr>
                  <w:tcW w:w="788" w:type="dxa"/>
                  <w:vAlign w:val="center"/>
                </w:tcPr>
                <w:p>
                  <w:pPr>
                    <w:jc w:val="right"/>
                    <w:rPr>
                      <w:color w:val="auto"/>
                      <w:sz w:val="22"/>
                      <w:szCs w:val="22"/>
                    </w:rPr>
                  </w:pPr>
                  <w:r>
                    <w:rPr>
                      <w:color w:val="auto"/>
                      <w:sz w:val="22"/>
                      <w:szCs w:val="22"/>
                    </w:rPr>
                    <w:t>60.79</w:t>
                  </w:r>
                </w:p>
              </w:tc>
              <w:tc>
                <w:tcPr>
                  <w:tcW w:w="788" w:type="dxa"/>
                  <w:vAlign w:val="center"/>
                </w:tcPr>
                <w:p>
                  <w:pPr>
                    <w:jc w:val="right"/>
                    <w:rPr>
                      <w:color w:val="auto"/>
                      <w:sz w:val="22"/>
                      <w:szCs w:val="22"/>
                    </w:rPr>
                  </w:pPr>
                  <w:r>
                    <w:rPr>
                      <w:color w:val="auto"/>
                      <w:sz w:val="22"/>
                      <w:szCs w:val="22"/>
                    </w:rPr>
                    <w:t>56.01</w:t>
                  </w:r>
                </w:p>
              </w:tc>
              <w:tc>
                <w:tcPr>
                  <w:tcW w:w="788" w:type="dxa"/>
                  <w:vAlign w:val="center"/>
                </w:tcPr>
                <w:p>
                  <w:pPr>
                    <w:jc w:val="right"/>
                    <w:rPr>
                      <w:color w:val="auto"/>
                      <w:sz w:val="22"/>
                      <w:szCs w:val="22"/>
                    </w:rPr>
                  </w:pPr>
                  <w:r>
                    <w:rPr>
                      <w:color w:val="auto"/>
                      <w:sz w:val="22"/>
                      <w:szCs w:val="22"/>
                    </w:rPr>
                    <w:t>57.76</w:t>
                  </w:r>
                </w:p>
              </w:tc>
              <w:tc>
                <w:tcPr>
                  <w:tcW w:w="788" w:type="dxa"/>
                  <w:vAlign w:val="center"/>
                </w:tcPr>
                <w:p>
                  <w:pPr>
                    <w:jc w:val="right"/>
                    <w:rPr>
                      <w:color w:val="auto"/>
                      <w:sz w:val="22"/>
                      <w:szCs w:val="22"/>
                    </w:rPr>
                  </w:pPr>
                  <w:r>
                    <w:rPr>
                      <w:color w:val="auto"/>
                      <w:sz w:val="22"/>
                      <w:szCs w:val="22"/>
                    </w:rPr>
                    <w:t>56.01</w:t>
                  </w:r>
                </w:p>
              </w:tc>
              <w:tc>
                <w:tcPr>
                  <w:tcW w:w="789" w:type="dxa"/>
                  <w:vAlign w:val="center"/>
                </w:tcPr>
                <w:p>
                  <w:pPr>
                    <w:jc w:val="right"/>
                    <w:rPr>
                      <w:color w:val="auto"/>
                      <w:sz w:val="22"/>
                      <w:szCs w:val="22"/>
                    </w:rPr>
                  </w:pPr>
                  <w:r>
                    <w:rPr>
                      <w:color w:val="auto"/>
                      <w:sz w:val="22"/>
                      <w:szCs w:val="22"/>
                    </w:rPr>
                    <w:t>54.76</w:t>
                  </w:r>
                </w:p>
              </w:tc>
              <w:tc>
                <w:tcPr>
                  <w:tcW w:w="793" w:type="dxa"/>
                  <w:vAlign w:val="center"/>
                </w:tcPr>
                <w:p>
                  <w:pPr>
                    <w:jc w:val="right"/>
                    <w:rPr>
                      <w:color w:val="auto"/>
                      <w:sz w:val="22"/>
                      <w:szCs w:val="22"/>
                    </w:rPr>
                  </w:pPr>
                  <w:r>
                    <w:rPr>
                      <w:color w:val="auto"/>
                      <w:sz w:val="22"/>
                      <w:szCs w:val="22"/>
                    </w:rPr>
                    <w:t>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890" w:type="dxa"/>
                  <w:vAlign w:val="center"/>
                </w:tcPr>
                <w:p>
                  <w:pPr>
                    <w:jc w:val="center"/>
                    <w:rPr>
                      <w:color w:val="auto"/>
                    </w:rPr>
                  </w:pPr>
                  <w:r>
                    <w:rPr>
                      <w:color w:val="auto"/>
                    </w:rPr>
                    <w:t>《声环境质量标准》（GB3096-2008）2类昼间标准限值</w:t>
                  </w:r>
                </w:p>
              </w:tc>
              <w:tc>
                <w:tcPr>
                  <w:tcW w:w="5532" w:type="dxa"/>
                  <w:gridSpan w:val="7"/>
                  <w:vAlign w:val="center"/>
                </w:tcPr>
                <w:p>
                  <w:pPr>
                    <w:jc w:val="center"/>
                    <w:rPr>
                      <w:color w:val="auto"/>
                      <w:sz w:val="22"/>
                      <w:szCs w:val="22"/>
                    </w:rPr>
                  </w:pPr>
                  <w:r>
                    <w:rPr>
                      <w:color w:val="auto"/>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890" w:type="dxa"/>
                  <w:vAlign w:val="center"/>
                </w:tcPr>
                <w:p>
                  <w:pPr>
                    <w:jc w:val="center"/>
                    <w:rPr>
                      <w:color w:val="auto"/>
                    </w:rPr>
                  </w:pPr>
                  <w:r>
                    <w:rPr>
                      <w:color w:val="auto"/>
                    </w:rPr>
                    <w:t>达标情况</w:t>
                  </w:r>
                </w:p>
              </w:tc>
              <w:tc>
                <w:tcPr>
                  <w:tcW w:w="1586" w:type="dxa"/>
                  <w:gridSpan w:val="2"/>
                  <w:vAlign w:val="center"/>
                </w:tcPr>
                <w:p>
                  <w:pPr>
                    <w:jc w:val="center"/>
                    <w:rPr>
                      <w:color w:val="auto"/>
                      <w:sz w:val="22"/>
                      <w:szCs w:val="22"/>
                    </w:rPr>
                  </w:pPr>
                  <w:r>
                    <w:rPr>
                      <w:color w:val="auto"/>
                      <w:sz w:val="22"/>
                      <w:szCs w:val="22"/>
                    </w:rPr>
                    <w:t>不达标</w:t>
                  </w:r>
                </w:p>
              </w:tc>
              <w:tc>
                <w:tcPr>
                  <w:tcW w:w="3946" w:type="dxa"/>
                  <w:gridSpan w:val="5"/>
                  <w:vAlign w:val="center"/>
                </w:tcPr>
                <w:p>
                  <w:pPr>
                    <w:jc w:val="center"/>
                    <w:rPr>
                      <w:color w:val="auto"/>
                      <w:sz w:val="22"/>
                      <w:szCs w:val="22"/>
                    </w:rPr>
                  </w:pPr>
                  <w:r>
                    <w:rPr>
                      <w:color w:val="auto"/>
                      <w:sz w:val="22"/>
                      <w:szCs w:val="22"/>
                    </w:rPr>
                    <w:t>达标</w:t>
                  </w:r>
                </w:p>
              </w:tc>
            </w:tr>
          </w:tbl>
          <w:p>
            <w:pPr>
              <w:spacing w:line="360" w:lineRule="auto"/>
              <w:ind w:firstLine="480" w:firstLineChars="200"/>
              <w:jc w:val="left"/>
              <w:rPr>
                <w:color w:val="auto"/>
                <w:sz w:val="24"/>
                <w:szCs w:val="24"/>
              </w:rPr>
            </w:pPr>
            <w:r>
              <w:rPr>
                <w:color w:val="auto"/>
                <w:sz w:val="24"/>
                <w:szCs w:val="24"/>
              </w:rPr>
              <w:t>椒树洼村距西场界20m，堆填场距西场界约为30m，所以椒树洼村距堆填场约为50m。根据上表，椒树洼村可满足《声环境质量标准》（GB3096-2008）2类昼间标准限值。</w:t>
            </w:r>
          </w:p>
          <w:p>
            <w:pPr>
              <w:spacing w:line="360" w:lineRule="auto"/>
              <w:ind w:firstLine="480" w:firstLineChars="200"/>
              <w:jc w:val="left"/>
              <w:rPr>
                <w:color w:val="auto"/>
                <w:sz w:val="24"/>
                <w:szCs w:val="24"/>
              </w:rPr>
            </w:pPr>
            <w:r>
              <w:rPr>
                <w:color w:val="auto"/>
                <w:sz w:val="24"/>
                <w:szCs w:val="24"/>
              </w:rPr>
              <w:t>综上，本工程噪声源主要为堆填场的机械设备、运输设备。根据预测结果，本工程在各场界均能满足《工业企业厂界环境噪声排放标准》(GB12348-2008)2类昼间标准限值，椒树洼村可满足《声环境质量标准》（GB3096-2008）2类昼间标准限值。因此，本工程对噪声环境影响较小。</w:t>
            </w:r>
          </w:p>
          <w:p>
            <w:pPr>
              <w:spacing w:line="360" w:lineRule="auto"/>
              <w:ind w:firstLine="200"/>
              <w:rPr>
                <w:b/>
                <w:color w:val="auto"/>
                <w:sz w:val="24"/>
                <w:szCs w:val="24"/>
              </w:rPr>
            </w:pPr>
            <w:r>
              <w:rPr>
                <w:b/>
                <w:color w:val="auto"/>
                <w:sz w:val="24"/>
                <w:szCs w:val="24"/>
              </w:rPr>
              <w:t>5、固体废物环境影响分析</w:t>
            </w:r>
          </w:p>
          <w:p>
            <w:pPr>
              <w:spacing w:line="360" w:lineRule="auto"/>
              <w:ind w:firstLine="480" w:firstLineChars="200"/>
              <w:rPr>
                <w:color w:val="auto"/>
                <w:sz w:val="24"/>
                <w:szCs w:val="24"/>
              </w:rPr>
            </w:pPr>
            <w:r>
              <w:rPr>
                <w:color w:val="auto"/>
                <w:sz w:val="24"/>
                <w:szCs w:val="24"/>
              </w:rPr>
              <w:t>本工程生产运行阶段产生的固体废物包括沉淀池污泥、生活垃圾和废机油。</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ascii="宋体"/>
                <w:color w:val="auto"/>
                <w:sz w:val="24"/>
                <w:szCs w:val="24"/>
              </w:rPr>
              <w:t>①</w:t>
            </w:r>
            <w:r>
              <w:rPr>
                <w:color w:val="auto"/>
                <w:sz w:val="24"/>
                <w:szCs w:val="24"/>
              </w:rPr>
              <w:fldChar w:fldCharType="end"/>
            </w:r>
            <w:r>
              <w:rPr>
                <w:color w:val="auto"/>
                <w:sz w:val="24"/>
                <w:szCs w:val="24"/>
              </w:rPr>
              <w:t>沉淀池产生污泥：经类比，沉淀池产生污泥的含水率约为70%，则产生量约为0.348t/a，经晒干处理含水率小于40%后，回填到本</w:t>
            </w:r>
            <w:r>
              <w:rPr>
                <w:rFonts w:hint="eastAsia"/>
                <w:color w:val="auto"/>
                <w:sz w:val="24"/>
                <w:szCs w:val="24"/>
                <w:lang w:eastAsia="zh-CN"/>
              </w:rPr>
              <w:t>工程</w:t>
            </w:r>
            <w:r>
              <w:rPr>
                <w:color w:val="auto"/>
                <w:sz w:val="24"/>
                <w:szCs w:val="24"/>
              </w:rPr>
              <w:t>堆填区进行堆填。</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ascii="宋体"/>
                <w:color w:val="auto"/>
                <w:sz w:val="24"/>
                <w:szCs w:val="24"/>
              </w:rPr>
              <w:t>②</w:t>
            </w:r>
            <w:r>
              <w:rPr>
                <w:color w:val="auto"/>
                <w:sz w:val="24"/>
                <w:szCs w:val="24"/>
              </w:rPr>
              <w:fldChar w:fldCharType="end"/>
            </w:r>
            <w:r>
              <w:rPr>
                <w:color w:val="auto"/>
                <w:sz w:val="24"/>
                <w:szCs w:val="24"/>
              </w:rPr>
              <w:t>生活垃圾：本工程劳动定员3人，生活垃圾产生量按0.5kg/人·d，则每天产生1.5kg，每年产生0.55t/a，统一收集后定期运至环卫部门指定地点处置。</w:t>
            </w:r>
          </w:p>
          <w:p>
            <w:pPr>
              <w:spacing w:line="360" w:lineRule="auto"/>
              <w:ind w:firstLine="480" w:firstLineChars="200"/>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ascii="宋体"/>
                <w:color w:val="auto"/>
                <w:sz w:val="24"/>
                <w:szCs w:val="24"/>
              </w:rPr>
              <w:t>③</w:t>
            </w:r>
            <w:r>
              <w:rPr>
                <w:rFonts w:ascii="宋体"/>
                <w:color w:val="auto"/>
                <w:sz w:val="24"/>
                <w:szCs w:val="24"/>
              </w:rPr>
              <w:fldChar w:fldCharType="end"/>
            </w:r>
            <w:r>
              <w:rPr>
                <w:color w:val="auto"/>
                <w:sz w:val="24"/>
                <w:szCs w:val="24"/>
              </w:rPr>
              <w:t>本</w:t>
            </w:r>
            <w:r>
              <w:rPr>
                <w:rFonts w:hint="eastAsia"/>
                <w:color w:val="auto"/>
                <w:sz w:val="24"/>
                <w:szCs w:val="24"/>
                <w:lang w:eastAsia="zh-CN"/>
              </w:rPr>
              <w:t>工程</w:t>
            </w:r>
            <w:r>
              <w:rPr>
                <w:color w:val="auto"/>
                <w:sz w:val="24"/>
                <w:szCs w:val="24"/>
              </w:rPr>
              <w:t>生产过程中产生的危险废物主要为机械保养、维护过程产生的废机油，根据《国家危险废物名录》（2021渗出水年版），其危险废物类别为渗出水HW08渗出水废矿物油与含矿物油废物-非特定行业900-214-08。根据建设单位提供资料，废机油产生量约为0.1t/a，定期更换后暂存于危废暂存</w:t>
            </w:r>
            <w:r>
              <w:rPr>
                <w:rFonts w:hint="eastAsia"/>
                <w:color w:val="auto"/>
                <w:sz w:val="24"/>
                <w:szCs w:val="24"/>
                <w:lang w:eastAsia="zh-CN"/>
              </w:rPr>
              <w:t>间内</w:t>
            </w:r>
            <w:r>
              <w:rPr>
                <w:color w:val="auto"/>
                <w:sz w:val="24"/>
                <w:szCs w:val="24"/>
              </w:rPr>
              <w:t>，委托有资质单位处置。</w:t>
            </w:r>
          </w:p>
          <w:p>
            <w:pPr>
              <w:spacing w:line="360" w:lineRule="auto"/>
              <w:ind w:firstLine="480" w:firstLineChars="200"/>
              <w:rPr>
                <w:color w:val="auto"/>
                <w:sz w:val="24"/>
                <w:szCs w:val="24"/>
              </w:rPr>
            </w:pPr>
            <w:r>
              <w:rPr>
                <w:color w:val="auto"/>
                <w:sz w:val="24"/>
                <w:szCs w:val="24"/>
              </w:rPr>
              <w:t>采取上述治理措施后，沉淀池污泥、生活垃圾和废机油均得到妥善处置，对周围环境影响较小。</w:t>
            </w:r>
          </w:p>
          <w:p>
            <w:pPr>
              <w:spacing w:line="360" w:lineRule="auto"/>
              <w:ind w:firstLine="470" w:firstLineChars="195"/>
              <w:rPr>
                <w:b/>
                <w:color w:val="auto"/>
                <w:sz w:val="24"/>
                <w:szCs w:val="24"/>
              </w:rPr>
            </w:pPr>
            <w:r>
              <w:rPr>
                <w:b/>
                <w:color w:val="auto"/>
                <w:sz w:val="24"/>
                <w:szCs w:val="24"/>
              </w:rPr>
              <w:t>6、生态环境影响分析</w:t>
            </w:r>
          </w:p>
          <w:p>
            <w:pPr>
              <w:spacing w:line="360" w:lineRule="auto"/>
              <w:ind w:firstLine="480" w:firstLineChars="200"/>
              <w:rPr>
                <w:color w:val="auto"/>
                <w:sz w:val="24"/>
                <w:szCs w:val="24"/>
              </w:rPr>
            </w:pPr>
            <w:r>
              <w:rPr>
                <w:color w:val="auto"/>
                <w:sz w:val="24"/>
                <w:szCs w:val="24"/>
              </w:rPr>
              <w:t>根据前述分析，本工程运行过程中的废气、废水和固体废弃物均得到有效处置，排放量少，对生态环境造成影响很轻微。临时占地在本工程运行过程中将得到进一步生态恢复，因此本工程运营期对生态环境的影响主要体现在覆土场的水土流失和对动植物及景观生态的影响。</w:t>
            </w:r>
          </w:p>
          <w:p>
            <w:pPr>
              <w:spacing w:line="360" w:lineRule="auto"/>
              <w:ind w:firstLine="480" w:firstLineChars="200"/>
              <w:rPr>
                <w:color w:val="auto"/>
                <w:sz w:val="24"/>
                <w:szCs w:val="24"/>
              </w:rPr>
            </w:pPr>
            <w:r>
              <w:rPr>
                <w:color w:val="auto"/>
                <w:sz w:val="24"/>
                <w:szCs w:val="24"/>
              </w:rPr>
              <w:t>（1）水土流失影响</w:t>
            </w:r>
          </w:p>
          <w:p>
            <w:pPr>
              <w:spacing w:line="360" w:lineRule="auto"/>
              <w:ind w:firstLine="480" w:firstLineChars="200"/>
              <w:rPr>
                <w:color w:val="auto"/>
                <w:sz w:val="24"/>
                <w:szCs w:val="24"/>
              </w:rPr>
            </w:pPr>
            <w:r>
              <w:rPr>
                <w:color w:val="auto"/>
                <w:sz w:val="24"/>
                <w:szCs w:val="24"/>
              </w:rPr>
              <w:t>运行期，表土堆存的覆土场应进行水土流失保护措施，周围设截排水沟，防止水土流失，封场后对堆存区域进行生态恢复。</w:t>
            </w:r>
          </w:p>
          <w:p>
            <w:pPr>
              <w:spacing w:line="360" w:lineRule="auto"/>
              <w:ind w:firstLine="480" w:firstLineChars="200"/>
              <w:rPr>
                <w:color w:val="auto"/>
                <w:sz w:val="24"/>
                <w:szCs w:val="24"/>
              </w:rPr>
            </w:pPr>
            <w:r>
              <w:rPr>
                <w:color w:val="auto"/>
                <w:sz w:val="24"/>
                <w:szCs w:val="24"/>
              </w:rPr>
              <w:t>（2）动植物的影响</w:t>
            </w:r>
          </w:p>
          <w:p>
            <w:pPr>
              <w:spacing w:line="360" w:lineRule="auto"/>
              <w:ind w:firstLine="480" w:firstLineChars="200"/>
              <w:rPr>
                <w:color w:val="auto"/>
                <w:sz w:val="24"/>
                <w:szCs w:val="24"/>
              </w:rPr>
            </w:pPr>
            <w:r>
              <w:rPr>
                <w:color w:val="auto"/>
                <w:sz w:val="24"/>
                <w:szCs w:val="24"/>
              </w:rPr>
              <w:t>运行期，人类活动对于野生动物的活动影响小，但仍需加强对人员活动的控制，禁止对野生动物的捕杀、猎食，减少对野生动物的干扰，夜间尽量减少活动；随着堆填场封场绿化建设的逐步实施，被压区和破坏植被可以逐步得到恢复。</w:t>
            </w:r>
          </w:p>
          <w:p>
            <w:pPr>
              <w:spacing w:line="360" w:lineRule="auto"/>
              <w:ind w:firstLine="480" w:firstLineChars="200"/>
              <w:rPr>
                <w:color w:val="auto"/>
                <w:sz w:val="24"/>
                <w:szCs w:val="24"/>
              </w:rPr>
            </w:pPr>
            <w:r>
              <w:rPr>
                <w:color w:val="auto"/>
                <w:sz w:val="24"/>
                <w:szCs w:val="24"/>
              </w:rPr>
              <w:t>（3）景观生态环境影响</w:t>
            </w:r>
          </w:p>
          <w:p>
            <w:pPr>
              <w:spacing w:line="360" w:lineRule="auto"/>
              <w:ind w:firstLine="480" w:firstLineChars="200"/>
              <w:rPr>
                <w:color w:val="auto"/>
                <w:sz w:val="24"/>
                <w:szCs w:val="24"/>
              </w:rPr>
            </w:pPr>
            <w:r>
              <w:rPr>
                <w:color w:val="auto"/>
                <w:sz w:val="24"/>
                <w:szCs w:val="24"/>
              </w:rPr>
              <w:t>本工程建成后，整体区域的组成景观结构的基质不会发生变化，斑块类型和数量有一定的增加。本工程生产区属点状开发，对整体景观生态格局影响较小。从景观美学角度来看，对原始的自然景观产生了一定的破坏。随着堆填场封场绿化建设的逐步实施，堆填后场地可用于公园绿化等，大大改善景观生态环境。</w:t>
            </w:r>
          </w:p>
          <w:p>
            <w:pPr>
              <w:adjustRightInd w:val="0"/>
              <w:snapToGrid w:val="0"/>
              <w:spacing w:line="360" w:lineRule="auto"/>
              <w:ind w:firstLine="422"/>
              <w:jc w:val="left"/>
              <w:rPr>
                <w:b/>
                <w:color w:val="auto"/>
                <w:sz w:val="24"/>
                <w:szCs w:val="24"/>
              </w:rPr>
            </w:pPr>
            <w:r>
              <w:rPr>
                <w:b/>
                <w:color w:val="auto"/>
                <w:kern w:val="0"/>
                <w:sz w:val="24"/>
                <w:szCs w:val="24"/>
              </w:rPr>
              <w:t>三、封场后</w:t>
            </w:r>
            <w:r>
              <w:rPr>
                <w:b/>
                <w:color w:val="auto"/>
                <w:sz w:val="24"/>
                <w:szCs w:val="24"/>
              </w:rPr>
              <w:t>环境影响分析</w:t>
            </w:r>
          </w:p>
          <w:p>
            <w:pPr>
              <w:adjustRightInd w:val="0"/>
              <w:snapToGrid w:val="0"/>
              <w:spacing w:line="360" w:lineRule="auto"/>
              <w:ind w:firstLine="422"/>
              <w:jc w:val="left"/>
              <w:rPr>
                <w:color w:val="auto"/>
                <w:kern w:val="0"/>
                <w:sz w:val="24"/>
                <w:szCs w:val="24"/>
              </w:rPr>
            </w:pPr>
            <w:r>
              <w:rPr>
                <w:color w:val="auto"/>
                <w:sz w:val="24"/>
                <w:szCs w:val="24"/>
              </w:rPr>
              <w:t>本工程</w:t>
            </w:r>
            <w:r>
              <w:rPr>
                <w:color w:val="auto"/>
                <w:kern w:val="0"/>
                <w:sz w:val="24"/>
                <w:szCs w:val="24"/>
              </w:rPr>
              <w:t>堆填场服务期满后，主要进行堆填区表面植被抚育，以促进植被生长、生态环境恢复和改善。</w:t>
            </w:r>
          </w:p>
          <w:p>
            <w:pPr>
              <w:adjustRightInd w:val="0"/>
              <w:snapToGrid w:val="0"/>
              <w:spacing w:line="360" w:lineRule="auto"/>
              <w:ind w:firstLine="480" w:firstLineChars="200"/>
              <w:jc w:val="left"/>
              <w:rPr>
                <w:color w:val="auto"/>
                <w:kern w:val="0"/>
                <w:sz w:val="24"/>
                <w:szCs w:val="24"/>
              </w:rPr>
            </w:pPr>
            <w:r>
              <w:rPr>
                <w:color w:val="auto"/>
                <w:kern w:val="0"/>
                <w:sz w:val="24"/>
                <w:szCs w:val="24"/>
              </w:rPr>
              <w:t>封场后对外环境的影响主要是封场前期产生的少量渗出水，封场后将继续对</w:t>
            </w:r>
            <w:r>
              <w:rPr>
                <w:rFonts w:hint="eastAsia"/>
                <w:color w:val="auto"/>
                <w:kern w:val="0"/>
                <w:sz w:val="24"/>
                <w:szCs w:val="24"/>
                <w:lang w:eastAsia="zh-CN"/>
              </w:rPr>
              <w:t>工程</w:t>
            </w:r>
            <w:r>
              <w:rPr>
                <w:color w:val="auto"/>
                <w:kern w:val="0"/>
                <w:sz w:val="24"/>
                <w:szCs w:val="24"/>
              </w:rPr>
              <w:t>产生的渗出水进行处理，直到不再产生渗出水为止。封场后植被恢复前期由于植被盖度尚未达到较好的程度，如遇大风干旱天气，会产生一定的扬尘，大雨天气易引发水土流失。</w:t>
            </w:r>
          </w:p>
          <w:p>
            <w:pPr>
              <w:adjustRightInd w:val="0"/>
              <w:snapToGrid w:val="0"/>
              <w:spacing w:line="360" w:lineRule="auto"/>
              <w:ind w:firstLine="482" w:firstLineChars="200"/>
              <w:rPr>
                <w:b/>
                <w:bCs/>
                <w:color w:val="auto"/>
                <w:sz w:val="24"/>
                <w:szCs w:val="24"/>
              </w:rPr>
            </w:pPr>
            <w:r>
              <w:rPr>
                <w:b/>
                <w:bCs/>
                <w:color w:val="auto"/>
                <w:sz w:val="24"/>
                <w:szCs w:val="24"/>
              </w:rPr>
              <w:t>1、大气</w:t>
            </w:r>
            <w:r>
              <w:rPr>
                <w:b/>
                <w:color w:val="auto"/>
                <w:sz w:val="24"/>
                <w:szCs w:val="24"/>
              </w:rPr>
              <w:t>环境影响分析</w:t>
            </w:r>
          </w:p>
          <w:p>
            <w:pPr>
              <w:spacing w:line="360" w:lineRule="auto"/>
              <w:ind w:firstLine="480"/>
              <w:rPr>
                <w:color w:val="auto"/>
                <w:sz w:val="24"/>
                <w:szCs w:val="24"/>
              </w:rPr>
            </w:pPr>
            <w:r>
              <w:rPr>
                <w:color w:val="auto"/>
                <w:sz w:val="24"/>
                <w:szCs w:val="24"/>
              </w:rPr>
              <w:t>本</w:t>
            </w:r>
            <w:r>
              <w:rPr>
                <w:rFonts w:hint="eastAsia"/>
                <w:color w:val="auto"/>
                <w:sz w:val="24"/>
                <w:szCs w:val="24"/>
                <w:lang w:eastAsia="zh-CN"/>
              </w:rPr>
              <w:t>工程</w:t>
            </w:r>
            <w:r>
              <w:rPr>
                <w:color w:val="auto"/>
                <w:sz w:val="24"/>
                <w:szCs w:val="24"/>
              </w:rPr>
              <w:t>对于堆填区实施分区分期堆填，分区分期恢复植被，封场后堆填区最终将达到整体绿化，植被覆盖全部堆填区。</w:t>
            </w:r>
          </w:p>
          <w:p>
            <w:pPr>
              <w:spacing w:line="360" w:lineRule="auto"/>
              <w:ind w:firstLine="480"/>
              <w:rPr>
                <w:color w:val="auto"/>
                <w:sz w:val="24"/>
                <w:szCs w:val="24"/>
              </w:rPr>
            </w:pPr>
            <w:r>
              <w:rPr>
                <w:color w:val="auto"/>
                <w:sz w:val="24"/>
                <w:szCs w:val="24"/>
              </w:rPr>
              <w:t>植被恢复前期由于植被盖度尚未达到较好的程度，如遇大风干早天气，会产生一定的扬尘，但是较堆填区未恢复植被时而言，裸露地表面积大大减少，扬尘产生量将大大减少，且恢复的植被将会削弱风速，风速减小，起尘量也会减少，扬尘将会得到一定的治理，影响范围和影响程度较运营期将会更小。</w:t>
            </w:r>
          </w:p>
          <w:p>
            <w:pPr>
              <w:adjustRightInd w:val="0"/>
              <w:snapToGrid w:val="0"/>
              <w:spacing w:line="360" w:lineRule="auto"/>
              <w:ind w:firstLine="480" w:firstLineChars="200"/>
              <w:jc w:val="left"/>
              <w:rPr>
                <w:color w:val="auto"/>
                <w:sz w:val="24"/>
                <w:szCs w:val="24"/>
              </w:rPr>
            </w:pPr>
            <w:r>
              <w:rPr>
                <w:color w:val="auto"/>
                <w:sz w:val="24"/>
                <w:szCs w:val="24"/>
              </w:rPr>
              <w:t>植被恢复远期随着植被生长，植被覆盖度的逐渐增大，扬尘产生量会越来越少，最终植被恢复稳定后扬尘产生量将会非常微小，影响微弱。</w:t>
            </w:r>
          </w:p>
          <w:p>
            <w:pPr>
              <w:adjustRightInd w:val="0"/>
              <w:snapToGrid w:val="0"/>
              <w:spacing w:line="360" w:lineRule="auto"/>
              <w:ind w:firstLine="482" w:firstLineChars="200"/>
              <w:rPr>
                <w:b/>
                <w:bCs/>
                <w:color w:val="auto"/>
                <w:sz w:val="24"/>
                <w:szCs w:val="24"/>
              </w:rPr>
            </w:pPr>
            <w:r>
              <w:rPr>
                <w:b/>
                <w:bCs/>
                <w:color w:val="auto"/>
                <w:sz w:val="24"/>
                <w:szCs w:val="24"/>
              </w:rPr>
              <w:t>2、水</w:t>
            </w:r>
            <w:r>
              <w:rPr>
                <w:b/>
                <w:color w:val="auto"/>
                <w:sz w:val="24"/>
                <w:szCs w:val="24"/>
              </w:rPr>
              <w:t>环境影响分析</w:t>
            </w:r>
          </w:p>
          <w:p>
            <w:pPr>
              <w:spacing w:line="360" w:lineRule="auto"/>
              <w:ind w:firstLine="480"/>
              <w:rPr>
                <w:color w:val="auto"/>
                <w:sz w:val="24"/>
                <w:szCs w:val="24"/>
              </w:rPr>
            </w:pPr>
            <w:r>
              <w:rPr>
                <w:color w:val="auto"/>
                <w:sz w:val="24"/>
                <w:szCs w:val="24"/>
              </w:rPr>
              <w:t>本</w:t>
            </w:r>
            <w:r>
              <w:rPr>
                <w:rFonts w:hint="eastAsia"/>
                <w:color w:val="auto"/>
                <w:sz w:val="24"/>
                <w:szCs w:val="24"/>
                <w:lang w:eastAsia="zh-CN"/>
              </w:rPr>
              <w:t>工程</w:t>
            </w:r>
            <w:r>
              <w:rPr>
                <w:color w:val="auto"/>
                <w:sz w:val="24"/>
                <w:szCs w:val="24"/>
              </w:rPr>
              <w:t>终场后在一定时间内堆场还会稳定的产生一定量的渗出水，渗出水通过收集导排系统，收集后自流进入沉淀池，终场后堆填区稳定后一定时间，</w:t>
            </w:r>
            <w:r>
              <w:rPr>
                <w:rFonts w:hint="eastAsia"/>
                <w:color w:val="auto"/>
                <w:sz w:val="24"/>
                <w:szCs w:val="24"/>
              </w:rPr>
              <w:t>渗出水</w:t>
            </w:r>
            <w:r>
              <w:rPr>
                <w:color w:val="auto"/>
                <w:sz w:val="24"/>
                <w:szCs w:val="24"/>
              </w:rPr>
              <w:t>产生量较小，影响微弱。</w:t>
            </w:r>
          </w:p>
          <w:p>
            <w:pPr>
              <w:spacing w:line="360" w:lineRule="auto"/>
              <w:ind w:firstLine="480"/>
              <w:rPr>
                <w:color w:val="auto"/>
                <w:sz w:val="24"/>
                <w:szCs w:val="24"/>
              </w:rPr>
            </w:pPr>
            <w:r>
              <w:rPr>
                <w:color w:val="auto"/>
                <w:sz w:val="24"/>
                <w:szCs w:val="24"/>
              </w:rPr>
              <w:t>堆填场终场前期</w:t>
            </w:r>
            <w:r>
              <w:rPr>
                <w:rFonts w:hint="eastAsia"/>
                <w:color w:val="auto"/>
                <w:sz w:val="24"/>
                <w:szCs w:val="24"/>
              </w:rPr>
              <w:t>渗出水沉淀池</w:t>
            </w:r>
            <w:r>
              <w:rPr>
                <w:color w:val="auto"/>
                <w:sz w:val="24"/>
                <w:szCs w:val="24"/>
              </w:rPr>
              <w:t>仍然运行，所产生的渗出水沉淀处理后绿化降尘等综合利用，无污废水排放，水环境影响较小。</w:t>
            </w:r>
          </w:p>
          <w:p>
            <w:pPr>
              <w:adjustRightInd w:val="0"/>
              <w:snapToGrid w:val="0"/>
              <w:spacing w:line="360" w:lineRule="auto"/>
              <w:ind w:firstLine="482" w:firstLineChars="200"/>
              <w:rPr>
                <w:b/>
                <w:bCs/>
                <w:color w:val="auto"/>
                <w:sz w:val="24"/>
                <w:szCs w:val="24"/>
              </w:rPr>
            </w:pPr>
            <w:r>
              <w:rPr>
                <w:b/>
                <w:bCs/>
                <w:color w:val="auto"/>
                <w:sz w:val="24"/>
                <w:szCs w:val="24"/>
              </w:rPr>
              <w:t>3、生态</w:t>
            </w:r>
            <w:r>
              <w:rPr>
                <w:b/>
                <w:color w:val="auto"/>
                <w:sz w:val="24"/>
                <w:szCs w:val="24"/>
              </w:rPr>
              <w:t>环境影响分析</w:t>
            </w:r>
          </w:p>
          <w:p>
            <w:pPr>
              <w:spacing w:line="360" w:lineRule="auto"/>
              <w:ind w:firstLine="480"/>
              <w:rPr>
                <w:color w:val="auto"/>
                <w:sz w:val="24"/>
                <w:szCs w:val="24"/>
              </w:rPr>
            </w:pPr>
            <w:r>
              <w:rPr>
                <w:color w:val="auto"/>
                <w:sz w:val="24"/>
                <w:szCs w:val="24"/>
              </w:rPr>
              <w:t>终场期堆填区全部覆土，恢复植被，植被选用当地本土物种，选用生长旺盛的植株，植被恢复为乔灌草相结合的方式实施，林草成活率高，成林快，最终植被达到工程建设前该区域植被较好地段的生物量和覆盖度。</w:t>
            </w:r>
          </w:p>
          <w:p>
            <w:pPr>
              <w:spacing w:line="360" w:lineRule="auto"/>
              <w:ind w:firstLine="480"/>
              <w:rPr>
                <w:bCs/>
                <w:color w:val="auto"/>
                <w:szCs w:val="21"/>
              </w:rPr>
            </w:pPr>
            <w:r>
              <w:rPr>
                <w:color w:val="auto"/>
                <w:sz w:val="24"/>
                <w:szCs w:val="24"/>
              </w:rPr>
              <w:t>植被恢复后区域绿化率比工程实施之前将有所提高，对于堆填区水士流失的治理将会起到积极的作用，但是植被恢复时需先覆土，覆土时如遇大风、多雨天气会发生水土流失，所以覆土要尽量避开大风、多雨季节，覆土后应及时恢复植被，避免土壤长期裸露带来的水土流失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jc w:val="center"/>
        </w:trPr>
        <w:tc>
          <w:tcPr>
            <w:tcW w:w="879" w:type="dxa"/>
            <w:vAlign w:val="center"/>
          </w:tcPr>
          <w:p>
            <w:pPr>
              <w:pStyle w:val="18"/>
              <w:adjustRightInd w:val="0"/>
              <w:snapToGrid w:val="0"/>
              <w:spacing w:before="0" w:beforeAutospacing="0" w:after="0" w:afterAutospacing="0"/>
              <w:jc w:val="center"/>
              <w:rPr>
                <w:rFonts w:ascii="Times New Roman" w:hAnsi="Times New Roman"/>
                <w:bCs/>
                <w:kern w:val="2"/>
                <w:sz w:val="24"/>
                <w:szCs w:val="24"/>
              </w:rPr>
            </w:pPr>
            <w:r>
              <w:rPr>
                <w:rFonts w:ascii="Times New Roman" w:hAnsi="Times New Roman"/>
                <w:bCs/>
                <w:kern w:val="2"/>
                <w:sz w:val="24"/>
                <w:szCs w:val="24"/>
              </w:rPr>
              <w:t>选址选线环境合理性分析</w:t>
            </w:r>
          </w:p>
        </w:tc>
        <w:tc>
          <w:tcPr>
            <w:tcW w:w="8363" w:type="dxa"/>
          </w:tcPr>
          <w:p>
            <w:pPr>
              <w:numPr>
                <w:ilvl w:val="0"/>
                <w:numId w:val="4"/>
              </w:numPr>
              <w:adjustRightInd w:val="0"/>
              <w:snapToGrid w:val="0"/>
              <w:spacing w:line="360" w:lineRule="auto"/>
              <w:jc w:val="left"/>
              <w:rPr>
                <w:rFonts w:hint="eastAsia"/>
                <w:b/>
                <w:bCs/>
                <w:color w:val="auto"/>
                <w:sz w:val="24"/>
                <w:szCs w:val="24"/>
                <w:lang w:val="en-US" w:eastAsia="zh-CN"/>
              </w:rPr>
            </w:pPr>
            <w:r>
              <w:rPr>
                <w:rFonts w:hint="eastAsia"/>
                <w:b/>
                <w:bCs/>
                <w:color w:val="auto"/>
                <w:sz w:val="24"/>
                <w:szCs w:val="24"/>
                <w:lang w:val="en-US" w:eastAsia="zh-CN"/>
              </w:rPr>
              <w:t>本工程选址与相关选址要求符合性分析</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本工程选址与相关选址要求符合性分析见下表。</w:t>
            </w:r>
          </w:p>
          <w:p>
            <w:pPr>
              <w:pStyle w:val="2"/>
              <w:numPr>
                <w:ilvl w:val="0"/>
                <w:numId w:val="0"/>
              </w:num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表4-12本工程选址与相关选址要求符合性分析</w:t>
            </w:r>
          </w:p>
          <w:tbl>
            <w:tblPr>
              <w:tblStyle w:val="24"/>
              <w:tblW w:w="8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225"/>
              <w:gridCol w:w="282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名称</w:t>
                  </w: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选址要求</w:t>
                  </w:r>
                </w:p>
              </w:tc>
              <w:tc>
                <w:tcPr>
                  <w:tcW w:w="2820"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工程选址情况</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《建筑垃圾处理技术标准》（CJJ/T134-2019）</w:t>
                  </w: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应符合当地城市总体规划、</w:t>
                  </w:r>
                  <w:r>
                    <w:rPr>
                      <w:rFonts w:hint="eastAsia" w:ascii="Times New Roman" w:hAnsi="Times New Roman" w:eastAsia="宋体" w:cs="Times New Roman"/>
                      <w:color w:val="auto"/>
                      <w:sz w:val="21"/>
                      <w:szCs w:val="21"/>
                      <w:vertAlign w:val="baseline"/>
                      <w:lang w:val="en-US" w:eastAsia="zh-CN"/>
                    </w:rPr>
                    <w:t>环卫</w:t>
                  </w:r>
                  <w:r>
                    <w:rPr>
                      <w:rFonts w:hint="default" w:ascii="Times New Roman" w:hAnsi="Times New Roman" w:eastAsia="宋体" w:cs="Times New Roman"/>
                      <w:color w:val="auto"/>
                      <w:sz w:val="21"/>
                      <w:szCs w:val="21"/>
                      <w:vertAlign w:val="baseline"/>
                      <w:lang w:val="en-US" w:eastAsia="zh-CN"/>
                    </w:rPr>
                    <w:t>设施专项规划以及国家现行有关标准的规定。</w:t>
                  </w:r>
                </w:p>
              </w:tc>
              <w:tc>
                <w:tcPr>
                  <w:tcW w:w="2820"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根据“一、建设项目基本情况中其他符合性分析”，本工程符合国家相关政策和标准</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应与当地的大气防护、水土资源保护、自然保护及生态平衡要求相一致。</w:t>
                  </w:r>
                </w:p>
              </w:tc>
              <w:tc>
                <w:tcPr>
                  <w:tcW w:w="2820"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根据项目影响分析，本工程对周围环境影响较小</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工</w:t>
                  </w:r>
                  <w:r>
                    <w:rPr>
                      <w:rFonts w:hint="default" w:ascii="Times New Roman" w:hAnsi="Times New Roman" w:eastAsia="宋体" w:cs="Times New Roman"/>
                      <w:color w:val="auto"/>
                      <w:sz w:val="21"/>
                      <w:szCs w:val="21"/>
                      <w:vertAlign w:val="baseline"/>
                      <w:lang w:val="en-US" w:eastAsia="zh-CN"/>
                    </w:rPr>
                    <w:t>程地质与水文地质条件应满足设施建设和运行的要求</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不应选在发震断层、滑坡、泥石流、沼泽、流沙及采矿陷落区等地区。</w:t>
                  </w:r>
                </w:p>
              </w:tc>
              <w:tc>
                <w:tcPr>
                  <w:tcW w:w="2820" w:type="dxa"/>
                  <w:vAlign w:val="center"/>
                </w:tcPr>
                <w:p>
                  <w:pPr>
                    <w:pStyle w:val="2"/>
                    <w:keepNext w:val="0"/>
                    <w:keepLines w:val="0"/>
                    <w:pageBreakBefore w:val="0"/>
                    <w:widowControl w:val="0"/>
                    <w:numPr>
                      <w:ilvl w:val="0"/>
                      <w:numId w:val="0"/>
                    </w:numPr>
                    <w:kinsoku/>
                    <w:wordWrap/>
                    <w:overflowPunct/>
                    <w:topLinePunct w:val="0"/>
                    <w:bidi w:val="0"/>
                    <w:adjustRightIn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本工程所在区域</w:t>
                  </w:r>
                  <w:r>
                    <w:rPr>
                      <w:rFonts w:hint="default" w:ascii="Times New Roman" w:hAnsi="Times New Roman" w:eastAsia="宋体" w:cs="Times New Roman"/>
                      <w:color w:val="auto"/>
                      <w:sz w:val="21"/>
                      <w:szCs w:val="21"/>
                      <w:vertAlign w:val="baseline"/>
                      <w:lang w:val="en-US" w:eastAsia="zh-CN"/>
                    </w:rPr>
                    <w:t>不在发震断层、滑坡、泥石流、沼泽、流沙及采矿陷落区等不稳定区域</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应交通方便、运距合理,并应综合建筑垃圾处理厂的服务区域、建筑垃圾收集运输能力、产品出路、预留发展等因素。</w:t>
                  </w:r>
                </w:p>
              </w:tc>
              <w:tc>
                <w:tcPr>
                  <w:tcW w:w="2820"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olor w:val="auto"/>
                      <w:sz w:val="21"/>
                      <w:szCs w:val="21"/>
                      <w:lang w:eastAsia="zh-CN"/>
                    </w:rPr>
                    <w:t>本工程</w:t>
                  </w:r>
                  <w:r>
                    <w:rPr>
                      <w:color w:val="auto"/>
                      <w:sz w:val="21"/>
                      <w:szCs w:val="21"/>
                    </w:rPr>
                    <w:t>西侧为</w:t>
                  </w:r>
                  <w:r>
                    <w:rPr>
                      <w:color w:val="auto"/>
                      <w:kern w:val="0"/>
                      <w:sz w:val="21"/>
                      <w:szCs w:val="21"/>
                    </w:rPr>
                    <w:t>丹庾公路，</w:t>
                  </w:r>
                  <w:r>
                    <w:rPr>
                      <w:color w:val="auto"/>
                      <w:sz w:val="21"/>
                      <w:szCs w:val="21"/>
                    </w:rPr>
                    <w:t>交通便利，运距合理</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应有良好的电力、给水和排水条件。</w:t>
                  </w:r>
                </w:p>
              </w:tc>
              <w:tc>
                <w:tcPr>
                  <w:tcW w:w="2820" w:type="dxa"/>
                  <w:vAlign w:val="center"/>
                </w:tcPr>
                <w:p>
                  <w:pPr>
                    <w:pStyle w:val="2"/>
                    <w:keepNext w:val="0"/>
                    <w:keepLines w:val="0"/>
                    <w:pageBreakBefore w:val="0"/>
                    <w:widowControl w:val="0"/>
                    <w:numPr>
                      <w:ilvl w:val="0"/>
                      <w:numId w:val="0"/>
                    </w:numPr>
                    <w:kinsoku/>
                    <w:wordWrap/>
                    <w:overflowPunct/>
                    <w:topLinePunct w:val="0"/>
                    <w:bidi w:val="0"/>
                    <w:adjustRightInd w:val="0"/>
                    <w:spacing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宋体" w:hAnsi="宋体" w:eastAsia="宋体" w:cs="宋体"/>
                      <w:color w:val="auto"/>
                      <w:sz w:val="21"/>
                      <w:szCs w:val="21"/>
                      <w:lang w:eastAsia="zh-CN"/>
                    </w:rPr>
                    <w:t>本工程</w:t>
                  </w:r>
                  <w:r>
                    <w:rPr>
                      <w:rFonts w:hint="eastAsia" w:ascii="宋体" w:hAnsi="宋体" w:eastAsia="宋体" w:cs="宋体"/>
                      <w:color w:val="auto"/>
                      <w:sz w:val="21"/>
                      <w:szCs w:val="21"/>
                    </w:rPr>
                    <w:t>供水依托龙驹寨街道办凤麓社区椒树洼组自来水管道、供电依托公路边10kV电源</w:t>
                  </w:r>
                  <w:r>
                    <w:rPr>
                      <w:rFonts w:hint="eastAsia" w:ascii="宋体" w:hAnsi="宋体" w:eastAsia="宋体" w:cs="宋体"/>
                      <w:color w:val="auto"/>
                      <w:sz w:val="21"/>
                      <w:szCs w:val="21"/>
                      <w:lang w:eastAsia="zh-CN"/>
                    </w:rPr>
                    <w:t>，具有良好的</w:t>
                  </w:r>
                  <w:r>
                    <w:rPr>
                      <w:rFonts w:hint="default" w:ascii="Times New Roman" w:hAnsi="Times New Roman" w:eastAsia="宋体" w:cs="Times New Roman"/>
                      <w:color w:val="auto"/>
                      <w:sz w:val="21"/>
                      <w:szCs w:val="21"/>
                      <w:vertAlign w:val="baseline"/>
                      <w:lang w:val="en-US" w:eastAsia="zh-CN"/>
                    </w:rPr>
                    <w:t>电力、给水和排水条件</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应位于地下水贫乏地区、环境保护目标区域的地下水流</w:t>
                  </w:r>
                  <w:r>
                    <w:rPr>
                      <w:rFonts w:hint="eastAsia" w:ascii="Times New Roman" w:hAnsi="Times New Roman" w:eastAsia="宋体" w:cs="Times New Roman"/>
                      <w:color w:val="auto"/>
                      <w:sz w:val="21"/>
                      <w:szCs w:val="21"/>
                      <w:vertAlign w:val="baseline"/>
                      <w:lang w:val="en-US" w:eastAsia="zh-CN"/>
                    </w:rPr>
                    <w:t>向得下游地区，及夏季主导风向下风向</w:t>
                  </w:r>
                </w:p>
              </w:tc>
              <w:tc>
                <w:tcPr>
                  <w:tcW w:w="2820"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根据岩土勘察报告，本工程岩土勘察，勘探孔深度约我18.0~30.0m，在勘探深度范围内未见地下水。最近敏感目标为椒树洼组，丹凤县主要风向为西北风，本工程位于居民区主导风向侧风向</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不应受洪水、潮水或内涝得威胁。须建在该类地区时，应有可靠得防洪、排涝措施</w:t>
                  </w:r>
                </w:p>
              </w:tc>
              <w:tc>
                <w:tcPr>
                  <w:tcW w:w="2820"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根据现场勘察，本工程不受洪水、潮水或内涝得威胁</w:t>
                  </w:r>
                  <w:r>
                    <w:rPr>
                      <w:rFonts w:hint="eastAsia" w:ascii="Times New Roman" w:eastAsia="宋体" w:cs="Times New Roman"/>
                      <w:color w:val="auto"/>
                      <w:sz w:val="21"/>
                      <w:szCs w:val="21"/>
                      <w:vertAlign w:val="baseline"/>
                      <w:lang w:val="en-US" w:eastAsia="zh-CN"/>
                    </w:rPr>
                    <w:t>。且本工程设置截洪沟满足排洪措施</w:t>
                  </w:r>
                </w:p>
              </w:tc>
              <w:tc>
                <w:tcPr>
                  <w:tcW w:w="849" w:type="dxa"/>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建筑垃圾堆填场应选择具有自然低洼地势的山坳、采石场废坑等地点，并应满足交通方便、运距合理的要求。</w:t>
                  </w:r>
                </w:p>
              </w:tc>
              <w:tc>
                <w:tcPr>
                  <w:tcW w:w="2820" w:type="dxa"/>
                  <w:vAlign w:val="center"/>
                </w:tcPr>
                <w:p>
                  <w:pPr>
                    <w:pStyle w:val="2"/>
                    <w:numPr>
                      <w:ilvl w:val="0"/>
                      <w:numId w:val="0"/>
                    </w:num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本工程选址符合相关规范，</w:t>
                  </w:r>
                  <w:r>
                    <w:rPr>
                      <w:rFonts w:hint="eastAsia" w:ascii="宋体" w:hAnsi="宋体" w:eastAsia="宋体" w:cs="宋体"/>
                      <w:color w:val="auto"/>
                      <w:kern w:val="0"/>
                      <w:sz w:val="21"/>
                      <w:szCs w:val="21"/>
                    </w:rPr>
                    <w:t>堆填区</w:t>
                  </w:r>
                  <w:r>
                    <w:rPr>
                      <w:rFonts w:hint="eastAsia" w:ascii="宋体" w:hAnsi="宋体" w:eastAsia="宋体" w:cs="宋体"/>
                      <w:color w:val="auto"/>
                      <w:sz w:val="21"/>
                      <w:szCs w:val="21"/>
                    </w:rPr>
                    <w:t>依托现有沟谷，收集周边的建筑垃圾，交通便利，运距合理。</w:t>
                  </w:r>
                </w:p>
              </w:tc>
              <w:tc>
                <w:tcPr>
                  <w:tcW w:w="849"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adjustRightInd w:val="0"/>
                    <w:jc w:val="left"/>
                    <w:rPr>
                      <w:rFonts w:hint="eastAsia" w:ascii="Times New Roman" w:hAnsi="Times New Roman" w:eastAsia="宋体" w:cs="Times New Roman"/>
                      <w:color w:val="auto"/>
                      <w:kern w:val="2"/>
                      <w:sz w:val="21"/>
                      <w:szCs w:val="21"/>
                      <w:lang w:val="en-US" w:eastAsia="zh-CN" w:bidi="ar-SA"/>
                    </w:rPr>
                  </w:pPr>
                  <w:r>
                    <w:rPr>
                      <w:color w:val="auto"/>
                      <w:szCs w:val="21"/>
                    </w:rPr>
                    <w:t>建筑垃圾堆填场选址严禁设在下列地区：（1）地下水集中供水水源地及补给区；（2）洪泛区和泄洪道；（3）活动的坍塌地带。尚未开采的地下蕴矿区、灰岩坑及溶岩洞区。</w:t>
                  </w:r>
                </w:p>
              </w:tc>
              <w:tc>
                <w:tcPr>
                  <w:tcW w:w="2820" w:type="dxa"/>
                  <w:vAlign w:val="center"/>
                </w:tcPr>
                <w:p>
                  <w:pPr>
                    <w:adjustRightInd w:val="0"/>
                    <w:jc w:val="left"/>
                    <w:rPr>
                      <w:rFonts w:hint="eastAsia" w:ascii="Times New Roman" w:hAnsi="Times New Roman" w:eastAsia="宋体" w:cs="Times New Roman"/>
                      <w:color w:val="auto"/>
                      <w:kern w:val="2"/>
                      <w:sz w:val="21"/>
                      <w:szCs w:val="21"/>
                      <w:lang w:val="en-US" w:eastAsia="zh-CN" w:bidi="ar-SA"/>
                    </w:rPr>
                  </w:pPr>
                  <w:r>
                    <w:rPr>
                      <w:color w:val="auto"/>
                      <w:sz w:val="21"/>
                      <w:szCs w:val="21"/>
                    </w:rPr>
                    <w:t>本工程不涉及地下水水源地、洪泛区和泄洪道，工程区地层稳定，不在活动的坍塌地带及尚未开采的地下蕴矿区、灰岩坑及溶岩洞区。</w:t>
                  </w:r>
                </w:p>
              </w:tc>
              <w:tc>
                <w:tcPr>
                  <w:tcW w:w="849" w:type="dxa"/>
                  <w:vAlign w:val="center"/>
                </w:tcPr>
                <w:p>
                  <w:pPr>
                    <w:autoSpaceDE w:val="0"/>
                    <w:autoSpaceDN w:val="0"/>
                    <w:contextualSpacing/>
                    <w:jc w:val="center"/>
                    <w:rPr>
                      <w:rFonts w:hint="eastAsia" w:ascii="Times New Roman" w:hAnsi="Times New Roman" w:eastAsia="宋体" w:cs="Times New Roman"/>
                      <w:color w:val="auto"/>
                      <w:kern w:val="2"/>
                      <w:sz w:val="21"/>
                      <w:szCs w:val="21"/>
                      <w:lang w:val="en-US" w:eastAsia="zh-CN" w:bidi="ar-SA"/>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adjustRightInd w:val="0"/>
                    <w:jc w:val="left"/>
                    <w:rPr>
                      <w:rFonts w:hint="eastAsia" w:ascii="Times New Roman" w:hAnsi="Times New Roman" w:eastAsia="宋体" w:cs="Times New Roman"/>
                      <w:color w:val="auto"/>
                      <w:kern w:val="2"/>
                      <w:sz w:val="21"/>
                      <w:szCs w:val="21"/>
                      <w:lang w:val="en-US" w:eastAsia="zh-CN" w:bidi="ar-SA"/>
                    </w:rPr>
                  </w:pPr>
                  <w:r>
                    <w:rPr>
                      <w:color w:val="auto"/>
                      <w:szCs w:val="21"/>
                    </w:rPr>
                    <w:t>建筑垃圾堆填场选址不应设在下列地区：（1）珍贵动植物保护区和国家、省级自然保护区；（2）文物古迹区，考古学、历史学、生物学研究考察区；（3）军事要地、基地，军工基地和国家保密地区。</w:t>
                  </w:r>
                </w:p>
              </w:tc>
              <w:tc>
                <w:tcPr>
                  <w:tcW w:w="2820" w:type="dxa"/>
                  <w:vAlign w:val="center"/>
                </w:tcPr>
                <w:p>
                  <w:pPr>
                    <w:adjustRightInd w:val="0"/>
                    <w:jc w:val="left"/>
                    <w:rPr>
                      <w:rFonts w:hint="eastAsia" w:ascii="Times New Roman" w:hAnsi="Times New Roman" w:eastAsia="宋体" w:cs="Times New Roman"/>
                      <w:color w:val="auto"/>
                      <w:kern w:val="2"/>
                      <w:sz w:val="21"/>
                      <w:szCs w:val="21"/>
                      <w:lang w:val="en-US" w:eastAsia="zh-CN" w:bidi="ar-SA"/>
                    </w:rPr>
                  </w:pPr>
                  <w:r>
                    <w:rPr>
                      <w:color w:val="auto"/>
                      <w:szCs w:val="21"/>
                    </w:rPr>
                    <w:t>本工程不涉及珍贵动植物保护区和国家、省级自然保护区，不涉及文物古迹区，考古学、历史学、生物学研究考察区及军事要地。</w:t>
                  </w:r>
                </w:p>
              </w:tc>
              <w:tc>
                <w:tcPr>
                  <w:tcW w:w="849" w:type="dxa"/>
                  <w:vAlign w:val="center"/>
                </w:tcPr>
                <w:p>
                  <w:pPr>
                    <w:autoSpaceDE w:val="0"/>
                    <w:autoSpaceDN w:val="0"/>
                    <w:contextualSpacing/>
                    <w:jc w:val="center"/>
                    <w:rPr>
                      <w:rFonts w:hint="eastAsia" w:ascii="Times New Roman" w:hAnsi="Times New Roman" w:eastAsia="宋体" w:cs="Times New Roman"/>
                      <w:color w:val="auto"/>
                      <w:kern w:val="2"/>
                      <w:sz w:val="21"/>
                      <w:szCs w:val="21"/>
                      <w:lang w:val="en-US" w:eastAsia="zh-CN" w:bidi="ar-SA"/>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《建筑废弃物再生工厂设计标准》（GB51322-2018）</w:t>
                  </w:r>
                </w:p>
              </w:tc>
              <w:tc>
                <w:tcPr>
                  <w:tcW w:w="3225"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厂址应位于城镇和居住区全年最小频率风向的上风侧。厂址不应选在窝风地段</w:t>
                  </w:r>
                </w:p>
              </w:tc>
              <w:tc>
                <w:tcPr>
                  <w:tcW w:w="2820"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丹凤县主要风向为西北风，本工程位于居民区主导风向侧风向</w:t>
                  </w:r>
                </w:p>
              </w:tc>
              <w:tc>
                <w:tcPr>
                  <w:tcW w:w="849"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3" w:type="dxa"/>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p>
              </w:tc>
              <w:tc>
                <w:tcPr>
                  <w:tcW w:w="3225"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厂址应选择在土石方开挖工程量少、工程地质和水文地质条件较好的地带，并应避开山洪、滑坡、泥石流等地质灾害易发地段</w:t>
                  </w:r>
                </w:p>
              </w:tc>
              <w:tc>
                <w:tcPr>
                  <w:tcW w:w="2820"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宋体" w:hAnsi="宋体" w:eastAsia="宋体" w:cs="宋体"/>
                      <w:color w:val="auto"/>
                      <w:sz w:val="21"/>
                      <w:szCs w:val="21"/>
                    </w:rPr>
                    <w:t>本工程选址符合相关规范，</w:t>
                  </w:r>
                  <w:r>
                    <w:rPr>
                      <w:rFonts w:hint="eastAsia" w:ascii="宋体" w:hAnsi="宋体" w:eastAsia="宋体" w:cs="宋体"/>
                      <w:color w:val="auto"/>
                      <w:kern w:val="0"/>
                      <w:sz w:val="21"/>
                      <w:szCs w:val="21"/>
                    </w:rPr>
                    <w:t>堆填区</w:t>
                  </w:r>
                  <w:r>
                    <w:rPr>
                      <w:rFonts w:hint="eastAsia" w:ascii="宋体" w:hAnsi="宋体" w:eastAsia="宋体" w:cs="宋体"/>
                      <w:color w:val="auto"/>
                      <w:sz w:val="21"/>
                      <w:szCs w:val="21"/>
                    </w:rPr>
                    <w:t>依托现有沟谷，</w:t>
                  </w:r>
                  <w:r>
                    <w:rPr>
                      <w:rFonts w:hint="eastAsia" w:ascii="Times New Roman" w:hAnsi="Times New Roman" w:eastAsia="宋体" w:cs="Times New Roman"/>
                      <w:color w:val="auto"/>
                      <w:sz w:val="21"/>
                      <w:szCs w:val="21"/>
                      <w:vertAlign w:val="baseline"/>
                      <w:lang w:val="en-US" w:eastAsia="zh-CN"/>
                    </w:rPr>
                    <w:t>土石方开挖工程量少</w:t>
                  </w:r>
                  <w:r>
                    <w:rPr>
                      <w:rFonts w:hint="eastAsia" w:asci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本工程所在区域</w:t>
                  </w:r>
                  <w:r>
                    <w:rPr>
                      <w:rFonts w:hint="default" w:ascii="Times New Roman" w:hAnsi="Times New Roman" w:eastAsia="宋体" w:cs="Times New Roman"/>
                      <w:color w:val="auto"/>
                      <w:sz w:val="21"/>
                      <w:szCs w:val="21"/>
                      <w:vertAlign w:val="baseline"/>
                      <w:lang w:val="en-US" w:eastAsia="zh-CN"/>
                    </w:rPr>
                    <w:t>不在发震断层、滑坡、泥石流、沼泽、流沙及采矿陷落区等不稳定区域</w:t>
                  </w:r>
                  <w:r>
                    <w:rPr>
                      <w:rFonts w:hint="eastAsia" w:ascii="Times New Roman" w:eastAsia="宋体" w:cs="Times New Roman"/>
                      <w:color w:val="auto"/>
                      <w:sz w:val="21"/>
                      <w:szCs w:val="21"/>
                      <w:vertAlign w:val="baseline"/>
                      <w:lang w:val="en-US" w:eastAsia="zh-CN"/>
                    </w:rPr>
                    <w:t>，本工程所在地为</w:t>
                  </w:r>
                  <w:r>
                    <w:rPr>
                      <w:rFonts w:hint="eastAsia" w:ascii="Times New Roman" w:hAnsi="Times New Roman" w:eastAsia="宋体" w:cs="Times New Roman"/>
                      <w:color w:val="auto"/>
                      <w:sz w:val="21"/>
                      <w:szCs w:val="21"/>
                      <w:vertAlign w:val="baseline"/>
                      <w:lang w:val="en-US" w:eastAsia="zh-CN"/>
                    </w:rPr>
                    <w:t>工程地质和水文地质条件较好的地带</w:t>
                  </w:r>
                </w:p>
              </w:tc>
              <w:tc>
                <w:tcPr>
                  <w:tcW w:w="849" w:type="dxa"/>
                  <w:vAlign w:val="center"/>
                </w:tcPr>
                <w:p>
                  <w:pPr>
                    <w:pStyle w:val="2"/>
                    <w:numPr>
                      <w:ilvl w:val="0"/>
                      <w:numId w:val="0"/>
                    </w:numPr>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bl>
          <w:p>
            <w:pPr>
              <w:pStyle w:val="2"/>
              <w:keepNext w:val="0"/>
              <w:keepLines w:val="0"/>
              <w:pageBreakBefore w:val="0"/>
              <w:widowControl w:val="0"/>
              <w:numPr>
                <w:ilvl w:val="0"/>
                <w:numId w:val="0"/>
              </w:numPr>
              <w:kinsoku/>
              <w:wordWrap/>
              <w:overflowPunct/>
              <w:topLinePunct w:val="0"/>
              <w:bidi w:val="0"/>
              <w:adjustRightInd w:val="0"/>
              <w:spacing w:line="360" w:lineRule="auto"/>
              <w:ind w:firstLine="480" w:firstLineChars="20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根据上表，本工程选址符合</w:t>
            </w:r>
            <w:r>
              <w:rPr>
                <w:rFonts w:hint="default" w:ascii="Times New Roman" w:hAnsi="Times New Roman" w:eastAsia="宋体" w:cs="Times New Roman"/>
                <w:color w:val="auto"/>
                <w:sz w:val="24"/>
                <w:szCs w:val="24"/>
                <w:vertAlign w:val="baseline"/>
                <w:lang w:val="en-US" w:eastAsia="zh-CN"/>
              </w:rPr>
              <w:t>《建筑垃圾处理技术标准》（CJJ/T134-2019）和《建筑废弃物再生工厂设计标准》（GB51322-2018）的要求，此外，本工程选址范围内不涉及重点保护区和核心保护区，区内无国家和省级重点保护野生动物资源，无古树名木分布。</w:t>
            </w:r>
          </w:p>
          <w:p>
            <w:pPr>
              <w:pStyle w:val="2"/>
              <w:keepNext w:val="0"/>
              <w:keepLines w:val="0"/>
              <w:pageBreakBefore w:val="0"/>
              <w:widowControl w:val="0"/>
              <w:numPr>
                <w:ilvl w:val="0"/>
                <w:numId w:val="0"/>
              </w:numPr>
              <w:kinsoku/>
              <w:wordWrap/>
              <w:overflowPunct/>
              <w:topLinePunct w:val="0"/>
              <w:bidi w:val="0"/>
              <w:adjustRightInd w:val="0"/>
              <w:spacing w:line="360" w:lineRule="auto"/>
              <w:ind w:firstLine="480" w:firstLineChars="200"/>
              <w:jc w:val="left"/>
              <w:textAlignment w:val="auto"/>
              <w:rPr>
                <w:rFonts w:hint="default" w:ascii="Times New Roman" w:hAnsi="Times New Roman" w:eastAsia="宋体" w:cs="Times New Roman"/>
                <w:color w:val="FF0000"/>
                <w:sz w:val="24"/>
                <w:szCs w:val="24"/>
                <w:lang w:val="en-US" w:eastAsia="zh-CN"/>
              </w:rPr>
            </w:pPr>
            <w:r>
              <w:rPr>
                <w:rFonts w:hint="eastAsia" w:ascii="Times New Roman" w:eastAsia="宋体" w:cs="Times New Roman"/>
                <w:color w:val="FF0000"/>
                <w:sz w:val="24"/>
                <w:szCs w:val="24"/>
                <w:vertAlign w:val="baseline"/>
                <w:lang w:val="en-US" w:eastAsia="zh-CN"/>
              </w:rPr>
              <w:t>2021年3月22日，丹凤县自然资源局《建设项目用地预审与选址意见书》，“根据《中华人民共和国土地管理法》《中华人民共和国城乡规划法》和国家相关规定，经审核，本建设项目符合国土空间用途管制要求”</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bCs/>
                <w:color w:val="auto"/>
                <w:sz w:val="24"/>
                <w:szCs w:val="24"/>
              </w:rPr>
            </w:pPr>
            <w:r>
              <w:rPr>
                <w:rFonts w:hint="default" w:ascii="Times New Roman" w:hAnsi="Times New Roman" w:eastAsia="宋体" w:cs="Times New Roman"/>
                <w:bCs/>
                <w:color w:val="auto"/>
                <w:sz w:val="24"/>
                <w:szCs w:val="24"/>
              </w:rPr>
              <w:t>综上所述，</w:t>
            </w:r>
            <w:r>
              <w:rPr>
                <w:rFonts w:hint="eastAsia" w:cs="Times New Roman"/>
                <w:bCs/>
                <w:color w:val="auto"/>
                <w:sz w:val="24"/>
                <w:szCs w:val="24"/>
                <w:lang w:eastAsia="zh-CN"/>
              </w:rPr>
              <w:t>本工程选址符合</w:t>
            </w:r>
            <w:r>
              <w:rPr>
                <w:rFonts w:hint="eastAsia" w:ascii="Times New Roman" w:eastAsia="宋体" w:cs="Times New Roman"/>
                <w:color w:val="FF0000"/>
                <w:sz w:val="24"/>
                <w:szCs w:val="24"/>
                <w:vertAlign w:val="baseline"/>
                <w:lang w:val="en-US" w:eastAsia="zh-CN"/>
              </w:rPr>
              <w:t>《中华人民共和国土地管理法》《中华人民共和国城乡规划法》和国家相关规定</w:t>
            </w:r>
            <w:r>
              <w:rPr>
                <w:rFonts w:hint="eastAsia" w:cs="Times New Roman"/>
                <w:color w:val="FF0000"/>
                <w:sz w:val="24"/>
                <w:szCs w:val="24"/>
                <w:vertAlign w:val="baseline"/>
                <w:lang w:val="en-US" w:eastAsia="zh-CN"/>
              </w:rPr>
              <w:t>；且</w:t>
            </w:r>
            <w:r>
              <w:rPr>
                <w:rFonts w:hint="eastAsia" w:ascii="Times New Roman" w:hAnsi="Times New Roman" w:eastAsia="宋体" w:cs="Times New Roman"/>
                <w:color w:val="auto"/>
                <w:sz w:val="24"/>
                <w:szCs w:val="24"/>
                <w:lang w:eastAsia="zh-CN"/>
              </w:rPr>
              <w:t>工程</w:t>
            </w:r>
            <w:r>
              <w:rPr>
                <w:rFonts w:hint="default" w:ascii="Times New Roman" w:hAnsi="Times New Roman" w:eastAsia="宋体" w:cs="Times New Roman"/>
                <w:color w:val="auto"/>
                <w:sz w:val="24"/>
                <w:szCs w:val="24"/>
              </w:rPr>
              <w:t>选址地质结构稳定；场址周边与</w:t>
            </w:r>
            <w:r>
              <w:rPr>
                <w:rFonts w:hint="default" w:ascii="Times New Roman" w:hAnsi="Times New Roman" w:eastAsia="宋体" w:cs="Times New Roman"/>
                <w:color w:val="auto"/>
                <w:kern w:val="0"/>
                <w:sz w:val="24"/>
                <w:szCs w:val="24"/>
              </w:rPr>
              <w:t>丹庾公路相连，</w:t>
            </w:r>
            <w:r>
              <w:rPr>
                <w:rFonts w:hint="default" w:ascii="Times New Roman" w:hAnsi="Times New Roman" w:eastAsia="宋体" w:cs="Times New Roman"/>
                <w:color w:val="auto"/>
                <w:sz w:val="24"/>
                <w:szCs w:val="24"/>
              </w:rPr>
              <w:t>交通运输方便；供水依托龙驹寨街道办凤麓社区椒树洼组自来水管道、供电依托公路边10kV电源，</w:t>
            </w:r>
            <w:r>
              <w:rPr>
                <w:rFonts w:hint="eastAsia" w:ascii="Times New Roman" w:hAnsi="Times New Roman" w:eastAsia="宋体" w:cs="Times New Roman"/>
                <w:bCs/>
                <w:color w:val="auto"/>
                <w:sz w:val="24"/>
                <w:szCs w:val="24"/>
                <w:lang w:eastAsia="zh-CN"/>
              </w:rPr>
              <w:t>工程</w:t>
            </w:r>
            <w:r>
              <w:rPr>
                <w:rFonts w:hint="default" w:ascii="Times New Roman" w:hAnsi="Times New Roman" w:eastAsia="宋体" w:cs="Times New Roman"/>
                <w:bCs/>
                <w:color w:val="auto"/>
                <w:sz w:val="24"/>
                <w:szCs w:val="24"/>
              </w:rPr>
              <w:t>选址符合当地环境的要求，</w:t>
            </w:r>
            <w:r>
              <w:rPr>
                <w:rFonts w:hint="eastAsia" w:ascii="Times New Roman" w:hAnsi="Times New Roman" w:eastAsia="宋体" w:cs="Times New Roman"/>
                <w:bCs/>
                <w:color w:val="auto"/>
                <w:sz w:val="24"/>
                <w:szCs w:val="24"/>
                <w:lang w:eastAsia="zh-CN"/>
              </w:rPr>
              <w:t>本工程</w:t>
            </w:r>
            <w:r>
              <w:rPr>
                <w:rFonts w:hint="default" w:ascii="Times New Roman" w:hAnsi="Times New Roman" w:eastAsia="宋体" w:cs="Times New Roman"/>
                <w:bCs/>
                <w:color w:val="auto"/>
                <w:sz w:val="24"/>
                <w:szCs w:val="24"/>
              </w:rPr>
              <w:t>选址合理可行的</w:t>
            </w:r>
            <w:r>
              <w:rPr>
                <w:rFonts w:hint="eastAsia" w:ascii="Times New Roman" w:hAnsi="Times New Roman" w:eastAsia="宋体" w:cs="Times New Roman"/>
                <w:bCs/>
                <w:color w:val="auto"/>
                <w:sz w:val="24"/>
                <w:szCs w:val="24"/>
                <w:lang w:eastAsia="zh-CN"/>
              </w:rPr>
              <w:t>。</w:t>
            </w:r>
          </w:p>
        </w:tc>
      </w:tr>
    </w:tbl>
    <w:p>
      <w:pPr>
        <w:pStyle w:val="18"/>
        <w:jc w:val="center"/>
        <w:rPr>
          <w:rFonts w:ascii="Times New Roman" w:hAnsi="Times New Roman" w:eastAsia="黑体"/>
          <w:snapToGrid w:val="0"/>
          <w:sz w:val="36"/>
          <w:szCs w:val="36"/>
        </w:rPr>
        <w:sectPr>
          <w:pgSz w:w="11906" w:h="16838"/>
          <w:pgMar w:top="1440" w:right="1800" w:bottom="1440" w:left="1800" w:header="851" w:footer="1077" w:gutter="0"/>
          <w:cols w:space="720" w:num="1"/>
          <w:docGrid w:linePitch="312" w:charSpace="0"/>
        </w:sectPr>
      </w:pPr>
    </w:p>
    <w:p>
      <w:pPr>
        <w:pStyle w:val="18"/>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五、主要生态环境保护措施</w:t>
      </w:r>
    </w:p>
    <w:tbl>
      <w:tblPr>
        <w:tblStyle w:val="23"/>
        <w:tblW w:w="92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52" w:hRule="atLeast"/>
          <w:jc w:val="center"/>
        </w:trPr>
        <w:tc>
          <w:tcPr>
            <w:tcW w:w="753" w:type="dxa"/>
            <w:tcMar>
              <w:left w:w="28" w:type="dxa"/>
              <w:right w:w="28" w:type="dxa"/>
            </w:tcMar>
            <w:vAlign w:val="center"/>
          </w:tcPr>
          <w:p>
            <w:pPr>
              <w:adjustRightInd w:val="0"/>
              <w:snapToGrid w:val="0"/>
              <w:jc w:val="center"/>
              <w:rPr>
                <w:bCs/>
                <w:szCs w:val="21"/>
              </w:rPr>
            </w:pPr>
            <w:r>
              <w:rPr>
                <w:bCs/>
                <w:sz w:val="24"/>
                <w:szCs w:val="24"/>
              </w:rPr>
              <w:t>施工期生态环境保护措施</w:t>
            </w:r>
          </w:p>
        </w:tc>
        <w:tc>
          <w:tcPr>
            <w:tcW w:w="8457" w:type="dxa"/>
          </w:tcPr>
          <w:p>
            <w:pPr>
              <w:spacing w:line="360" w:lineRule="auto"/>
              <w:ind w:left="420"/>
              <w:rPr>
                <w:b/>
                <w:sz w:val="24"/>
                <w:szCs w:val="24"/>
              </w:rPr>
            </w:pPr>
            <w:r>
              <w:rPr>
                <w:b/>
                <w:sz w:val="24"/>
                <w:szCs w:val="24"/>
              </w:rPr>
              <w:t>1、施工期废气防治措施及可行性论证</w:t>
            </w:r>
          </w:p>
          <w:p>
            <w:pPr>
              <w:spacing w:line="360" w:lineRule="auto"/>
              <w:ind w:left="420"/>
              <w:rPr>
                <w:b/>
                <w:sz w:val="24"/>
                <w:szCs w:val="24"/>
              </w:rPr>
            </w:pPr>
            <w:r>
              <w:rPr>
                <w:b/>
                <w:sz w:val="24"/>
                <w:szCs w:val="24"/>
              </w:rPr>
              <w:t>（1）施工期废气防治措施</w:t>
            </w:r>
          </w:p>
          <w:p>
            <w:pPr>
              <w:spacing w:line="360" w:lineRule="auto"/>
              <w:ind w:firstLine="480" w:firstLineChars="200"/>
              <w:rPr>
                <w:sz w:val="24"/>
                <w:szCs w:val="24"/>
              </w:rPr>
            </w:pPr>
            <w:r>
              <w:rPr>
                <w:rFonts w:hint="eastAsia"/>
                <w:sz w:val="24"/>
                <w:szCs w:val="24"/>
                <w:lang w:eastAsia="zh-CN"/>
              </w:rPr>
              <w:t>工程</w:t>
            </w:r>
            <w:r>
              <w:rPr>
                <w:sz w:val="24"/>
                <w:szCs w:val="24"/>
              </w:rPr>
              <w:t>建设阶段产生的废气主要为施工扬尘。为最大限度地避免施工扬尘对区域空气环境质量产生影响，根据《陕西省建筑施工扬尘治理措施16条》、《施工场界扬尘排放限值》（DB61/1078-2017）、《陕西省铁腕治霾打赢蓝天保卫战三年行动方案（2018-2020年）（修订版）》、《商洛市打赢蓝天保卫战三年行动方案（2018-2020年）》及《建筑工地施工扬尘专项治理工作方案》等相关要求，本评价提出以下措施和要求：</w:t>
            </w:r>
          </w:p>
          <w:p>
            <w:pPr>
              <w:spacing w:line="360" w:lineRule="auto"/>
              <w:ind w:firstLine="480" w:firstLineChars="200"/>
              <w:rPr>
                <w:rFonts w:eastAsia="微软雅黑"/>
                <w:color w:val="000000"/>
                <w:sz w:val="24"/>
                <w:szCs w:val="24"/>
                <w:shd w:val="clear" w:color="auto" w:fill="FFFFFF"/>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color w:val="000000"/>
                <w:sz w:val="24"/>
                <w:szCs w:val="24"/>
                <w:shd w:val="clear" w:color="auto" w:fill="FFFFFF"/>
              </w:rPr>
              <w:t>施工组织设计中，制定施工现场扬尘预防治理专项方案，并指定专人负责落实，无专项方案严禁开工。</w:t>
            </w:r>
          </w:p>
          <w:p>
            <w:pPr>
              <w:spacing w:line="360" w:lineRule="auto"/>
              <w:ind w:firstLine="480" w:firstLineChars="20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全面落实建筑施工扬尘管理“洒水、覆盖、硬化、冲洗、绿化、围挡、密闭运输等七个100%防尘措施”，在建筑强化施工期环境管理，制定合理施工计划，缩短工期，采取集中力量逐项施工方法，坚决杜绝粗放式施工现象发生。</w:t>
            </w:r>
          </w:p>
          <w:p>
            <w:pPr>
              <w:spacing w:line="360" w:lineRule="auto"/>
              <w:ind w:firstLine="480" w:firstLineChars="20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施工扬尘六个100%管理要求：施工区域100%标准围挡、裸露黄土100%覆盖、施工道路100%硬化、渣土运输车辆100%密闭拉运、施工现场出入车辆100%冲洗清洁、建筑物拆除100%湿法作业。</w:t>
            </w:r>
          </w:p>
          <w:p>
            <w:pPr>
              <w:spacing w:line="360" w:lineRule="auto"/>
              <w:ind w:firstLine="480" w:firstLineChars="200"/>
              <w:rPr>
                <w:sz w:val="24"/>
                <w:szCs w:val="24"/>
              </w:rPr>
            </w:pPr>
            <w:r>
              <w:rPr>
                <w:sz w:val="24"/>
                <w:szCs w:val="24"/>
              </w:rPr>
              <w:fldChar w:fldCharType="begin"/>
            </w:r>
            <w:r>
              <w:rPr>
                <w:sz w:val="24"/>
                <w:szCs w:val="24"/>
              </w:rPr>
              <w:instrText xml:space="preserve"> = 4 \* GB3 </w:instrText>
            </w:r>
            <w:r>
              <w:rPr>
                <w:sz w:val="24"/>
                <w:szCs w:val="24"/>
              </w:rPr>
              <w:fldChar w:fldCharType="separate"/>
            </w:r>
            <w:r>
              <w:rPr>
                <w:rFonts w:ascii="宋体"/>
                <w:sz w:val="24"/>
                <w:szCs w:val="24"/>
              </w:rPr>
              <w:t>④</w:t>
            </w:r>
            <w:r>
              <w:rPr>
                <w:rFonts w:ascii="宋体"/>
                <w:sz w:val="24"/>
                <w:szCs w:val="24"/>
              </w:rPr>
              <w:fldChar w:fldCharType="end"/>
            </w:r>
            <w:r>
              <w:rPr>
                <w:sz w:val="24"/>
                <w:szCs w:val="24"/>
              </w:rPr>
              <w:t>运输建筑材料车辆不得超载，运输颗粒物料车辆装载高度不得超过车槽。</w:t>
            </w:r>
          </w:p>
          <w:p>
            <w:pPr>
              <w:spacing w:line="360" w:lineRule="auto"/>
              <w:ind w:firstLine="480" w:firstLineChars="200"/>
              <w:rPr>
                <w:sz w:val="24"/>
                <w:szCs w:val="24"/>
              </w:rPr>
            </w:pPr>
            <w:r>
              <w:rPr>
                <w:sz w:val="24"/>
                <w:szCs w:val="24"/>
              </w:rPr>
              <w:fldChar w:fldCharType="begin"/>
            </w:r>
            <w:r>
              <w:rPr>
                <w:sz w:val="24"/>
                <w:szCs w:val="24"/>
              </w:rPr>
              <w:instrText xml:space="preserve"> = 5 \* GB3 </w:instrText>
            </w:r>
            <w:r>
              <w:rPr>
                <w:sz w:val="24"/>
                <w:szCs w:val="24"/>
              </w:rPr>
              <w:fldChar w:fldCharType="separate"/>
            </w:r>
            <w:r>
              <w:rPr>
                <w:rFonts w:ascii="宋体"/>
                <w:sz w:val="24"/>
                <w:szCs w:val="24"/>
              </w:rPr>
              <w:t>⑤</w:t>
            </w:r>
            <w:r>
              <w:rPr>
                <w:rFonts w:ascii="宋体"/>
                <w:sz w:val="24"/>
                <w:szCs w:val="24"/>
              </w:rPr>
              <w:fldChar w:fldCharType="end"/>
            </w:r>
            <w:r>
              <w:rPr>
                <w:sz w:val="24"/>
                <w:szCs w:val="24"/>
              </w:rPr>
              <w:t>运输土石方车辆必须采取覆盖等防尘措施，防止物料沿途抛撒导致二次扬尘；施工车辆进入附近道路后，应慢速行驶。施工工地对所有建设设备和物资进行合理优化，少占土地；水泥、沙、石灰等易产生扬尘材料应购置袋装产品并严禁露天堆放，工地采取洒水、覆盖防尘措施；对于建设施工阶段的车辆和机械扬尘，采取洒水湿法抑尘。利用洒水车对施工现场和进出道路洒水，同时在施工场地出口设置浅水池，清洗运输车辆，以减少扬尘的产生。</w:t>
            </w:r>
          </w:p>
          <w:p>
            <w:pPr>
              <w:spacing w:line="360" w:lineRule="auto"/>
              <w:ind w:firstLine="480" w:firstLineChars="200"/>
              <w:rPr>
                <w:sz w:val="24"/>
                <w:szCs w:val="24"/>
              </w:rPr>
            </w:pPr>
            <w:r>
              <w:rPr>
                <w:sz w:val="24"/>
                <w:szCs w:val="24"/>
              </w:rPr>
              <w:fldChar w:fldCharType="begin"/>
            </w:r>
            <w:r>
              <w:rPr>
                <w:sz w:val="24"/>
                <w:szCs w:val="24"/>
              </w:rPr>
              <w:instrText xml:space="preserve"> = 6 \* GB3 </w:instrText>
            </w:r>
            <w:r>
              <w:rPr>
                <w:sz w:val="24"/>
                <w:szCs w:val="24"/>
              </w:rPr>
              <w:fldChar w:fldCharType="separate"/>
            </w:r>
            <w:r>
              <w:rPr>
                <w:rFonts w:ascii="宋体"/>
                <w:sz w:val="24"/>
                <w:szCs w:val="24"/>
              </w:rPr>
              <w:t>⑥</w:t>
            </w:r>
            <w:r>
              <w:rPr>
                <w:rFonts w:ascii="宋体"/>
                <w:sz w:val="24"/>
                <w:szCs w:val="24"/>
              </w:rPr>
              <w:fldChar w:fldCharType="end"/>
            </w:r>
            <w:r>
              <w:rPr>
                <w:sz w:val="24"/>
                <w:szCs w:val="24"/>
              </w:rPr>
              <w:t>制定空气重污染应急预案，政府发布重污染预警时，立即启动应急响应。</w:t>
            </w:r>
          </w:p>
          <w:p>
            <w:pPr>
              <w:spacing w:line="360" w:lineRule="auto"/>
              <w:ind w:firstLine="480" w:firstLineChars="200"/>
              <w:rPr>
                <w:sz w:val="24"/>
                <w:szCs w:val="24"/>
              </w:rPr>
            </w:pPr>
            <w:r>
              <w:rPr>
                <w:sz w:val="24"/>
                <w:szCs w:val="24"/>
              </w:rPr>
              <w:fldChar w:fldCharType="begin"/>
            </w:r>
            <w:r>
              <w:rPr>
                <w:sz w:val="24"/>
                <w:szCs w:val="24"/>
              </w:rPr>
              <w:instrText xml:space="preserve"> = 7 \* GB3 </w:instrText>
            </w:r>
            <w:r>
              <w:rPr>
                <w:sz w:val="24"/>
                <w:szCs w:val="24"/>
              </w:rPr>
              <w:fldChar w:fldCharType="separate"/>
            </w:r>
            <w:r>
              <w:rPr>
                <w:rFonts w:ascii="宋体"/>
                <w:sz w:val="24"/>
                <w:szCs w:val="24"/>
              </w:rPr>
              <w:t>⑦</w:t>
            </w:r>
            <w:r>
              <w:rPr>
                <w:rFonts w:ascii="宋体"/>
                <w:sz w:val="24"/>
                <w:szCs w:val="24"/>
              </w:rPr>
              <w:fldChar w:fldCharType="end"/>
            </w:r>
            <w:r>
              <w:rPr>
                <w:sz w:val="24"/>
                <w:szCs w:val="24"/>
              </w:rPr>
              <w:t>施工工地工程概况标志牌必须公布扬尘投诉举报电话，举报电话应包括施工企业电话和主管部门电话。</w:t>
            </w:r>
          </w:p>
          <w:p>
            <w:pPr>
              <w:spacing w:line="360" w:lineRule="auto"/>
              <w:ind w:firstLine="482" w:firstLineChars="200"/>
              <w:rPr>
                <w:b/>
                <w:sz w:val="24"/>
                <w:szCs w:val="24"/>
              </w:rPr>
            </w:pPr>
            <w:r>
              <w:rPr>
                <w:b/>
                <w:sz w:val="24"/>
                <w:szCs w:val="24"/>
              </w:rPr>
              <w:t>（2）施工期废气防治措施可行性论证</w:t>
            </w:r>
          </w:p>
          <w:p>
            <w:pPr>
              <w:spacing w:line="360" w:lineRule="auto"/>
              <w:ind w:firstLine="480"/>
              <w:rPr>
                <w:sz w:val="24"/>
                <w:szCs w:val="24"/>
              </w:rPr>
            </w:pPr>
            <w:r>
              <w:rPr>
                <w:sz w:val="24"/>
                <w:szCs w:val="24"/>
              </w:rPr>
              <w:t>建设单位拟采用的废气治理措施均为在各类施工场地普遍采用的措施，具有较高的可操作性，经济成本低廉，措施效果显著，技术、经济可行。</w:t>
            </w:r>
          </w:p>
          <w:p>
            <w:pPr>
              <w:spacing w:line="360" w:lineRule="auto"/>
              <w:ind w:left="420"/>
              <w:rPr>
                <w:b/>
                <w:sz w:val="24"/>
                <w:szCs w:val="24"/>
              </w:rPr>
            </w:pPr>
            <w:r>
              <w:rPr>
                <w:b/>
                <w:sz w:val="24"/>
                <w:szCs w:val="24"/>
              </w:rPr>
              <w:t>2、施工期废水防治措施及可行性论证</w:t>
            </w:r>
          </w:p>
          <w:p>
            <w:pPr>
              <w:spacing w:line="360" w:lineRule="auto"/>
              <w:ind w:left="420"/>
              <w:rPr>
                <w:b/>
                <w:sz w:val="24"/>
                <w:szCs w:val="24"/>
              </w:rPr>
            </w:pPr>
            <w:r>
              <w:rPr>
                <w:b/>
                <w:sz w:val="24"/>
                <w:szCs w:val="24"/>
              </w:rPr>
              <w:t>（1）施工期废水防治措施</w:t>
            </w:r>
          </w:p>
          <w:p>
            <w:pPr>
              <w:spacing w:line="360" w:lineRule="auto"/>
              <w:ind w:firstLine="480" w:firstLineChars="200"/>
              <w:rPr>
                <w:sz w:val="24"/>
                <w:szCs w:val="24"/>
              </w:rPr>
            </w:pPr>
            <w:r>
              <w:rPr>
                <w:sz w:val="24"/>
                <w:szCs w:val="24"/>
              </w:rPr>
              <w:t>本</w:t>
            </w:r>
            <w:r>
              <w:rPr>
                <w:rFonts w:hint="eastAsia"/>
                <w:sz w:val="24"/>
                <w:szCs w:val="24"/>
                <w:lang w:eastAsia="zh-CN"/>
              </w:rPr>
              <w:t>工程</w:t>
            </w:r>
            <w:r>
              <w:rPr>
                <w:sz w:val="24"/>
                <w:szCs w:val="24"/>
              </w:rPr>
              <w:t>施工期废水主要为施工生产废水及施工人员生活污水。施工生产废水包括砂石冲洗水、砼养护水、场地冲洗水以及机械设备运转的冷却水和洗涤水，这部分废水除含有少量的油污和泥砂外，基本没有其它污染指标，经</w:t>
            </w:r>
            <w:r>
              <w:rPr>
                <w:rFonts w:hint="eastAsia"/>
                <w:sz w:val="24"/>
                <w:szCs w:val="24"/>
              </w:rPr>
              <w:t>临时</w:t>
            </w:r>
            <w:r>
              <w:rPr>
                <w:sz w:val="24"/>
                <w:szCs w:val="24"/>
              </w:rPr>
              <w:t>沉淀池处理后用于施工现场洒水抑尘，不外排。</w:t>
            </w:r>
          </w:p>
          <w:p>
            <w:pPr>
              <w:spacing w:line="360" w:lineRule="auto"/>
              <w:ind w:firstLine="480" w:firstLineChars="200"/>
              <w:rPr>
                <w:sz w:val="24"/>
                <w:szCs w:val="24"/>
              </w:rPr>
            </w:pPr>
            <w:r>
              <w:rPr>
                <w:sz w:val="24"/>
                <w:szCs w:val="24"/>
              </w:rPr>
              <w:t>本</w:t>
            </w:r>
            <w:r>
              <w:rPr>
                <w:rFonts w:hint="eastAsia"/>
                <w:sz w:val="24"/>
                <w:szCs w:val="24"/>
                <w:lang w:eastAsia="zh-CN"/>
              </w:rPr>
              <w:t>工程</w:t>
            </w:r>
            <w:r>
              <w:rPr>
                <w:sz w:val="24"/>
                <w:szCs w:val="24"/>
              </w:rPr>
              <w:t>施工期不设施工营地，施工人员食宿依托周围村镇，生活污水产生量较少，施工场地设旱厕，旱厕定期清掏堆肥。施工期生活污水主要为施工人员盥洗废水，成分简单，经场区沉淀池沉淀后用于施工场地洒水抑尘。</w:t>
            </w:r>
          </w:p>
          <w:p>
            <w:pPr>
              <w:spacing w:line="360" w:lineRule="auto"/>
              <w:ind w:firstLine="482" w:firstLineChars="200"/>
              <w:rPr>
                <w:b/>
                <w:sz w:val="24"/>
                <w:szCs w:val="24"/>
              </w:rPr>
            </w:pPr>
            <w:r>
              <w:rPr>
                <w:b/>
                <w:sz w:val="24"/>
                <w:szCs w:val="24"/>
              </w:rPr>
              <w:t>（2）施工期废水防治措施可行性论证</w:t>
            </w:r>
          </w:p>
          <w:p>
            <w:pPr>
              <w:spacing w:line="360" w:lineRule="auto"/>
              <w:ind w:firstLine="480"/>
              <w:rPr>
                <w:sz w:val="24"/>
                <w:szCs w:val="24"/>
              </w:rPr>
            </w:pPr>
            <w:r>
              <w:rPr>
                <w:sz w:val="24"/>
                <w:szCs w:val="24"/>
              </w:rPr>
              <w:t>建设单位拟采用的废水治理措施均为在各类施工场地普遍采用的措施，具有较高的可操作性，经济成本低廉，措施效果显著，技术、经济可行。</w:t>
            </w:r>
          </w:p>
          <w:p>
            <w:pPr>
              <w:spacing w:line="360" w:lineRule="auto"/>
              <w:ind w:firstLine="482" w:firstLineChars="200"/>
              <w:rPr>
                <w:b/>
                <w:sz w:val="24"/>
                <w:szCs w:val="24"/>
              </w:rPr>
            </w:pPr>
            <w:r>
              <w:rPr>
                <w:b/>
                <w:sz w:val="24"/>
                <w:szCs w:val="24"/>
              </w:rPr>
              <w:t>3、施工噪声防治措施及可行性论证</w:t>
            </w:r>
          </w:p>
          <w:p>
            <w:pPr>
              <w:spacing w:line="360" w:lineRule="auto"/>
              <w:ind w:firstLine="482" w:firstLineChars="200"/>
              <w:rPr>
                <w:b/>
                <w:sz w:val="24"/>
                <w:szCs w:val="24"/>
              </w:rPr>
            </w:pPr>
            <w:r>
              <w:rPr>
                <w:b/>
                <w:sz w:val="24"/>
                <w:szCs w:val="24"/>
              </w:rPr>
              <w:t>（1）施工噪声防治措施</w:t>
            </w:r>
          </w:p>
          <w:p>
            <w:pPr>
              <w:spacing w:line="360" w:lineRule="auto"/>
              <w:ind w:firstLine="480" w:firstLineChars="200"/>
              <w:rPr>
                <w:sz w:val="24"/>
                <w:szCs w:val="24"/>
              </w:rPr>
            </w:pPr>
            <w:r>
              <w:rPr>
                <w:sz w:val="24"/>
                <w:szCs w:val="24"/>
              </w:rPr>
              <w:t>施工单位应按《中华人民共和国噪声污染防治法》、《建筑施工场界环境噪声排放标准》针对施工期施工噪声的环境影响，提出以下减缓措施：</w:t>
            </w:r>
          </w:p>
          <w:p>
            <w:pPr>
              <w:spacing w:line="360" w:lineRule="auto"/>
              <w:ind w:firstLine="480" w:firstLineChars="200"/>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选择性能良好且低噪声的施工机械，并注意保养与维护；</w:t>
            </w:r>
          </w:p>
          <w:p>
            <w:pPr>
              <w:spacing w:line="360" w:lineRule="auto"/>
              <w:ind w:firstLine="480" w:firstLineChars="20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合理安排施工场地，施工场地尽量远离场界西侧，远离椒树洼组；施工场界内合理安排施工机械，经噪声大的施工机械尽量布置在场区东侧；</w:t>
            </w:r>
          </w:p>
          <w:p>
            <w:pPr>
              <w:spacing w:line="360" w:lineRule="auto"/>
              <w:ind w:firstLine="480" w:firstLineChars="20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合理安排施工作业方案，尽量减少高噪声设备同时施工；</w:t>
            </w:r>
          </w:p>
          <w:p>
            <w:pPr>
              <w:spacing w:line="360" w:lineRule="auto"/>
              <w:ind w:firstLine="480" w:firstLineChars="200"/>
              <w:rPr>
                <w:sz w:val="24"/>
                <w:szCs w:val="24"/>
              </w:rPr>
            </w:pPr>
            <w:r>
              <w:rPr>
                <w:sz w:val="24"/>
                <w:szCs w:val="24"/>
              </w:rPr>
              <w:fldChar w:fldCharType="begin"/>
            </w:r>
            <w:r>
              <w:rPr>
                <w:sz w:val="24"/>
                <w:szCs w:val="24"/>
              </w:rPr>
              <w:instrText xml:space="preserve"> = 4 \* GB3 </w:instrText>
            </w:r>
            <w:r>
              <w:rPr>
                <w:sz w:val="24"/>
                <w:szCs w:val="24"/>
              </w:rPr>
              <w:fldChar w:fldCharType="separate"/>
            </w:r>
            <w:r>
              <w:rPr>
                <w:rFonts w:ascii="宋体"/>
                <w:sz w:val="24"/>
                <w:szCs w:val="24"/>
              </w:rPr>
              <w:t>④</w:t>
            </w:r>
            <w:r>
              <w:rPr>
                <w:rFonts w:ascii="宋体"/>
                <w:sz w:val="24"/>
                <w:szCs w:val="24"/>
              </w:rPr>
              <w:fldChar w:fldCharType="end"/>
            </w:r>
            <w:r>
              <w:rPr>
                <w:sz w:val="24"/>
                <w:szCs w:val="24"/>
              </w:rPr>
              <w:t>合理安排施工时间，施工作业在昼间进行，夜间停止施工；</w:t>
            </w:r>
          </w:p>
          <w:p>
            <w:pPr>
              <w:spacing w:line="360" w:lineRule="auto"/>
              <w:ind w:firstLine="480" w:firstLineChars="200"/>
              <w:rPr>
                <w:sz w:val="24"/>
                <w:szCs w:val="24"/>
              </w:rPr>
            </w:pPr>
            <w:r>
              <w:rPr>
                <w:sz w:val="24"/>
                <w:szCs w:val="24"/>
              </w:rPr>
              <w:fldChar w:fldCharType="begin"/>
            </w:r>
            <w:r>
              <w:rPr>
                <w:sz w:val="24"/>
                <w:szCs w:val="24"/>
              </w:rPr>
              <w:instrText xml:space="preserve"> = 5 \* GB3 </w:instrText>
            </w:r>
            <w:r>
              <w:rPr>
                <w:sz w:val="24"/>
                <w:szCs w:val="24"/>
              </w:rPr>
              <w:fldChar w:fldCharType="separate"/>
            </w:r>
            <w:r>
              <w:rPr>
                <w:rFonts w:ascii="宋体"/>
                <w:sz w:val="24"/>
                <w:szCs w:val="24"/>
              </w:rPr>
              <w:t>⑤</w:t>
            </w:r>
            <w:r>
              <w:rPr>
                <w:rFonts w:ascii="宋体"/>
                <w:sz w:val="24"/>
                <w:szCs w:val="24"/>
              </w:rPr>
              <w:fldChar w:fldCharType="end"/>
            </w:r>
            <w:r>
              <w:rPr>
                <w:sz w:val="24"/>
                <w:szCs w:val="24"/>
              </w:rPr>
              <w:t>合理规划施工便道和载重车辆运输时间，较少运输噪声对居民的影响。</w:t>
            </w:r>
          </w:p>
          <w:p>
            <w:pPr>
              <w:spacing w:line="360" w:lineRule="auto"/>
              <w:ind w:firstLine="482" w:firstLineChars="200"/>
              <w:rPr>
                <w:b/>
                <w:sz w:val="24"/>
                <w:szCs w:val="24"/>
              </w:rPr>
            </w:pPr>
            <w:r>
              <w:rPr>
                <w:b/>
                <w:sz w:val="24"/>
                <w:szCs w:val="24"/>
              </w:rPr>
              <w:t>（2）施工期噪声防治措施可行性论证</w:t>
            </w:r>
          </w:p>
          <w:p>
            <w:pPr>
              <w:spacing w:line="360" w:lineRule="auto"/>
              <w:ind w:firstLine="480"/>
              <w:rPr>
                <w:sz w:val="24"/>
                <w:szCs w:val="24"/>
              </w:rPr>
            </w:pPr>
            <w:r>
              <w:rPr>
                <w:sz w:val="24"/>
                <w:szCs w:val="24"/>
              </w:rPr>
              <w:t>建设单位拟采用的噪声治理措施均为在各类施工场地普遍采用的措施，具有较高的可操作性，经济成本低廉，措施效果显著，技术、经济可行。</w:t>
            </w:r>
          </w:p>
          <w:p>
            <w:pPr>
              <w:spacing w:line="360" w:lineRule="auto"/>
              <w:ind w:firstLine="420"/>
              <w:rPr>
                <w:b/>
                <w:sz w:val="24"/>
                <w:szCs w:val="24"/>
              </w:rPr>
            </w:pPr>
            <w:r>
              <w:rPr>
                <w:b/>
                <w:sz w:val="24"/>
                <w:szCs w:val="24"/>
              </w:rPr>
              <w:t>4、施工期固体废物处置措施及可行性论证</w:t>
            </w:r>
          </w:p>
          <w:p>
            <w:pPr>
              <w:spacing w:line="360" w:lineRule="auto"/>
              <w:ind w:firstLine="420"/>
              <w:rPr>
                <w:b/>
                <w:sz w:val="24"/>
                <w:szCs w:val="24"/>
              </w:rPr>
            </w:pPr>
            <w:r>
              <w:rPr>
                <w:b/>
                <w:sz w:val="24"/>
                <w:szCs w:val="24"/>
              </w:rPr>
              <w:t>（1）施工期固体废物处置措施</w:t>
            </w:r>
          </w:p>
          <w:p>
            <w:pPr>
              <w:spacing w:line="360" w:lineRule="auto"/>
              <w:ind w:firstLine="420"/>
              <w:rPr>
                <w:sz w:val="24"/>
                <w:szCs w:val="24"/>
              </w:rPr>
            </w:pPr>
            <w:r>
              <w:rPr>
                <w:sz w:val="24"/>
                <w:szCs w:val="24"/>
              </w:rPr>
              <w:t>施工期固废主要包括施工人员生活垃圾、施工期间产生的建筑垃圾及开挖弃土等。</w:t>
            </w:r>
          </w:p>
          <w:p>
            <w:pPr>
              <w:spacing w:line="360" w:lineRule="auto"/>
              <w:ind w:firstLine="420"/>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生活垃圾经分类、统一收集后，定期清运至当地环卫部门指定地点。</w:t>
            </w:r>
          </w:p>
          <w:p>
            <w:pPr>
              <w:spacing w:line="360" w:lineRule="auto"/>
              <w:ind w:firstLine="42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本</w:t>
            </w:r>
            <w:r>
              <w:rPr>
                <w:rFonts w:hint="eastAsia"/>
                <w:sz w:val="24"/>
                <w:szCs w:val="24"/>
                <w:lang w:eastAsia="zh-CN"/>
              </w:rPr>
              <w:t>工程</w:t>
            </w:r>
            <w:r>
              <w:rPr>
                <w:sz w:val="24"/>
                <w:szCs w:val="24"/>
              </w:rPr>
              <w:t>产生的建筑垃圾按相关要求堆放，待本堆填场建成后，堆填至本</w:t>
            </w:r>
            <w:r>
              <w:rPr>
                <w:rFonts w:hint="eastAsia"/>
                <w:sz w:val="24"/>
                <w:szCs w:val="24"/>
                <w:lang w:eastAsia="zh-CN"/>
              </w:rPr>
              <w:t>工程</w:t>
            </w:r>
            <w:r>
              <w:rPr>
                <w:sz w:val="24"/>
                <w:szCs w:val="24"/>
              </w:rPr>
              <w:t>建筑垃圾堆填二区。</w:t>
            </w:r>
          </w:p>
          <w:p>
            <w:pPr>
              <w:spacing w:line="360" w:lineRule="auto"/>
              <w:ind w:firstLine="42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堆填区开挖、道路开挖产生的土石方用于场区平整和土石坝的建设，作业过程产生的覆土堆存于场区中间的覆土场，待封场后表土回填至堆填场表层。</w:t>
            </w:r>
          </w:p>
          <w:p>
            <w:pPr>
              <w:spacing w:line="360" w:lineRule="auto"/>
              <w:ind w:firstLine="420"/>
              <w:rPr>
                <w:b/>
                <w:sz w:val="24"/>
                <w:szCs w:val="24"/>
              </w:rPr>
            </w:pPr>
            <w:r>
              <w:rPr>
                <w:b/>
                <w:sz w:val="24"/>
                <w:szCs w:val="24"/>
              </w:rPr>
              <w:t>（2）施工期固体废物处置措施可行论证</w:t>
            </w:r>
          </w:p>
          <w:p>
            <w:pPr>
              <w:spacing w:line="360" w:lineRule="auto"/>
              <w:ind w:firstLine="420"/>
              <w:rPr>
                <w:sz w:val="24"/>
                <w:szCs w:val="24"/>
              </w:rPr>
            </w:pPr>
            <w:r>
              <w:rPr>
                <w:sz w:val="24"/>
                <w:szCs w:val="24"/>
              </w:rPr>
              <w:t>本</w:t>
            </w:r>
            <w:r>
              <w:rPr>
                <w:rFonts w:hint="eastAsia"/>
                <w:sz w:val="24"/>
                <w:szCs w:val="24"/>
                <w:lang w:eastAsia="zh-CN"/>
              </w:rPr>
              <w:t>工程</w:t>
            </w:r>
            <w:r>
              <w:rPr>
                <w:sz w:val="24"/>
                <w:szCs w:val="24"/>
              </w:rPr>
              <w:t>对生活垃圾、施工期间产生的建筑垃圾及开挖弃土进行合理处置，不随意外排，且</w:t>
            </w:r>
            <w:r>
              <w:rPr>
                <w:kern w:val="0"/>
                <w:sz w:val="24"/>
                <w:szCs w:val="24"/>
              </w:rPr>
              <w:t>措施</w:t>
            </w:r>
            <w:r>
              <w:rPr>
                <w:sz w:val="24"/>
                <w:szCs w:val="24"/>
              </w:rPr>
              <w:t>简单易行、经济可行。</w:t>
            </w:r>
          </w:p>
          <w:p>
            <w:pPr>
              <w:spacing w:line="360" w:lineRule="auto"/>
              <w:ind w:firstLine="420"/>
              <w:rPr>
                <w:sz w:val="24"/>
                <w:szCs w:val="24"/>
              </w:rPr>
            </w:pPr>
          </w:p>
          <w:p>
            <w:pPr>
              <w:spacing w:line="360" w:lineRule="auto"/>
              <w:ind w:firstLine="420"/>
              <w:rPr>
                <w:b/>
                <w:sz w:val="24"/>
                <w:szCs w:val="24"/>
              </w:rPr>
            </w:pPr>
            <w:r>
              <w:rPr>
                <w:b/>
                <w:sz w:val="24"/>
                <w:szCs w:val="24"/>
              </w:rPr>
              <w:t>5、施工期生态环境影响减缓措施及可行论证</w:t>
            </w:r>
          </w:p>
          <w:p>
            <w:pPr>
              <w:spacing w:line="360" w:lineRule="auto"/>
              <w:ind w:firstLine="420"/>
              <w:rPr>
                <w:b/>
                <w:sz w:val="24"/>
                <w:szCs w:val="24"/>
              </w:rPr>
            </w:pPr>
            <w:r>
              <w:rPr>
                <w:b/>
                <w:sz w:val="24"/>
                <w:szCs w:val="24"/>
              </w:rPr>
              <w:t>（1）施工期生态环境影响减缓措施</w:t>
            </w:r>
          </w:p>
          <w:p>
            <w:pPr>
              <w:spacing w:line="360" w:lineRule="auto"/>
              <w:ind w:firstLine="420"/>
              <w:rPr>
                <w:sz w:val="24"/>
                <w:szCs w:val="24"/>
              </w:rPr>
            </w:pPr>
            <w:r>
              <w:rPr>
                <w:rFonts w:hint="eastAsia"/>
                <w:sz w:val="24"/>
                <w:szCs w:val="24"/>
                <w:lang w:eastAsia="zh-CN"/>
              </w:rPr>
              <w:t>工程</w:t>
            </w:r>
            <w:r>
              <w:rPr>
                <w:sz w:val="24"/>
                <w:szCs w:val="24"/>
              </w:rPr>
              <w:t>施工期由于开挖等活动可能产生的生态环境影响包括工程占地内水土流失、植被破坏、野生动物局部生境破坏和整体景观的影响。</w:t>
            </w:r>
          </w:p>
          <w:p>
            <w:pPr>
              <w:spacing w:line="360" w:lineRule="auto"/>
              <w:ind w:firstLine="420"/>
              <w:rPr>
                <w:sz w:val="24"/>
                <w:szCs w:val="24"/>
              </w:rPr>
            </w:pPr>
            <w:r>
              <w:rPr>
                <w:sz w:val="24"/>
                <w:szCs w:val="24"/>
              </w:rPr>
              <w:t>针对施工期对生态环境影响，本</w:t>
            </w:r>
            <w:r>
              <w:rPr>
                <w:rFonts w:hint="eastAsia"/>
                <w:sz w:val="24"/>
                <w:szCs w:val="24"/>
                <w:lang w:eastAsia="zh-CN"/>
              </w:rPr>
              <w:t>工程</w:t>
            </w:r>
            <w:r>
              <w:rPr>
                <w:sz w:val="24"/>
                <w:szCs w:val="24"/>
              </w:rPr>
              <w:t>施工期生态环境影响减缓措施如下：</w:t>
            </w:r>
          </w:p>
          <w:p>
            <w:pPr>
              <w:spacing w:line="360" w:lineRule="auto"/>
              <w:ind w:firstLine="420"/>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施工时，要尽量分段施工，随挖、随运、随铺、随压，不留疏松地面，每段施工完成后尽快回填恢复植被；</w:t>
            </w:r>
          </w:p>
          <w:p>
            <w:pPr>
              <w:spacing w:line="360" w:lineRule="auto"/>
              <w:ind w:firstLine="420"/>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合理安排施工进度，施工时尽量避开雨季和大风天；</w:t>
            </w:r>
          </w:p>
          <w:p>
            <w:pPr>
              <w:spacing w:line="360" w:lineRule="auto"/>
              <w:ind w:firstLine="42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提高施工效率，缩短施工工期。加强主体工程施工进度的紧凑安排以缩短水土流失的时段，减少临时堆土时间，将水土流失降到最低；</w:t>
            </w:r>
          </w:p>
          <w:p>
            <w:pPr>
              <w:spacing w:line="360" w:lineRule="auto"/>
              <w:ind w:firstLine="480" w:firstLineChars="200"/>
              <w:rPr>
                <w:sz w:val="24"/>
                <w:szCs w:val="24"/>
              </w:rPr>
            </w:pPr>
            <w:r>
              <w:rPr>
                <w:sz w:val="24"/>
                <w:szCs w:val="24"/>
              </w:rPr>
              <w:fldChar w:fldCharType="begin"/>
            </w:r>
            <w:r>
              <w:rPr>
                <w:sz w:val="24"/>
                <w:szCs w:val="24"/>
              </w:rPr>
              <w:instrText xml:space="preserve"> = 4 \* GB3 </w:instrText>
            </w:r>
            <w:r>
              <w:rPr>
                <w:sz w:val="24"/>
                <w:szCs w:val="24"/>
              </w:rPr>
              <w:fldChar w:fldCharType="separate"/>
            </w:r>
            <w:r>
              <w:rPr>
                <w:rFonts w:ascii="宋体"/>
                <w:sz w:val="24"/>
                <w:szCs w:val="24"/>
              </w:rPr>
              <w:t>④</w:t>
            </w:r>
            <w:r>
              <w:rPr>
                <w:rFonts w:ascii="宋体"/>
                <w:sz w:val="24"/>
                <w:szCs w:val="24"/>
              </w:rPr>
              <w:fldChar w:fldCharType="end"/>
            </w:r>
            <w:r>
              <w:rPr>
                <w:sz w:val="24"/>
                <w:szCs w:val="24"/>
              </w:rPr>
              <w:t>制定合理有效施工方案，修建临时截洪沟，减少雨水冲刷导致水土流失；</w:t>
            </w:r>
          </w:p>
          <w:p>
            <w:pPr>
              <w:spacing w:line="360" w:lineRule="auto"/>
              <w:ind w:firstLine="480" w:firstLineChars="200"/>
              <w:rPr>
                <w:sz w:val="24"/>
                <w:szCs w:val="24"/>
              </w:rPr>
            </w:pPr>
            <w:r>
              <w:rPr>
                <w:sz w:val="24"/>
                <w:szCs w:val="24"/>
              </w:rPr>
              <w:fldChar w:fldCharType="begin"/>
            </w:r>
            <w:r>
              <w:rPr>
                <w:sz w:val="24"/>
                <w:szCs w:val="24"/>
              </w:rPr>
              <w:instrText xml:space="preserve"> = 5 \* GB3 </w:instrText>
            </w:r>
            <w:r>
              <w:rPr>
                <w:sz w:val="24"/>
                <w:szCs w:val="24"/>
              </w:rPr>
              <w:fldChar w:fldCharType="separate"/>
            </w:r>
            <w:r>
              <w:rPr>
                <w:rFonts w:ascii="宋体"/>
                <w:sz w:val="24"/>
                <w:szCs w:val="24"/>
              </w:rPr>
              <w:t>⑤</w:t>
            </w:r>
            <w:r>
              <w:rPr>
                <w:rFonts w:ascii="宋体"/>
                <w:sz w:val="24"/>
                <w:szCs w:val="24"/>
              </w:rPr>
              <w:fldChar w:fldCharType="end"/>
            </w:r>
            <w:r>
              <w:rPr>
                <w:sz w:val="24"/>
                <w:szCs w:val="24"/>
              </w:rPr>
              <w:t>施工结束后，须及时进行植被恢复工作，减轻水土流失，减少对区域植被的影响；</w:t>
            </w:r>
          </w:p>
          <w:p>
            <w:pPr>
              <w:spacing w:line="360" w:lineRule="auto"/>
              <w:ind w:firstLine="480" w:firstLineChars="200"/>
              <w:rPr>
                <w:sz w:val="24"/>
                <w:szCs w:val="24"/>
              </w:rPr>
            </w:pPr>
            <w:r>
              <w:rPr>
                <w:sz w:val="24"/>
                <w:szCs w:val="24"/>
              </w:rPr>
              <w:fldChar w:fldCharType="begin"/>
            </w:r>
            <w:r>
              <w:rPr>
                <w:sz w:val="24"/>
                <w:szCs w:val="24"/>
              </w:rPr>
              <w:instrText xml:space="preserve"> = 6 \* GB3 </w:instrText>
            </w:r>
            <w:r>
              <w:rPr>
                <w:sz w:val="24"/>
                <w:szCs w:val="24"/>
              </w:rPr>
              <w:fldChar w:fldCharType="separate"/>
            </w:r>
            <w:r>
              <w:rPr>
                <w:rFonts w:ascii="宋体"/>
                <w:sz w:val="24"/>
                <w:szCs w:val="24"/>
              </w:rPr>
              <w:t>⑥</w:t>
            </w:r>
            <w:r>
              <w:rPr>
                <w:rFonts w:ascii="宋体"/>
                <w:sz w:val="24"/>
                <w:szCs w:val="24"/>
              </w:rPr>
              <w:fldChar w:fldCharType="end"/>
            </w:r>
            <w:r>
              <w:rPr>
                <w:sz w:val="24"/>
                <w:szCs w:val="24"/>
              </w:rPr>
              <w:t>施工过程中应严格遵循“三同时”原则，制定《水土保持方案》，尽早落实水土保持工程相关措施。</w:t>
            </w:r>
          </w:p>
          <w:p>
            <w:pPr>
              <w:spacing w:line="360" w:lineRule="auto"/>
              <w:ind w:firstLine="420"/>
              <w:rPr>
                <w:b/>
                <w:sz w:val="24"/>
                <w:szCs w:val="24"/>
              </w:rPr>
            </w:pPr>
            <w:r>
              <w:rPr>
                <w:b/>
                <w:sz w:val="24"/>
                <w:szCs w:val="24"/>
              </w:rPr>
              <w:t>（2）施工期生态环境影响减缓措施可行性论证</w:t>
            </w:r>
          </w:p>
          <w:p>
            <w:pPr>
              <w:spacing w:line="360" w:lineRule="auto"/>
              <w:ind w:firstLine="420"/>
              <w:rPr>
                <w:bCs/>
                <w:szCs w:val="21"/>
              </w:rPr>
            </w:pPr>
            <w:r>
              <w:rPr>
                <w:sz w:val="24"/>
                <w:szCs w:val="24"/>
              </w:rPr>
              <w:t>本</w:t>
            </w:r>
            <w:r>
              <w:rPr>
                <w:rFonts w:hint="eastAsia"/>
                <w:sz w:val="24"/>
                <w:szCs w:val="24"/>
                <w:lang w:eastAsia="zh-CN"/>
              </w:rPr>
              <w:t>工程</w:t>
            </w:r>
            <w:r>
              <w:rPr>
                <w:sz w:val="24"/>
                <w:szCs w:val="24"/>
              </w:rPr>
              <w:t>采取生态影响减缓措施后降低对</w:t>
            </w:r>
            <w:r>
              <w:rPr>
                <w:rFonts w:hint="eastAsia"/>
                <w:sz w:val="24"/>
                <w:szCs w:val="24"/>
                <w:lang w:eastAsia="zh-CN"/>
              </w:rPr>
              <w:t>工程</w:t>
            </w:r>
            <w:r>
              <w:rPr>
                <w:sz w:val="24"/>
                <w:szCs w:val="24"/>
              </w:rPr>
              <w:t>占地区域生态环境不利影响，且</w:t>
            </w:r>
            <w:r>
              <w:rPr>
                <w:rFonts w:hint="eastAsia"/>
                <w:sz w:val="24"/>
                <w:szCs w:val="24"/>
                <w:lang w:eastAsia="zh-CN"/>
              </w:rPr>
              <w:t>工程</w:t>
            </w:r>
            <w:r>
              <w:rPr>
                <w:sz w:val="24"/>
                <w:szCs w:val="24"/>
              </w:rPr>
              <w:t>占地范围不大，</w:t>
            </w:r>
            <w:r>
              <w:rPr>
                <w:rFonts w:hint="eastAsia"/>
                <w:sz w:val="24"/>
                <w:szCs w:val="24"/>
                <w:lang w:eastAsia="zh-CN"/>
              </w:rPr>
              <w:t>工程</w:t>
            </w:r>
            <w:r>
              <w:rPr>
                <w:sz w:val="24"/>
                <w:szCs w:val="24"/>
              </w:rPr>
              <w:t>施工仅对局部生态环境造成破坏，但对整体区域自然环境影响不显著，所以施工期生态环境影响减缓措施经济技术可行，生态保护和恢复效果的可达。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3" w:type="dxa"/>
            <w:tcMar>
              <w:left w:w="28" w:type="dxa"/>
              <w:right w:w="28" w:type="dxa"/>
            </w:tcMar>
            <w:vAlign w:val="center"/>
          </w:tcPr>
          <w:p>
            <w:pPr>
              <w:adjustRightInd w:val="0"/>
              <w:snapToGrid w:val="0"/>
              <w:jc w:val="center"/>
              <w:rPr>
                <w:bCs/>
                <w:sz w:val="24"/>
                <w:szCs w:val="24"/>
              </w:rPr>
            </w:pPr>
            <w:r>
              <w:rPr>
                <w:bCs/>
                <w:sz w:val="24"/>
                <w:szCs w:val="24"/>
              </w:rPr>
              <w:t>运营期生态环境保护措施</w:t>
            </w:r>
          </w:p>
        </w:tc>
        <w:tc>
          <w:tcPr>
            <w:tcW w:w="8457" w:type="dxa"/>
          </w:tcPr>
          <w:p>
            <w:pPr>
              <w:spacing w:line="360" w:lineRule="auto"/>
              <w:ind w:firstLine="482" w:firstLineChars="200"/>
              <w:rPr>
                <w:b/>
                <w:sz w:val="24"/>
                <w:szCs w:val="24"/>
              </w:rPr>
            </w:pPr>
            <w:r>
              <w:rPr>
                <w:b/>
                <w:sz w:val="24"/>
                <w:szCs w:val="24"/>
              </w:rPr>
              <w:t>1、运营期废气防治措施及可行性论证</w:t>
            </w:r>
          </w:p>
          <w:p>
            <w:pPr>
              <w:spacing w:line="360" w:lineRule="auto"/>
              <w:ind w:firstLine="482" w:firstLineChars="200"/>
              <w:rPr>
                <w:b/>
                <w:sz w:val="24"/>
                <w:szCs w:val="24"/>
              </w:rPr>
            </w:pPr>
            <w:r>
              <w:rPr>
                <w:b/>
                <w:sz w:val="24"/>
                <w:szCs w:val="24"/>
              </w:rPr>
              <w:t>（1）运营期废气防治措施</w:t>
            </w:r>
          </w:p>
          <w:p>
            <w:pPr>
              <w:spacing w:line="360" w:lineRule="auto"/>
              <w:ind w:firstLine="480" w:firstLineChars="200"/>
              <w:rPr>
                <w:bCs/>
                <w:kern w:val="0"/>
                <w:sz w:val="24"/>
                <w:szCs w:val="24"/>
              </w:rPr>
            </w:pPr>
            <w:r>
              <w:rPr>
                <w:rFonts w:hint="eastAsia"/>
                <w:sz w:val="24"/>
                <w:szCs w:val="24"/>
                <w:lang w:eastAsia="zh-CN"/>
              </w:rPr>
              <w:t>工程</w:t>
            </w:r>
            <w:r>
              <w:rPr>
                <w:sz w:val="24"/>
                <w:szCs w:val="24"/>
              </w:rPr>
              <w:t>运营期废气主要为</w:t>
            </w:r>
            <w:r>
              <w:rPr>
                <w:bCs/>
                <w:kern w:val="0"/>
                <w:sz w:val="24"/>
                <w:szCs w:val="24"/>
              </w:rPr>
              <w:t>堆填区堆料扬尘和车辆运输产生的道路扬尘。针对运营期</w:t>
            </w:r>
            <w:r>
              <w:rPr>
                <w:rFonts w:hint="eastAsia"/>
                <w:bCs/>
                <w:kern w:val="0"/>
                <w:sz w:val="24"/>
                <w:szCs w:val="24"/>
                <w:lang w:eastAsia="zh-CN"/>
              </w:rPr>
              <w:t>工程</w:t>
            </w:r>
            <w:r>
              <w:rPr>
                <w:bCs/>
                <w:kern w:val="0"/>
                <w:sz w:val="24"/>
                <w:szCs w:val="24"/>
              </w:rPr>
              <w:t>对大气环境影响，采取以下措施：</w:t>
            </w:r>
          </w:p>
          <w:p>
            <w:pPr>
              <w:spacing w:line="360" w:lineRule="auto"/>
              <w:ind w:firstLine="480" w:firstLineChars="200"/>
              <w:rPr>
                <w:bCs/>
                <w:kern w:val="0"/>
                <w:sz w:val="24"/>
                <w:szCs w:val="24"/>
              </w:rPr>
            </w:pPr>
            <w:r>
              <w:rPr>
                <w:sz w:val="24"/>
                <w:szCs w:val="24"/>
              </w:rPr>
              <w:t>物料装卸、及摊铺、压实作业与物料湿度、粒度有关，卸车、摊铺、压实时及时洒水降尘，可有效抑制扬尘产生；</w:t>
            </w:r>
          </w:p>
          <w:p>
            <w:pPr>
              <w:spacing w:line="360" w:lineRule="auto"/>
              <w:ind w:firstLine="480" w:firstLineChars="200"/>
              <w:rPr>
                <w:kern w:val="0"/>
                <w:sz w:val="24"/>
                <w:szCs w:val="24"/>
              </w:rPr>
            </w:pPr>
            <w:r>
              <w:rPr>
                <w:kern w:val="0"/>
                <w:sz w:val="24"/>
                <w:szCs w:val="24"/>
              </w:rPr>
              <w:fldChar w:fldCharType="begin"/>
            </w:r>
            <w:r>
              <w:rPr>
                <w:kern w:val="0"/>
                <w:sz w:val="24"/>
                <w:szCs w:val="24"/>
              </w:rPr>
              <w:instrText xml:space="preserve"> = 1 \* GB3 </w:instrText>
            </w:r>
            <w:r>
              <w:rPr>
                <w:kern w:val="0"/>
                <w:sz w:val="24"/>
                <w:szCs w:val="24"/>
              </w:rPr>
              <w:fldChar w:fldCharType="separate"/>
            </w:r>
            <w:r>
              <w:rPr>
                <w:rFonts w:ascii="宋体"/>
                <w:kern w:val="0"/>
                <w:sz w:val="24"/>
                <w:szCs w:val="24"/>
              </w:rPr>
              <w:t>①</w:t>
            </w:r>
            <w:r>
              <w:rPr>
                <w:kern w:val="0"/>
                <w:sz w:val="24"/>
                <w:szCs w:val="24"/>
              </w:rPr>
              <w:fldChar w:fldCharType="end"/>
            </w:r>
            <w:r>
              <w:rPr>
                <w:kern w:val="0"/>
                <w:sz w:val="24"/>
                <w:szCs w:val="24"/>
              </w:rPr>
              <w:t>建筑垃圾</w:t>
            </w:r>
            <w:r>
              <w:rPr>
                <w:sz w:val="24"/>
                <w:szCs w:val="24"/>
              </w:rPr>
              <w:t>卸车过程中降低倾倒高度且在卸料平台设置三面防风抑尘网，并及时进行洒水抑尘。对进场建筑垃圾及时进行堆填，</w:t>
            </w:r>
            <w:r>
              <w:rPr>
                <w:kern w:val="0"/>
                <w:sz w:val="24"/>
                <w:szCs w:val="24"/>
              </w:rPr>
              <w:t>尽量减少场区内堆存量和堆场时间，且对卸料平台处建筑垃圾进行及时覆盖；</w:t>
            </w:r>
          </w:p>
          <w:p>
            <w:pPr>
              <w:topLinePunct/>
              <w:spacing w:line="360" w:lineRule="auto"/>
              <w:ind w:firstLine="480" w:firstLineChars="200"/>
              <w:textAlignment w:val="center"/>
              <w:rPr>
                <w:kern w:val="0"/>
                <w:sz w:val="24"/>
                <w:szCs w:val="24"/>
              </w:rPr>
            </w:pPr>
            <w:r>
              <w:rPr>
                <w:kern w:val="0"/>
                <w:sz w:val="24"/>
                <w:szCs w:val="24"/>
              </w:rPr>
              <w:fldChar w:fldCharType="begin"/>
            </w:r>
            <w:r>
              <w:rPr>
                <w:kern w:val="0"/>
                <w:sz w:val="24"/>
                <w:szCs w:val="24"/>
              </w:rPr>
              <w:instrText xml:space="preserve"> = 2 \* GB3 </w:instrText>
            </w:r>
            <w:r>
              <w:rPr>
                <w:kern w:val="0"/>
                <w:sz w:val="24"/>
                <w:szCs w:val="24"/>
              </w:rPr>
              <w:fldChar w:fldCharType="separate"/>
            </w:r>
            <w:r>
              <w:rPr>
                <w:rFonts w:ascii="宋体"/>
                <w:kern w:val="0"/>
                <w:sz w:val="24"/>
                <w:szCs w:val="24"/>
              </w:rPr>
              <w:t>②</w:t>
            </w:r>
            <w:r>
              <w:rPr>
                <w:kern w:val="0"/>
                <w:sz w:val="24"/>
                <w:szCs w:val="24"/>
              </w:rPr>
              <w:fldChar w:fldCharType="end"/>
            </w:r>
            <w:r>
              <w:rPr>
                <w:kern w:val="0"/>
                <w:sz w:val="24"/>
                <w:szCs w:val="24"/>
              </w:rPr>
              <w:t>在建筑垃圾堆填作业过程中，对作业面及时进行洒水抑尘，对需要继续进行堆填的作业面，每日堆填作业结束后，使用PE膜或编制布进行覆盖。对达到堆填层标高，暂时不进行堆填作业的区域进行中间覆盖，中间覆盖采用30cm黏土，并在黏土上方铺设表土作为覆盖层，在覆盖层上方种草进行绿化；</w:t>
            </w:r>
          </w:p>
          <w:p>
            <w:pPr>
              <w:topLinePunct/>
              <w:spacing w:line="360" w:lineRule="auto"/>
              <w:ind w:firstLine="480" w:firstLineChars="200"/>
              <w:textAlignment w:val="center"/>
              <w:rPr>
                <w:kern w:val="0"/>
                <w:sz w:val="24"/>
                <w:szCs w:val="24"/>
              </w:rPr>
            </w:pPr>
            <w:r>
              <w:rPr>
                <w:kern w:val="0"/>
                <w:sz w:val="24"/>
                <w:szCs w:val="24"/>
              </w:rPr>
              <w:fldChar w:fldCharType="begin"/>
            </w:r>
            <w:r>
              <w:rPr>
                <w:kern w:val="0"/>
                <w:sz w:val="24"/>
                <w:szCs w:val="24"/>
              </w:rPr>
              <w:instrText xml:space="preserve"> = 3 \* GB3 </w:instrText>
            </w:r>
            <w:r>
              <w:rPr>
                <w:kern w:val="0"/>
                <w:sz w:val="24"/>
                <w:szCs w:val="24"/>
              </w:rPr>
              <w:fldChar w:fldCharType="separate"/>
            </w:r>
            <w:r>
              <w:rPr>
                <w:rFonts w:ascii="宋体"/>
                <w:kern w:val="0"/>
                <w:sz w:val="24"/>
                <w:szCs w:val="24"/>
              </w:rPr>
              <w:t>③</w:t>
            </w:r>
            <w:r>
              <w:rPr>
                <w:kern w:val="0"/>
                <w:sz w:val="24"/>
                <w:szCs w:val="24"/>
              </w:rPr>
              <w:fldChar w:fldCharType="end"/>
            </w:r>
            <w:r>
              <w:rPr>
                <w:kern w:val="0"/>
                <w:sz w:val="24"/>
                <w:szCs w:val="24"/>
              </w:rPr>
              <w:t>道路运输扬尘与运输路面清洁情况及运输车辆的封闭情况有关。建筑垃圾运输车辆应全封闭，减速慢行限制汽车超载，避免车辆沿路遗撒；设置汽车设备，对运送垃圾车辆及时进行表面冲洗，并对场区内道路进行清扫和洒水，保持路面湿度和清洁度；对场区进出口道路进行硬化，减少起尘量。</w:t>
            </w:r>
          </w:p>
          <w:p>
            <w:pPr>
              <w:topLinePunct/>
              <w:spacing w:line="360" w:lineRule="auto"/>
              <w:ind w:firstLine="482" w:firstLineChars="200"/>
              <w:textAlignment w:val="center"/>
              <w:rPr>
                <w:b/>
                <w:sz w:val="24"/>
                <w:szCs w:val="24"/>
              </w:rPr>
            </w:pPr>
            <w:r>
              <w:rPr>
                <w:b/>
                <w:kern w:val="0"/>
                <w:sz w:val="24"/>
                <w:szCs w:val="24"/>
              </w:rPr>
              <w:t>（2）</w:t>
            </w:r>
            <w:r>
              <w:rPr>
                <w:b/>
                <w:sz w:val="24"/>
                <w:szCs w:val="24"/>
              </w:rPr>
              <w:t>运营期废气防治措施可行性论证</w:t>
            </w:r>
          </w:p>
          <w:p>
            <w:pPr>
              <w:topLinePunct/>
              <w:spacing w:line="360" w:lineRule="auto"/>
              <w:ind w:firstLine="480" w:firstLineChars="200"/>
              <w:textAlignment w:val="center"/>
              <w:rPr>
                <w:color w:val="auto"/>
                <w:kern w:val="0"/>
                <w:sz w:val="24"/>
                <w:szCs w:val="24"/>
              </w:rPr>
            </w:pPr>
            <w:r>
              <w:rPr>
                <w:kern w:val="0"/>
                <w:sz w:val="24"/>
                <w:szCs w:val="24"/>
              </w:rPr>
              <w:t>本</w:t>
            </w:r>
            <w:r>
              <w:rPr>
                <w:rFonts w:hint="eastAsia"/>
                <w:kern w:val="0"/>
                <w:sz w:val="24"/>
                <w:szCs w:val="24"/>
                <w:lang w:eastAsia="zh-CN"/>
              </w:rPr>
              <w:t>工程</w:t>
            </w:r>
            <w:r>
              <w:rPr>
                <w:kern w:val="0"/>
                <w:sz w:val="24"/>
                <w:szCs w:val="24"/>
              </w:rPr>
              <w:t>采取洒水抑尘和设置防风抑尘网属于《排污许可证申请与核发技术规范环境卫生管理业》（HJ1106-2020）附录A.1环境卫生管理业排污单位废气治</w:t>
            </w:r>
            <w:r>
              <w:rPr>
                <w:color w:val="auto"/>
                <w:kern w:val="0"/>
                <w:sz w:val="24"/>
                <w:szCs w:val="24"/>
              </w:rPr>
              <w:t>理可行技术参考表中堆填单元堆填作业的可行性技术。</w:t>
            </w:r>
          </w:p>
          <w:p>
            <w:pPr>
              <w:topLinePunct/>
              <w:spacing w:line="360" w:lineRule="auto"/>
              <w:ind w:firstLine="482" w:firstLineChars="200"/>
              <w:textAlignment w:val="center"/>
              <w:rPr>
                <w:b/>
                <w:color w:val="auto"/>
                <w:kern w:val="0"/>
                <w:sz w:val="24"/>
                <w:szCs w:val="24"/>
              </w:rPr>
            </w:pPr>
            <w:r>
              <w:rPr>
                <w:b/>
                <w:color w:val="auto"/>
                <w:kern w:val="0"/>
                <w:sz w:val="24"/>
                <w:szCs w:val="24"/>
              </w:rPr>
              <w:t>（3）监测计划</w:t>
            </w:r>
          </w:p>
          <w:p>
            <w:pPr>
              <w:topLinePunct/>
              <w:spacing w:line="360" w:lineRule="auto"/>
              <w:ind w:firstLine="480" w:firstLineChars="200"/>
              <w:textAlignment w:val="center"/>
              <w:rPr>
                <w:color w:val="auto"/>
                <w:kern w:val="0"/>
                <w:sz w:val="24"/>
                <w:szCs w:val="24"/>
              </w:rPr>
            </w:pPr>
            <w:r>
              <w:rPr>
                <w:color w:val="auto"/>
                <w:kern w:val="0"/>
                <w:sz w:val="24"/>
                <w:szCs w:val="24"/>
              </w:rPr>
              <w:fldChar w:fldCharType="begin"/>
            </w:r>
            <w:r>
              <w:rPr>
                <w:color w:val="auto"/>
                <w:kern w:val="0"/>
                <w:sz w:val="24"/>
                <w:szCs w:val="24"/>
              </w:rPr>
              <w:instrText xml:space="preserve"> = 1 \* GB3 </w:instrText>
            </w:r>
            <w:r>
              <w:rPr>
                <w:color w:val="auto"/>
                <w:kern w:val="0"/>
                <w:sz w:val="24"/>
                <w:szCs w:val="24"/>
              </w:rPr>
              <w:fldChar w:fldCharType="separate"/>
            </w:r>
            <w:r>
              <w:rPr>
                <w:rFonts w:ascii="宋体"/>
                <w:color w:val="auto"/>
                <w:kern w:val="0"/>
                <w:sz w:val="24"/>
                <w:szCs w:val="24"/>
              </w:rPr>
              <w:t>①</w:t>
            </w:r>
            <w:r>
              <w:rPr>
                <w:color w:val="auto"/>
                <w:kern w:val="0"/>
                <w:sz w:val="24"/>
                <w:szCs w:val="24"/>
              </w:rPr>
              <w:fldChar w:fldCharType="end"/>
            </w:r>
            <w:r>
              <w:rPr>
                <w:color w:val="auto"/>
                <w:kern w:val="0"/>
                <w:sz w:val="24"/>
                <w:szCs w:val="24"/>
              </w:rPr>
              <w:t>监测因子：TSP；</w:t>
            </w:r>
          </w:p>
          <w:p>
            <w:pPr>
              <w:topLinePunct/>
              <w:spacing w:line="360" w:lineRule="auto"/>
              <w:ind w:firstLine="480" w:firstLineChars="200"/>
              <w:textAlignment w:val="center"/>
              <w:rPr>
                <w:color w:val="auto"/>
                <w:sz w:val="24"/>
                <w:szCs w:val="24"/>
              </w:rPr>
            </w:pPr>
            <w:r>
              <w:rPr>
                <w:color w:val="auto"/>
                <w:kern w:val="0"/>
                <w:sz w:val="24"/>
                <w:szCs w:val="24"/>
              </w:rPr>
              <w:fldChar w:fldCharType="begin"/>
            </w:r>
            <w:r>
              <w:rPr>
                <w:color w:val="auto"/>
                <w:kern w:val="0"/>
                <w:sz w:val="24"/>
                <w:szCs w:val="24"/>
              </w:rPr>
              <w:instrText xml:space="preserve"> = 2 \* GB3 </w:instrText>
            </w:r>
            <w:r>
              <w:rPr>
                <w:color w:val="auto"/>
                <w:kern w:val="0"/>
                <w:sz w:val="24"/>
                <w:szCs w:val="24"/>
              </w:rPr>
              <w:fldChar w:fldCharType="separate"/>
            </w:r>
            <w:r>
              <w:rPr>
                <w:rFonts w:ascii="宋体"/>
                <w:color w:val="auto"/>
                <w:kern w:val="0"/>
                <w:sz w:val="24"/>
                <w:szCs w:val="24"/>
              </w:rPr>
              <w:t>②</w:t>
            </w:r>
            <w:r>
              <w:rPr>
                <w:color w:val="auto"/>
                <w:kern w:val="0"/>
                <w:sz w:val="24"/>
                <w:szCs w:val="24"/>
              </w:rPr>
              <w:fldChar w:fldCharType="end"/>
            </w:r>
            <w:r>
              <w:rPr>
                <w:color w:val="auto"/>
                <w:kern w:val="0"/>
                <w:sz w:val="24"/>
                <w:szCs w:val="24"/>
              </w:rPr>
              <w:t>监测点位：</w:t>
            </w:r>
            <w:r>
              <w:rPr>
                <w:color w:val="auto"/>
                <w:sz w:val="24"/>
                <w:szCs w:val="24"/>
              </w:rPr>
              <w:t>厂界上风向1个对照点，下风向设3个监控点；</w:t>
            </w:r>
          </w:p>
          <w:p>
            <w:pPr>
              <w:topLinePunct/>
              <w:spacing w:line="360" w:lineRule="auto"/>
              <w:ind w:firstLine="480" w:firstLineChars="200"/>
              <w:textAlignment w:val="center"/>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ascii="宋体"/>
                <w:color w:val="auto"/>
                <w:sz w:val="24"/>
                <w:szCs w:val="24"/>
              </w:rPr>
              <w:t>③</w:t>
            </w:r>
            <w:r>
              <w:rPr>
                <w:rFonts w:ascii="宋体"/>
                <w:color w:val="auto"/>
                <w:sz w:val="24"/>
                <w:szCs w:val="24"/>
              </w:rPr>
              <w:fldChar w:fldCharType="end"/>
            </w:r>
            <w:r>
              <w:rPr>
                <w:color w:val="auto"/>
                <w:sz w:val="24"/>
                <w:szCs w:val="24"/>
              </w:rPr>
              <w:t>监测频次：1次/年；</w:t>
            </w:r>
          </w:p>
          <w:p>
            <w:pPr>
              <w:topLinePunct/>
              <w:spacing w:line="360" w:lineRule="auto"/>
              <w:ind w:firstLine="480" w:firstLineChars="200"/>
              <w:textAlignment w:val="center"/>
              <w:rPr>
                <w:color w:val="auto"/>
                <w:sz w:val="24"/>
                <w:szCs w:val="24"/>
              </w:rPr>
            </w:pP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ascii="宋体"/>
                <w:color w:val="auto"/>
                <w:sz w:val="24"/>
                <w:szCs w:val="24"/>
              </w:rPr>
              <w:t>④</w:t>
            </w:r>
            <w:r>
              <w:rPr>
                <w:rFonts w:ascii="宋体"/>
                <w:color w:val="auto"/>
                <w:sz w:val="24"/>
                <w:szCs w:val="24"/>
              </w:rPr>
              <w:fldChar w:fldCharType="end"/>
            </w:r>
            <w:r>
              <w:rPr>
                <w:color w:val="auto"/>
                <w:sz w:val="24"/>
                <w:szCs w:val="24"/>
              </w:rPr>
              <w:t>监测方法：依据《大气污染物综合排放标准》（GB16297-1996）中的监测方法。</w:t>
            </w:r>
          </w:p>
          <w:p>
            <w:pPr>
              <w:spacing w:line="360" w:lineRule="auto"/>
              <w:ind w:firstLine="482" w:firstLineChars="200"/>
              <w:rPr>
                <w:b/>
                <w:sz w:val="24"/>
                <w:szCs w:val="24"/>
              </w:rPr>
            </w:pPr>
            <w:r>
              <w:rPr>
                <w:b/>
                <w:sz w:val="24"/>
                <w:szCs w:val="24"/>
              </w:rPr>
              <w:t>2、运营期废水防治措施及可行性论证</w:t>
            </w:r>
          </w:p>
          <w:p>
            <w:pPr>
              <w:spacing w:line="360" w:lineRule="auto"/>
              <w:ind w:firstLine="482" w:firstLineChars="200"/>
              <w:rPr>
                <w:b/>
                <w:sz w:val="24"/>
                <w:szCs w:val="24"/>
              </w:rPr>
            </w:pPr>
            <w:r>
              <w:rPr>
                <w:b/>
                <w:sz w:val="24"/>
                <w:szCs w:val="24"/>
              </w:rPr>
              <w:t>（1）运营期废水防治措施</w:t>
            </w:r>
          </w:p>
          <w:p>
            <w:pPr>
              <w:snapToGrid w:val="0"/>
              <w:spacing w:line="360" w:lineRule="auto"/>
              <w:ind w:firstLine="480"/>
              <w:rPr>
                <w:sz w:val="24"/>
                <w:szCs w:val="24"/>
              </w:rPr>
            </w:pPr>
            <w:r>
              <w:rPr>
                <w:rFonts w:hint="eastAsia"/>
                <w:sz w:val="24"/>
                <w:szCs w:val="24"/>
                <w:lang w:eastAsia="zh-CN"/>
              </w:rPr>
              <w:t>工程</w:t>
            </w:r>
            <w:r>
              <w:rPr>
                <w:sz w:val="24"/>
                <w:szCs w:val="24"/>
              </w:rPr>
              <w:t>生产运营阶段采用雨污分流，废水包括洗车废水、渗出水和生活污水。</w:t>
            </w:r>
          </w:p>
          <w:p>
            <w:pPr>
              <w:snapToGrid w:val="0"/>
              <w:spacing w:line="360" w:lineRule="auto"/>
              <w:ind w:firstLine="480"/>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为防止洪雨水进入堆填场，对堆填场四周设置环形截洪沟（长0.6m，宽0.8m，深度为0.6m）。为了进一步减少进入建筑垃圾堆体的雨水量，在垃圾堆体表现平台设置临时表面排水沟，将雨水排入截洪沟。</w:t>
            </w:r>
          </w:p>
          <w:p>
            <w:pPr>
              <w:snapToGrid w:val="0"/>
              <w:spacing w:line="360" w:lineRule="auto"/>
              <w:ind w:firstLine="480"/>
              <w:rPr>
                <w:rFonts w:hint="eastAsia" w:eastAsia="宋体"/>
                <w:sz w:val="24"/>
                <w:szCs w:val="24"/>
                <w:lang w:eastAsia="zh-CN"/>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洗车废水主要特征污染物为SS，水质简单，通过沉淀池沉淀后，回用于车辆清洗，不外排；</w:t>
            </w:r>
          </w:p>
          <w:p>
            <w:pPr>
              <w:snapToGrid w:val="0"/>
              <w:spacing w:line="360" w:lineRule="auto"/>
              <w:ind w:firstLine="480"/>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渗出水主要特征污染物为SS，通过导排管收集后排入沉淀池沉淀后，回用于洒水抑尘，不外排；</w:t>
            </w:r>
          </w:p>
          <w:p>
            <w:pPr>
              <w:snapToGrid w:val="0"/>
              <w:spacing w:line="360" w:lineRule="auto"/>
              <w:ind w:firstLine="480"/>
              <w:rPr>
                <w:sz w:val="24"/>
                <w:szCs w:val="24"/>
              </w:rPr>
            </w:pPr>
            <w:r>
              <w:rPr>
                <w:sz w:val="24"/>
                <w:szCs w:val="24"/>
              </w:rPr>
              <w:fldChar w:fldCharType="begin"/>
            </w:r>
            <w:r>
              <w:rPr>
                <w:sz w:val="24"/>
                <w:szCs w:val="24"/>
              </w:rPr>
              <w:instrText xml:space="preserve"> = 4 \* GB3 </w:instrText>
            </w:r>
            <w:r>
              <w:rPr>
                <w:sz w:val="24"/>
                <w:szCs w:val="24"/>
              </w:rPr>
              <w:fldChar w:fldCharType="separate"/>
            </w:r>
            <w:r>
              <w:rPr>
                <w:rFonts w:ascii="宋体"/>
                <w:sz w:val="24"/>
                <w:szCs w:val="24"/>
              </w:rPr>
              <w:t>④</w:t>
            </w:r>
            <w:r>
              <w:rPr>
                <w:rFonts w:ascii="宋体"/>
                <w:sz w:val="24"/>
                <w:szCs w:val="24"/>
              </w:rPr>
              <w:fldChar w:fldCharType="end"/>
            </w:r>
            <w:r>
              <w:rPr>
                <w:sz w:val="24"/>
                <w:szCs w:val="24"/>
              </w:rPr>
              <w:t>生活污水：食堂废水经隔油池处理后和其他生活污水一同排入化粪池处理，化粪池定期委托清掏。</w:t>
            </w:r>
          </w:p>
          <w:p>
            <w:pPr>
              <w:spacing w:line="360" w:lineRule="auto"/>
              <w:ind w:firstLine="482" w:firstLineChars="200"/>
              <w:rPr>
                <w:b/>
                <w:sz w:val="24"/>
                <w:szCs w:val="24"/>
              </w:rPr>
            </w:pPr>
            <w:r>
              <w:rPr>
                <w:b/>
                <w:sz w:val="24"/>
                <w:szCs w:val="24"/>
              </w:rPr>
              <w:t>（2）运营期废水防治措施可行性论证</w:t>
            </w:r>
          </w:p>
          <w:p>
            <w:pPr>
              <w:spacing w:line="360" w:lineRule="auto"/>
              <w:ind w:firstLine="480" w:firstLineChars="200"/>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根据《建筑垃圾处理技术标准》（CJJ/T134-2019），堆填场库区外汇水区域小于10km</w:t>
            </w:r>
            <w:r>
              <w:rPr>
                <w:sz w:val="24"/>
                <w:szCs w:val="24"/>
                <w:vertAlign w:val="superscript"/>
              </w:rPr>
              <w:t>2</w:t>
            </w:r>
            <w:r>
              <w:rPr>
                <w:sz w:val="24"/>
                <w:szCs w:val="24"/>
              </w:rPr>
              <w:t>，采用公路岩土所经验公式计算：</w:t>
            </w:r>
          </w:p>
          <w:p>
            <w:pPr>
              <w:spacing w:line="360" w:lineRule="auto"/>
              <w:ind w:firstLine="480" w:firstLineChars="200"/>
              <w:jc w:val="center"/>
              <w:rPr>
                <w:sz w:val="24"/>
                <w:szCs w:val="24"/>
              </w:rPr>
            </w:pPr>
            <w:r>
              <w:rPr>
                <w:sz w:val="24"/>
                <w:szCs w:val="24"/>
              </w:rPr>
              <w:drawing>
                <wp:inline distT="0" distB="0" distL="0" distR="0">
                  <wp:extent cx="1181100" cy="35242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srcRect/>
                          <a:stretch>
                            <a:fillRect/>
                          </a:stretch>
                        </pic:blipFill>
                        <pic:spPr>
                          <a:xfrm>
                            <a:off x="0" y="0"/>
                            <a:ext cx="1181100" cy="352425"/>
                          </a:xfrm>
                          <a:prstGeom prst="rect">
                            <a:avLst/>
                          </a:prstGeom>
                          <a:noFill/>
                          <a:ln w="9525">
                            <a:noFill/>
                            <a:miter lim="800000"/>
                            <a:headEnd/>
                            <a:tailEnd/>
                          </a:ln>
                        </pic:spPr>
                      </pic:pic>
                    </a:graphicData>
                  </a:graphic>
                </wp:inline>
              </w:drawing>
            </w:r>
          </w:p>
          <w:p>
            <w:pPr>
              <w:spacing w:line="360" w:lineRule="auto"/>
              <w:jc w:val="left"/>
              <w:rPr>
                <w:sz w:val="24"/>
                <w:szCs w:val="24"/>
              </w:rPr>
            </w:pPr>
            <w:r>
              <w:rPr>
                <w:sz w:val="24"/>
                <w:szCs w:val="24"/>
              </w:rPr>
              <w:t>其中：Q----设计洪峰流量（m</w:t>
            </w:r>
            <w:r>
              <w:rPr>
                <w:sz w:val="24"/>
                <w:szCs w:val="24"/>
                <w:vertAlign w:val="superscript"/>
              </w:rPr>
              <w:t>3</w:t>
            </w:r>
            <w:r>
              <w:rPr>
                <w:sz w:val="24"/>
                <w:szCs w:val="24"/>
              </w:rPr>
              <w:t>/s）；</w:t>
            </w:r>
          </w:p>
          <w:p>
            <w:pPr>
              <w:spacing w:line="360" w:lineRule="auto"/>
              <w:ind w:firstLine="720" w:firstLineChars="300"/>
              <w:jc w:val="left"/>
              <w:rPr>
                <w:sz w:val="24"/>
                <w:szCs w:val="24"/>
              </w:rPr>
            </w:pPr>
            <w:r>
              <w:rPr>
                <w:sz w:val="24"/>
                <w:szCs w:val="24"/>
              </w:rPr>
              <w:t>F----流域面积，km</w:t>
            </w:r>
            <w:r>
              <w:rPr>
                <w:sz w:val="24"/>
                <w:szCs w:val="24"/>
                <w:vertAlign w:val="superscript"/>
              </w:rPr>
              <w:t>2</w:t>
            </w:r>
            <w:r>
              <w:rPr>
                <w:sz w:val="24"/>
                <w:szCs w:val="24"/>
              </w:rPr>
              <w:t>，取0.0099km</w:t>
            </w:r>
            <w:r>
              <w:rPr>
                <w:sz w:val="24"/>
                <w:szCs w:val="24"/>
                <w:vertAlign w:val="superscript"/>
              </w:rPr>
              <w:t>2</w:t>
            </w:r>
            <w:r>
              <w:rPr>
                <w:sz w:val="24"/>
                <w:szCs w:val="24"/>
              </w:rPr>
              <w:t>；</w:t>
            </w:r>
          </w:p>
          <w:p>
            <w:pPr>
              <w:spacing w:line="360" w:lineRule="auto"/>
              <w:ind w:firstLine="720" w:firstLineChars="300"/>
              <w:jc w:val="left"/>
              <w:rPr>
                <w:sz w:val="24"/>
                <w:szCs w:val="24"/>
              </w:rPr>
            </w:pPr>
            <w:r>
              <w:rPr>
                <w:sz w:val="24"/>
                <w:szCs w:val="24"/>
              </w:rPr>
              <w:t>K----径流模数，根据《给排水设计手册》第七册表4-63查得当重现期为50年时，K=10.2；当重现期为100年，K=12.24；</w:t>
            </w:r>
          </w:p>
          <w:p>
            <w:pPr>
              <w:spacing w:line="360" w:lineRule="auto"/>
              <w:ind w:firstLine="720" w:firstLineChars="300"/>
              <w:jc w:val="left"/>
              <w:rPr>
                <w:sz w:val="24"/>
                <w:szCs w:val="24"/>
              </w:rPr>
            </w:pPr>
            <w:r>
              <w:rPr>
                <w:sz w:val="24"/>
                <w:szCs w:val="24"/>
              </w:rPr>
              <w:t>n----面积参数，根据《给排水设计手册》第七册表，取1.0。</w:t>
            </w:r>
          </w:p>
          <w:p>
            <w:pPr>
              <w:spacing w:line="360" w:lineRule="auto"/>
              <w:ind w:firstLine="480" w:firstLineChars="200"/>
              <w:rPr>
                <w:sz w:val="24"/>
                <w:szCs w:val="24"/>
              </w:rPr>
            </w:pPr>
            <w:r>
              <w:rPr>
                <w:sz w:val="24"/>
                <w:szCs w:val="24"/>
              </w:rPr>
              <w:t>经计算设计50年一遇雨水流量2.04m</w:t>
            </w:r>
            <w:r>
              <w:rPr>
                <w:sz w:val="24"/>
                <w:szCs w:val="24"/>
                <w:vertAlign w:val="superscript"/>
              </w:rPr>
              <w:t>3</w:t>
            </w:r>
            <w:r>
              <w:rPr>
                <w:sz w:val="24"/>
                <w:szCs w:val="24"/>
              </w:rPr>
              <w:t>/s，校核100年一遇雨水流量2.45m</w:t>
            </w:r>
            <w:r>
              <w:rPr>
                <w:sz w:val="24"/>
                <w:szCs w:val="24"/>
                <w:vertAlign w:val="superscript"/>
              </w:rPr>
              <w:t>3</w:t>
            </w:r>
            <w:r>
              <w:rPr>
                <w:sz w:val="24"/>
                <w:szCs w:val="24"/>
              </w:rPr>
              <w:t>/s。截洪沟的设计满足雨水流量要求。</w:t>
            </w:r>
          </w:p>
          <w:p>
            <w:pPr>
              <w:topLinePunct/>
              <w:spacing w:line="360" w:lineRule="auto"/>
              <w:ind w:firstLine="480" w:firstLineChars="200"/>
              <w:textAlignment w:val="center"/>
              <w:rPr>
                <w:kern w:val="0"/>
                <w:sz w:val="24"/>
                <w:szCs w:val="24"/>
              </w:rPr>
            </w:pPr>
            <w:r>
              <w:rPr>
                <w:kern w:val="0"/>
                <w:sz w:val="24"/>
                <w:szCs w:val="24"/>
              </w:rPr>
              <w:fldChar w:fldCharType="begin"/>
            </w:r>
            <w:r>
              <w:rPr>
                <w:kern w:val="0"/>
                <w:sz w:val="24"/>
                <w:szCs w:val="24"/>
              </w:rPr>
              <w:instrText xml:space="preserve"> = 2 \* GB3 </w:instrText>
            </w:r>
            <w:r>
              <w:rPr>
                <w:kern w:val="0"/>
                <w:sz w:val="24"/>
                <w:szCs w:val="24"/>
              </w:rPr>
              <w:fldChar w:fldCharType="separate"/>
            </w:r>
            <w:r>
              <w:rPr>
                <w:rFonts w:ascii="宋体"/>
                <w:kern w:val="0"/>
                <w:sz w:val="24"/>
                <w:szCs w:val="24"/>
              </w:rPr>
              <w:t>②</w:t>
            </w:r>
            <w:r>
              <w:rPr>
                <w:kern w:val="0"/>
                <w:sz w:val="24"/>
                <w:szCs w:val="24"/>
              </w:rPr>
              <w:fldChar w:fldCharType="end"/>
            </w:r>
            <w:r>
              <w:rPr>
                <w:kern w:val="0"/>
                <w:sz w:val="24"/>
                <w:szCs w:val="24"/>
              </w:rPr>
              <w:t>本</w:t>
            </w:r>
            <w:r>
              <w:rPr>
                <w:rFonts w:hint="eastAsia"/>
                <w:kern w:val="0"/>
                <w:sz w:val="24"/>
                <w:szCs w:val="24"/>
                <w:lang w:eastAsia="zh-CN"/>
              </w:rPr>
              <w:t>工程</w:t>
            </w:r>
            <w:r>
              <w:rPr>
                <w:kern w:val="0"/>
                <w:sz w:val="24"/>
                <w:szCs w:val="24"/>
              </w:rPr>
              <w:t>洗车废水采用三级沉淀池和生活污水采用化粪池处理属于《排污许可证申请与核发技术规范环境卫生管理业》（HJ1106-2020）附录A.1环境卫生管理业排污单位废气治理可行技术参考表中冲洗废水的可行性技术。</w:t>
            </w:r>
          </w:p>
          <w:p>
            <w:pPr>
              <w:topLinePunct/>
              <w:spacing w:line="360" w:lineRule="auto"/>
              <w:ind w:firstLine="480" w:firstLineChars="200"/>
              <w:textAlignment w:val="center"/>
              <w:rPr>
                <w:sz w:val="24"/>
                <w:szCs w:val="24"/>
              </w:rPr>
            </w:pPr>
            <w:r>
              <w:rPr>
                <w:kern w:val="0"/>
                <w:sz w:val="24"/>
                <w:szCs w:val="24"/>
              </w:rPr>
              <w:fldChar w:fldCharType="begin"/>
            </w:r>
            <w:r>
              <w:rPr>
                <w:kern w:val="0"/>
                <w:sz w:val="24"/>
                <w:szCs w:val="24"/>
              </w:rPr>
              <w:instrText xml:space="preserve"> = 3 \* GB3 </w:instrText>
            </w:r>
            <w:r>
              <w:rPr>
                <w:kern w:val="0"/>
                <w:sz w:val="24"/>
                <w:szCs w:val="24"/>
              </w:rPr>
              <w:fldChar w:fldCharType="separate"/>
            </w:r>
            <w:r>
              <w:rPr>
                <w:rFonts w:ascii="宋体"/>
                <w:kern w:val="0"/>
                <w:sz w:val="24"/>
                <w:szCs w:val="24"/>
              </w:rPr>
              <w:t>③</w:t>
            </w:r>
            <w:r>
              <w:rPr>
                <w:kern w:val="0"/>
                <w:sz w:val="24"/>
                <w:szCs w:val="24"/>
              </w:rPr>
              <w:fldChar w:fldCharType="end"/>
            </w:r>
            <w:r>
              <w:rPr>
                <w:kern w:val="0"/>
                <w:sz w:val="24"/>
                <w:szCs w:val="24"/>
              </w:rPr>
              <w:t>根据工程分析，本</w:t>
            </w:r>
            <w:r>
              <w:rPr>
                <w:rFonts w:hint="eastAsia"/>
                <w:kern w:val="0"/>
                <w:sz w:val="24"/>
                <w:szCs w:val="24"/>
                <w:lang w:eastAsia="zh-CN"/>
              </w:rPr>
              <w:t>工程</w:t>
            </w:r>
            <w:r>
              <w:rPr>
                <w:kern w:val="0"/>
                <w:sz w:val="24"/>
                <w:szCs w:val="24"/>
              </w:rPr>
              <w:t>渗出水</w:t>
            </w:r>
            <w:r>
              <w:rPr>
                <w:bCs/>
                <w:sz w:val="24"/>
                <w:szCs w:val="24"/>
              </w:rPr>
              <w:t>最大日产生量为9.05m</w:t>
            </w:r>
            <w:r>
              <w:rPr>
                <w:bCs/>
                <w:sz w:val="24"/>
                <w:szCs w:val="24"/>
                <w:vertAlign w:val="superscript"/>
              </w:rPr>
              <w:t>3</w:t>
            </w:r>
            <w:r>
              <w:rPr>
                <w:bCs/>
                <w:sz w:val="24"/>
                <w:szCs w:val="24"/>
              </w:rPr>
              <w:t>/d；日平均产生量为1.35m</w:t>
            </w:r>
            <w:r>
              <w:rPr>
                <w:bCs/>
                <w:sz w:val="24"/>
                <w:szCs w:val="24"/>
                <w:vertAlign w:val="superscript"/>
              </w:rPr>
              <w:t>3</w:t>
            </w:r>
            <w:r>
              <w:rPr>
                <w:bCs/>
                <w:sz w:val="24"/>
                <w:szCs w:val="24"/>
              </w:rPr>
              <w:t>/d；逐月产生量41.26m</w:t>
            </w:r>
            <w:r>
              <w:rPr>
                <w:bCs/>
                <w:sz w:val="24"/>
                <w:szCs w:val="24"/>
                <w:vertAlign w:val="superscript"/>
              </w:rPr>
              <w:t>3</w:t>
            </w:r>
            <w:r>
              <w:rPr>
                <w:bCs/>
                <w:sz w:val="24"/>
                <w:szCs w:val="24"/>
              </w:rPr>
              <w:t>/d。本</w:t>
            </w:r>
            <w:r>
              <w:rPr>
                <w:rFonts w:hint="eastAsia"/>
                <w:bCs/>
                <w:sz w:val="24"/>
                <w:szCs w:val="24"/>
                <w:lang w:eastAsia="zh-CN"/>
              </w:rPr>
              <w:t>工程</w:t>
            </w:r>
            <w:r>
              <w:rPr>
                <w:bCs/>
                <w:sz w:val="24"/>
                <w:szCs w:val="24"/>
              </w:rPr>
              <w:t>拟建沉淀池有效体积为125m</w:t>
            </w:r>
            <w:r>
              <w:rPr>
                <w:bCs/>
                <w:sz w:val="24"/>
                <w:szCs w:val="24"/>
                <w:vertAlign w:val="superscript"/>
              </w:rPr>
              <w:t>3</w:t>
            </w:r>
            <w:r>
              <w:rPr>
                <w:bCs/>
                <w:sz w:val="24"/>
                <w:szCs w:val="24"/>
              </w:rPr>
              <w:t>，则本</w:t>
            </w:r>
            <w:r>
              <w:rPr>
                <w:rFonts w:hint="eastAsia"/>
                <w:bCs/>
                <w:sz w:val="24"/>
                <w:szCs w:val="24"/>
                <w:lang w:eastAsia="zh-CN"/>
              </w:rPr>
              <w:t>工程</w:t>
            </w:r>
            <w:r>
              <w:rPr>
                <w:bCs/>
                <w:sz w:val="24"/>
                <w:szCs w:val="24"/>
              </w:rPr>
              <w:t>可</w:t>
            </w:r>
            <w:r>
              <w:rPr>
                <w:sz w:val="24"/>
                <w:szCs w:val="24"/>
              </w:rPr>
              <w:t>能满足3个月的渗出水日产生量。沉淀池的设计可满足渗出水量要求。</w:t>
            </w:r>
          </w:p>
          <w:p>
            <w:pPr>
              <w:snapToGrid w:val="0"/>
              <w:spacing w:line="360" w:lineRule="auto"/>
              <w:ind w:firstLine="424" w:firstLineChars="177"/>
              <w:rPr>
                <w:sz w:val="24"/>
                <w:szCs w:val="24"/>
              </w:rPr>
            </w:pPr>
            <w:r>
              <w:rPr>
                <w:sz w:val="24"/>
                <w:szCs w:val="24"/>
              </w:rPr>
              <w:t>综上所述，</w:t>
            </w:r>
            <w:r>
              <w:rPr>
                <w:rFonts w:hint="eastAsia"/>
                <w:sz w:val="24"/>
                <w:szCs w:val="24"/>
                <w:lang w:eastAsia="zh-CN"/>
              </w:rPr>
              <w:t>本</w:t>
            </w:r>
            <w:r>
              <w:rPr>
                <w:sz w:val="24"/>
                <w:szCs w:val="24"/>
              </w:rPr>
              <w:t>工程采用废水防治措施后，污染物能够得到有效治理，技术成熟可靠，措施可行。</w:t>
            </w:r>
          </w:p>
          <w:p>
            <w:pPr>
              <w:snapToGrid w:val="0"/>
              <w:spacing w:line="360" w:lineRule="auto"/>
              <w:ind w:firstLine="426" w:firstLineChars="177"/>
              <w:rPr>
                <w:b/>
                <w:sz w:val="24"/>
                <w:szCs w:val="24"/>
              </w:rPr>
            </w:pPr>
            <w:r>
              <w:rPr>
                <w:b/>
                <w:sz w:val="24"/>
                <w:szCs w:val="24"/>
              </w:rPr>
              <w:t>3、地下水防治措施及可行性论证</w:t>
            </w:r>
          </w:p>
          <w:p>
            <w:pPr>
              <w:spacing w:line="360" w:lineRule="auto"/>
              <w:ind w:firstLine="480"/>
              <w:rPr>
                <w:sz w:val="24"/>
                <w:szCs w:val="24"/>
              </w:rPr>
            </w:pPr>
            <w:r>
              <w:rPr>
                <w:b/>
                <w:sz w:val="24"/>
                <w:szCs w:val="24"/>
              </w:rPr>
              <w:t>（1）地下水防治措施及可行性论证</w:t>
            </w:r>
          </w:p>
          <w:p>
            <w:pPr>
              <w:snapToGrid w:val="0"/>
              <w:spacing w:line="360" w:lineRule="auto"/>
              <w:ind w:firstLine="424" w:firstLineChars="177"/>
              <w:rPr>
                <w:sz w:val="24"/>
                <w:szCs w:val="24"/>
              </w:rPr>
            </w:pPr>
            <w:r>
              <w:rPr>
                <w:sz w:val="24"/>
                <w:szCs w:val="24"/>
              </w:rPr>
              <w:t>本</w:t>
            </w:r>
            <w:r>
              <w:rPr>
                <w:rFonts w:hint="eastAsia"/>
                <w:sz w:val="24"/>
                <w:szCs w:val="24"/>
                <w:lang w:eastAsia="zh-CN"/>
              </w:rPr>
              <w:t>工程</w:t>
            </w:r>
            <w:r>
              <w:rPr>
                <w:sz w:val="24"/>
                <w:szCs w:val="24"/>
              </w:rPr>
              <w:t>地下水污染防治措施按照“源头控制、分区防治、污染监控、应急响应”相结合的原则，主要从污染物的产生方面进行控制。源头控制措施是《中华人民共和国水污染防治法》的基本要求，坚持预防为主，防治结合，综合治理的原则，通过减少</w:t>
            </w:r>
            <w:r>
              <w:rPr>
                <w:rFonts w:hint="eastAsia"/>
                <w:sz w:val="24"/>
                <w:szCs w:val="24"/>
              </w:rPr>
              <w:t>渗出水</w:t>
            </w:r>
            <w:r>
              <w:rPr>
                <w:sz w:val="24"/>
                <w:szCs w:val="24"/>
              </w:rPr>
              <w:t>的产生量和严格控制建筑垃圾入场要求两方面从源头上减少地下水污染源的产生，是符合地下水水污染防治的基本措施。</w:t>
            </w:r>
          </w:p>
          <w:p>
            <w:pPr>
              <w:snapToGrid w:val="0"/>
              <w:spacing w:line="360" w:lineRule="auto"/>
              <w:ind w:firstLine="424" w:firstLineChars="177"/>
              <w:rPr>
                <w:rFonts w:hint="default"/>
                <w:color w:val="auto"/>
                <w:sz w:val="24"/>
                <w:szCs w:val="24"/>
                <w:lang w:val="en-US" w:eastAsia="zh-CN"/>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rFonts w:ascii="宋体"/>
                <w:sz w:val="24"/>
                <w:szCs w:val="24"/>
              </w:rPr>
              <w:fldChar w:fldCharType="end"/>
            </w:r>
            <w:r>
              <w:rPr>
                <w:sz w:val="24"/>
                <w:szCs w:val="24"/>
              </w:rPr>
              <w:t>建筑垃圾自身渗出水量较小，渗出水的产生量与降雨量有直接关系，堆填区四周拟设置截水沟等工程，有效截留了雨水流入堆填区。同时，堆填区底部设渗出水收集导排系统，渗出水经收集后排入沉淀池，用于堆填区作业抑尘和回喷，渗出水不外</w:t>
            </w:r>
            <w:r>
              <w:rPr>
                <w:color w:val="auto"/>
                <w:sz w:val="24"/>
                <w:szCs w:val="24"/>
              </w:rPr>
              <w:t>排。</w:t>
            </w:r>
            <w:r>
              <w:rPr>
                <w:rFonts w:hint="eastAsia"/>
                <w:color w:val="auto"/>
                <w:sz w:val="24"/>
                <w:szCs w:val="24"/>
                <w:lang w:eastAsia="zh-CN"/>
              </w:rPr>
              <w:t>根据《环境影响评价技术导则地下水环境》（HJ610-2016），本工程均为简单防渗区，则渗出水的沉淀池防渗措施为采用防水砼（</w:t>
            </w:r>
            <w:r>
              <w:rPr>
                <w:rFonts w:hint="eastAsia"/>
                <w:color w:val="auto"/>
                <w:sz w:val="24"/>
                <w:szCs w:val="24"/>
                <w:lang w:val="en-US" w:eastAsia="zh-CN"/>
              </w:rPr>
              <w:t>P6）分层铺摸压实抹平</w:t>
            </w:r>
            <w:r>
              <w:rPr>
                <w:rFonts w:hint="eastAsia"/>
                <w:color w:val="auto"/>
                <w:sz w:val="24"/>
                <w:szCs w:val="24"/>
                <w:lang w:eastAsia="zh-CN"/>
              </w:rPr>
              <w:t>。</w:t>
            </w:r>
          </w:p>
          <w:p>
            <w:pPr>
              <w:snapToGrid w:val="0"/>
              <w:spacing w:line="360" w:lineRule="auto"/>
              <w:ind w:firstLine="424" w:firstLineChars="177"/>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rFonts w:ascii="宋体"/>
                <w:sz w:val="24"/>
                <w:szCs w:val="24"/>
              </w:rPr>
              <w:fldChar w:fldCharType="end"/>
            </w:r>
            <w:r>
              <w:rPr>
                <w:sz w:val="24"/>
                <w:szCs w:val="24"/>
              </w:rPr>
              <w:t>加强管理，严格控制进入垃圾堆填场的建筑垃圾，防止危险废物、生活垃圾及其他工业固废进入建筑垃圾堆填场，做好源头控制。</w:t>
            </w:r>
          </w:p>
          <w:p>
            <w:pPr>
              <w:snapToGrid w:val="0"/>
              <w:spacing w:line="360" w:lineRule="auto"/>
              <w:ind w:firstLine="424" w:firstLineChars="177"/>
              <w:rPr>
                <w:sz w:val="24"/>
                <w:szCs w:val="24"/>
              </w:rPr>
            </w:pPr>
            <w:r>
              <w:rPr>
                <w:sz w:val="24"/>
                <w:szCs w:val="24"/>
              </w:rPr>
              <w:fldChar w:fldCharType="begin"/>
            </w:r>
            <w:r>
              <w:rPr>
                <w:sz w:val="24"/>
                <w:szCs w:val="24"/>
              </w:rPr>
              <w:instrText xml:space="preserve"> = 3 \* GB3 </w:instrText>
            </w:r>
            <w:r>
              <w:rPr>
                <w:sz w:val="24"/>
                <w:szCs w:val="24"/>
              </w:rPr>
              <w:fldChar w:fldCharType="separate"/>
            </w:r>
            <w:r>
              <w:rPr>
                <w:rFonts w:ascii="宋体"/>
                <w:sz w:val="24"/>
                <w:szCs w:val="24"/>
              </w:rPr>
              <w:t>③</w:t>
            </w:r>
            <w:r>
              <w:rPr>
                <w:rFonts w:ascii="宋体"/>
                <w:sz w:val="24"/>
                <w:szCs w:val="24"/>
              </w:rPr>
              <w:fldChar w:fldCharType="end"/>
            </w:r>
            <w:r>
              <w:rPr>
                <w:sz w:val="24"/>
                <w:szCs w:val="24"/>
              </w:rPr>
              <w:t>制定制定监测计划、配备先进的检测仪器和设备，以便及时发现问题，及时采取预防措施。</w:t>
            </w:r>
          </w:p>
          <w:p>
            <w:pPr>
              <w:snapToGrid w:val="0"/>
              <w:spacing w:line="360" w:lineRule="auto"/>
              <w:ind w:firstLine="424" w:firstLineChars="177"/>
              <w:rPr>
                <w:sz w:val="24"/>
                <w:szCs w:val="24"/>
              </w:rPr>
            </w:pPr>
            <w:r>
              <w:rPr>
                <w:sz w:val="24"/>
                <w:szCs w:val="24"/>
              </w:rPr>
              <w:t>综上所述，工程采用地下水污染防治措施后，污染物能够得到有效治理，技术成熟可靠，措施可行。</w:t>
            </w:r>
          </w:p>
          <w:p>
            <w:pPr>
              <w:numPr>
                <w:ilvl w:val="0"/>
                <w:numId w:val="5"/>
              </w:numPr>
              <w:snapToGrid w:val="0"/>
              <w:spacing w:line="360" w:lineRule="auto"/>
              <w:ind w:firstLine="424" w:firstLineChars="177"/>
              <w:rPr>
                <w:color w:val="FF0000"/>
                <w:sz w:val="24"/>
                <w:szCs w:val="24"/>
              </w:rPr>
            </w:pPr>
            <w:r>
              <w:rPr>
                <w:color w:val="FF0000"/>
                <w:sz w:val="24"/>
                <w:szCs w:val="24"/>
              </w:rPr>
              <w:t>监测计划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eastAsia="zh-CN"/>
              </w:rPr>
              <w:t>根据《环境影响评价技术导则</w:t>
            </w:r>
            <w:r>
              <w:rPr>
                <w:rFonts w:hint="default"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lang w:eastAsia="zh-CN"/>
              </w:rPr>
              <w:t>地下水环境》（</w:t>
            </w:r>
            <w:r>
              <w:rPr>
                <w:rFonts w:hint="default" w:ascii="Times New Roman" w:hAnsi="Times New Roman" w:eastAsia="宋体" w:cs="Times New Roman"/>
                <w:color w:val="FF0000"/>
                <w:lang w:val="en-US" w:eastAsia="zh-CN"/>
              </w:rPr>
              <w:t>HJ610-2016</w:t>
            </w:r>
            <w:r>
              <w:rPr>
                <w:rFonts w:hint="default" w:ascii="Times New Roman" w:hAnsi="Times New Roman" w:eastAsia="宋体" w:cs="Times New Roman"/>
                <w:color w:val="FF0000"/>
                <w:lang w:eastAsia="zh-CN"/>
              </w:rPr>
              <w:t>）</w:t>
            </w:r>
            <w:r>
              <w:rPr>
                <w:rFonts w:hint="eastAsia" w:ascii="Times New Roman" w:hAnsi="Times New Roman" w:eastAsia="宋体" w:cs="Times New Roman"/>
                <w:color w:val="FF0000"/>
                <w:lang w:eastAsia="zh-CN"/>
              </w:rPr>
              <w:t>和</w:t>
            </w:r>
            <w:r>
              <w:rPr>
                <w:rFonts w:hint="default" w:ascii="Times New Roman" w:hAnsi="Times New Roman" w:eastAsia="宋体" w:cs="Times New Roman"/>
                <w:color w:val="FF0000"/>
                <w:lang w:eastAsia="zh-CN"/>
              </w:rPr>
              <w:t>根据《建设项目环境影响报告表编制技术指南（污染影响类）（试行）》</w:t>
            </w:r>
            <w:r>
              <w:rPr>
                <w:rFonts w:hint="eastAsia" w:ascii="Times New Roman" w:eastAsia="宋体" w:cs="Times New Roman"/>
                <w:color w:val="FF0000"/>
                <w:lang w:eastAsia="zh-CN"/>
              </w:rPr>
              <w:t>，本工程将实施后的每年对地下水影响与地下水现状进行对比，分析本工程对地下水影响，并进行及时调整。所以本工程的监测计划如下：</w:t>
            </w:r>
          </w:p>
          <w:p>
            <w:pPr>
              <w:snapToGrid w:val="0"/>
              <w:spacing w:line="360" w:lineRule="auto"/>
              <w:ind w:firstLine="424" w:firstLineChars="177"/>
              <w:rPr>
                <w:color w:val="auto"/>
                <w:sz w:val="24"/>
                <w:szCs w:val="24"/>
              </w:rPr>
            </w:pPr>
            <w:r>
              <w:rPr>
                <w:color w:val="auto"/>
                <w:sz w:val="24"/>
                <w:szCs w:val="24"/>
              </w:rPr>
              <w:fldChar w:fldCharType="begin"/>
            </w:r>
            <w:r>
              <w:rPr>
                <w:color w:val="auto"/>
                <w:sz w:val="24"/>
                <w:szCs w:val="24"/>
              </w:rPr>
              <w:instrText xml:space="preserve"> = 1 \* GB3 </w:instrText>
            </w:r>
            <w:r>
              <w:rPr>
                <w:color w:val="auto"/>
                <w:sz w:val="24"/>
                <w:szCs w:val="24"/>
              </w:rPr>
              <w:fldChar w:fldCharType="separate"/>
            </w:r>
            <w:r>
              <w:rPr>
                <w:rFonts w:ascii="宋体"/>
                <w:color w:val="auto"/>
                <w:sz w:val="24"/>
                <w:szCs w:val="24"/>
              </w:rPr>
              <w:t>①</w:t>
            </w:r>
            <w:r>
              <w:rPr>
                <w:rFonts w:ascii="宋体"/>
                <w:color w:val="auto"/>
                <w:sz w:val="24"/>
                <w:szCs w:val="24"/>
              </w:rPr>
              <w:fldChar w:fldCharType="end"/>
            </w:r>
            <w:r>
              <w:rPr>
                <w:color w:val="auto"/>
                <w:sz w:val="24"/>
                <w:szCs w:val="24"/>
              </w:rPr>
              <w:t>监测因子：</w:t>
            </w:r>
            <w:r>
              <w:rPr>
                <w:rFonts w:hint="eastAsia"/>
                <w:color w:val="auto"/>
                <w:sz w:val="24"/>
                <w:szCs w:val="24"/>
              </w:rPr>
              <w:t>K</w:t>
            </w:r>
            <w:r>
              <w:rPr>
                <w:rFonts w:hint="eastAsia"/>
                <w:color w:val="auto"/>
                <w:sz w:val="24"/>
                <w:szCs w:val="24"/>
                <w:vertAlign w:val="superscript"/>
              </w:rPr>
              <w:t>+</w:t>
            </w:r>
            <w:r>
              <w:rPr>
                <w:rFonts w:hint="eastAsia"/>
                <w:color w:val="auto"/>
                <w:sz w:val="24"/>
                <w:szCs w:val="24"/>
              </w:rPr>
              <w:t>+Na</w:t>
            </w:r>
            <w:r>
              <w:rPr>
                <w:rFonts w:hint="eastAsia"/>
                <w:color w:val="auto"/>
                <w:sz w:val="24"/>
                <w:szCs w:val="24"/>
                <w:vertAlign w:val="superscript"/>
              </w:rPr>
              <w:t>+</w:t>
            </w:r>
            <w:r>
              <w:rPr>
                <w:rFonts w:hint="eastAsia"/>
                <w:color w:val="auto"/>
                <w:sz w:val="24"/>
                <w:szCs w:val="24"/>
              </w:rPr>
              <w:t>、Ca</w:t>
            </w:r>
            <w:r>
              <w:rPr>
                <w:rFonts w:hint="eastAsia"/>
                <w:color w:val="auto"/>
                <w:sz w:val="24"/>
                <w:szCs w:val="24"/>
                <w:vertAlign w:val="superscript"/>
              </w:rPr>
              <w:t>2+</w:t>
            </w:r>
            <w:r>
              <w:rPr>
                <w:rFonts w:hint="eastAsia"/>
                <w:color w:val="auto"/>
                <w:sz w:val="24"/>
                <w:szCs w:val="24"/>
              </w:rPr>
              <w:t>、Mg</w:t>
            </w:r>
            <w:r>
              <w:rPr>
                <w:rFonts w:hint="eastAsia"/>
                <w:color w:val="auto"/>
                <w:sz w:val="24"/>
                <w:szCs w:val="24"/>
                <w:vertAlign w:val="superscript"/>
              </w:rPr>
              <w:t>2+</w:t>
            </w:r>
            <w:r>
              <w:rPr>
                <w:rFonts w:hint="eastAsia"/>
                <w:color w:val="auto"/>
                <w:sz w:val="24"/>
                <w:szCs w:val="24"/>
              </w:rPr>
              <w:t>、CO</w:t>
            </w:r>
            <w:r>
              <w:rPr>
                <w:rFonts w:hint="eastAsia"/>
                <w:color w:val="auto"/>
                <w:sz w:val="24"/>
                <w:szCs w:val="24"/>
                <w:vertAlign w:val="subscript"/>
              </w:rPr>
              <w:t>3</w:t>
            </w:r>
            <w:r>
              <w:rPr>
                <w:rFonts w:hint="eastAsia"/>
                <w:color w:val="auto"/>
                <w:sz w:val="24"/>
                <w:szCs w:val="24"/>
                <w:vertAlign w:val="superscript"/>
              </w:rPr>
              <w:t>2-</w:t>
            </w:r>
            <w:r>
              <w:rPr>
                <w:rFonts w:hint="eastAsia"/>
                <w:color w:val="auto"/>
                <w:sz w:val="24"/>
                <w:szCs w:val="24"/>
              </w:rPr>
              <w:t>、HCO</w:t>
            </w:r>
            <w:r>
              <w:rPr>
                <w:rFonts w:hint="eastAsia"/>
                <w:color w:val="auto"/>
                <w:sz w:val="24"/>
                <w:szCs w:val="24"/>
                <w:vertAlign w:val="superscript"/>
              </w:rPr>
              <w:t>3-</w:t>
            </w:r>
            <w:r>
              <w:rPr>
                <w:rFonts w:hint="eastAsia"/>
                <w:color w:val="auto"/>
                <w:sz w:val="24"/>
                <w:szCs w:val="24"/>
              </w:rPr>
              <w:t>、Cl-、SO</w:t>
            </w:r>
            <w:r>
              <w:rPr>
                <w:rFonts w:hint="eastAsia"/>
                <w:color w:val="auto"/>
                <w:sz w:val="24"/>
                <w:szCs w:val="24"/>
                <w:vertAlign w:val="subscript"/>
              </w:rPr>
              <w:t>4</w:t>
            </w:r>
            <w:r>
              <w:rPr>
                <w:rFonts w:hint="eastAsia"/>
                <w:color w:val="auto"/>
                <w:sz w:val="24"/>
                <w:szCs w:val="24"/>
                <w:vertAlign w:val="superscript"/>
              </w:rPr>
              <w:t>2-</w:t>
            </w:r>
            <w:r>
              <w:rPr>
                <w:rFonts w:hint="eastAsia"/>
                <w:color w:val="auto"/>
                <w:sz w:val="24"/>
                <w:szCs w:val="24"/>
                <w:vertAlign w:val="baseline"/>
                <w:lang w:eastAsia="zh-CN"/>
              </w:rPr>
              <w:t>、</w:t>
            </w:r>
            <w:r>
              <w:rPr>
                <w:color w:val="auto"/>
                <w:sz w:val="24"/>
                <w:szCs w:val="24"/>
              </w:rPr>
              <w:t>pH、总硬度、溶解性总固体、</w:t>
            </w:r>
            <w:r>
              <w:rPr>
                <w:snapToGrid w:val="0"/>
                <w:color w:val="auto"/>
                <w:kern w:val="0"/>
                <w:sz w:val="24"/>
                <w:szCs w:val="24"/>
              </w:rPr>
              <w:t>硫酸盐、</w:t>
            </w:r>
            <w:r>
              <w:rPr>
                <w:color w:val="auto"/>
                <w:sz w:val="24"/>
                <w:szCs w:val="24"/>
              </w:rPr>
              <w:t>氯化物、铁、锰、挥发性酚类、耗氧量、硝酸盐(以N计)、亚硝酸盐(以N计)</w:t>
            </w:r>
            <w:r>
              <w:rPr>
                <w:snapToGrid w:val="0"/>
                <w:color w:val="auto"/>
                <w:kern w:val="0"/>
                <w:sz w:val="24"/>
                <w:szCs w:val="24"/>
              </w:rPr>
              <w:t>、</w:t>
            </w:r>
            <w:r>
              <w:rPr>
                <w:color w:val="auto"/>
                <w:sz w:val="24"/>
                <w:szCs w:val="24"/>
              </w:rPr>
              <w:t>氨氮、氟化物、氰化物、</w:t>
            </w:r>
            <w:r>
              <w:rPr>
                <w:snapToGrid w:val="0"/>
                <w:color w:val="auto"/>
                <w:kern w:val="0"/>
                <w:sz w:val="24"/>
                <w:szCs w:val="24"/>
              </w:rPr>
              <w:t>汞、砷、镉、六价铬、铅、总大肠菌群</w:t>
            </w:r>
            <w:r>
              <w:rPr>
                <w:color w:val="auto"/>
                <w:sz w:val="24"/>
                <w:szCs w:val="24"/>
              </w:rPr>
              <w:t>数、菌落总数；</w:t>
            </w:r>
          </w:p>
          <w:p>
            <w:pPr>
              <w:snapToGrid w:val="0"/>
              <w:spacing w:line="360" w:lineRule="auto"/>
              <w:ind w:firstLine="424" w:firstLineChars="177"/>
              <w:rPr>
                <w:color w:val="auto"/>
                <w:sz w:val="24"/>
                <w:szCs w:val="24"/>
              </w:rPr>
            </w:pPr>
            <w:r>
              <w:rPr>
                <w:color w:val="auto"/>
                <w:sz w:val="24"/>
                <w:szCs w:val="24"/>
              </w:rPr>
              <w:fldChar w:fldCharType="begin"/>
            </w:r>
            <w:r>
              <w:rPr>
                <w:color w:val="auto"/>
                <w:sz w:val="24"/>
                <w:szCs w:val="24"/>
              </w:rPr>
              <w:instrText xml:space="preserve"> = 2 \* GB3 </w:instrText>
            </w:r>
            <w:r>
              <w:rPr>
                <w:color w:val="auto"/>
                <w:sz w:val="24"/>
                <w:szCs w:val="24"/>
              </w:rPr>
              <w:fldChar w:fldCharType="separate"/>
            </w:r>
            <w:r>
              <w:rPr>
                <w:rFonts w:ascii="宋体"/>
                <w:color w:val="auto"/>
                <w:sz w:val="24"/>
                <w:szCs w:val="24"/>
              </w:rPr>
              <w:t>②</w:t>
            </w:r>
            <w:r>
              <w:rPr>
                <w:color w:val="auto"/>
                <w:sz w:val="24"/>
                <w:szCs w:val="24"/>
              </w:rPr>
              <w:fldChar w:fldCharType="end"/>
            </w:r>
            <w:r>
              <w:rPr>
                <w:color w:val="auto"/>
                <w:sz w:val="24"/>
                <w:szCs w:val="24"/>
              </w:rPr>
              <w:t>监测点位：</w:t>
            </w:r>
            <w:r>
              <w:rPr>
                <w:color w:val="auto"/>
                <w:kern w:val="0"/>
                <w:sz w:val="24"/>
                <w:szCs w:val="24"/>
              </w:rPr>
              <w:t>堆填一区上游背景监测井、1座场地内地下水污染监测井、堆填二区设地下水上游背景监测井、1座场地内地下水污染监测井和</w:t>
            </w:r>
            <w:r>
              <w:rPr>
                <w:color w:val="auto"/>
                <w:sz w:val="24"/>
                <w:szCs w:val="24"/>
              </w:rPr>
              <w:t>椒术洼组村井；</w:t>
            </w:r>
          </w:p>
          <w:p>
            <w:pPr>
              <w:snapToGrid w:val="0"/>
              <w:spacing w:line="360" w:lineRule="auto"/>
              <w:ind w:firstLine="424" w:firstLineChars="177"/>
              <w:rPr>
                <w:color w:val="auto"/>
                <w:sz w:val="24"/>
                <w:szCs w:val="24"/>
              </w:rPr>
            </w:pPr>
            <w:r>
              <w:rPr>
                <w:color w:val="auto"/>
                <w:sz w:val="24"/>
                <w:szCs w:val="24"/>
              </w:rPr>
              <w:fldChar w:fldCharType="begin"/>
            </w:r>
            <w:r>
              <w:rPr>
                <w:color w:val="auto"/>
                <w:sz w:val="24"/>
                <w:szCs w:val="24"/>
              </w:rPr>
              <w:instrText xml:space="preserve"> = 3 \* GB3 </w:instrText>
            </w:r>
            <w:r>
              <w:rPr>
                <w:color w:val="auto"/>
                <w:sz w:val="24"/>
                <w:szCs w:val="24"/>
              </w:rPr>
              <w:fldChar w:fldCharType="separate"/>
            </w:r>
            <w:r>
              <w:rPr>
                <w:rFonts w:ascii="宋体"/>
                <w:color w:val="auto"/>
                <w:sz w:val="24"/>
                <w:szCs w:val="24"/>
              </w:rPr>
              <w:t>③</w:t>
            </w:r>
            <w:r>
              <w:rPr>
                <w:color w:val="auto"/>
                <w:sz w:val="24"/>
                <w:szCs w:val="24"/>
              </w:rPr>
              <w:fldChar w:fldCharType="end"/>
            </w:r>
            <w:r>
              <w:rPr>
                <w:color w:val="auto"/>
                <w:sz w:val="24"/>
                <w:szCs w:val="24"/>
              </w:rPr>
              <w:t>监测频次：1次/年；</w:t>
            </w:r>
          </w:p>
          <w:p>
            <w:pPr>
              <w:snapToGrid w:val="0"/>
              <w:spacing w:line="360" w:lineRule="auto"/>
              <w:ind w:firstLine="424" w:firstLineChars="177"/>
              <w:rPr>
                <w:color w:val="FF0000"/>
                <w:sz w:val="24"/>
                <w:szCs w:val="24"/>
              </w:rPr>
            </w:pPr>
            <w:r>
              <w:rPr>
                <w:color w:val="auto"/>
                <w:sz w:val="24"/>
                <w:szCs w:val="24"/>
              </w:rPr>
              <w:fldChar w:fldCharType="begin"/>
            </w:r>
            <w:r>
              <w:rPr>
                <w:color w:val="auto"/>
                <w:sz w:val="24"/>
                <w:szCs w:val="24"/>
              </w:rPr>
              <w:instrText xml:space="preserve"> = 4 \* GB3 </w:instrText>
            </w:r>
            <w:r>
              <w:rPr>
                <w:color w:val="auto"/>
                <w:sz w:val="24"/>
                <w:szCs w:val="24"/>
              </w:rPr>
              <w:fldChar w:fldCharType="separate"/>
            </w:r>
            <w:r>
              <w:rPr>
                <w:rFonts w:ascii="宋体"/>
                <w:color w:val="auto"/>
                <w:sz w:val="24"/>
                <w:szCs w:val="24"/>
              </w:rPr>
              <w:t>④</w:t>
            </w:r>
            <w:r>
              <w:rPr>
                <w:rFonts w:ascii="宋体"/>
                <w:color w:val="auto"/>
                <w:sz w:val="24"/>
                <w:szCs w:val="24"/>
              </w:rPr>
              <w:fldChar w:fldCharType="end"/>
            </w:r>
            <w:r>
              <w:rPr>
                <w:color w:val="auto"/>
                <w:sz w:val="24"/>
                <w:szCs w:val="24"/>
              </w:rPr>
              <w:t>监测方法：《地下水质量标准》（GB/T14848-2017）的监测方法。</w:t>
            </w:r>
          </w:p>
          <w:p>
            <w:pPr>
              <w:spacing w:line="360" w:lineRule="auto"/>
              <w:ind w:firstLine="482" w:firstLineChars="200"/>
              <w:rPr>
                <w:b/>
                <w:sz w:val="24"/>
                <w:szCs w:val="24"/>
              </w:rPr>
            </w:pPr>
            <w:r>
              <w:rPr>
                <w:b/>
                <w:sz w:val="24"/>
                <w:szCs w:val="24"/>
              </w:rPr>
              <w:t>4、运营期噪声防治措施及可行性论证</w:t>
            </w:r>
          </w:p>
          <w:p>
            <w:pPr>
              <w:spacing w:line="360" w:lineRule="auto"/>
              <w:ind w:firstLine="480" w:firstLineChars="200"/>
              <w:rPr>
                <w:kern w:val="0"/>
                <w:sz w:val="24"/>
                <w:szCs w:val="24"/>
              </w:rPr>
            </w:pPr>
            <w:r>
              <w:rPr>
                <w:kern w:val="0"/>
                <w:sz w:val="24"/>
                <w:szCs w:val="24"/>
              </w:rPr>
              <w:t>（1）</w:t>
            </w:r>
            <w:r>
              <w:rPr>
                <w:b/>
                <w:sz w:val="24"/>
                <w:szCs w:val="24"/>
              </w:rPr>
              <w:t>运营期噪声防治措施</w:t>
            </w:r>
          </w:p>
          <w:p>
            <w:pPr>
              <w:spacing w:line="360" w:lineRule="auto"/>
              <w:ind w:firstLine="480" w:firstLineChars="200"/>
              <w:rPr>
                <w:kern w:val="0"/>
                <w:sz w:val="24"/>
                <w:szCs w:val="24"/>
              </w:rPr>
            </w:pPr>
            <w:r>
              <w:rPr>
                <w:kern w:val="0"/>
                <w:sz w:val="24"/>
                <w:szCs w:val="24"/>
              </w:rPr>
              <w:t>经过现场踏勘及借鉴同行业的经验，为进一步降低本</w:t>
            </w:r>
            <w:r>
              <w:rPr>
                <w:rFonts w:hint="eastAsia"/>
                <w:kern w:val="0"/>
                <w:sz w:val="24"/>
                <w:szCs w:val="24"/>
                <w:lang w:eastAsia="zh-CN"/>
              </w:rPr>
              <w:t>工程</w:t>
            </w:r>
            <w:r>
              <w:rPr>
                <w:kern w:val="0"/>
                <w:sz w:val="24"/>
                <w:szCs w:val="24"/>
              </w:rPr>
              <w:t>噪声对环境造成的影响，本评价报告提出以下噪声控制措施：</w:t>
            </w:r>
          </w:p>
          <w:p>
            <w:pPr>
              <w:spacing w:line="360" w:lineRule="auto"/>
              <w:ind w:firstLine="480" w:firstLineChars="200"/>
              <w:rPr>
                <w:kern w:val="0"/>
                <w:sz w:val="24"/>
                <w:szCs w:val="24"/>
              </w:rPr>
            </w:pPr>
            <w:r>
              <w:rPr>
                <w:kern w:val="0"/>
                <w:sz w:val="24"/>
                <w:szCs w:val="24"/>
              </w:rPr>
              <w:fldChar w:fldCharType="begin"/>
            </w:r>
            <w:r>
              <w:rPr>
                <w:kern w:val="0"/>
                <w:sz w:val="24"/>
                <w:szCs w:val="24"/>
              </w:rPr>
              <w:instrText xml:space="preserve"> = 1 \* GB3 </w:instrText>
            </w:r>
            <w:r>
              <w:rPr>
                <w:kern w:val="0"/>
                <w:sz w:val="24"/>
                <w:szCs w:val="24"/>
              </w:rPr>
              <w:fldChar w:fldCharType="separate"/>
            </w:r>
            <w:r>
              <w:rPr>
                <w:rFonts w:ascii="宋体"/>
                <w:kern w:val="0"/>
                <w:sz w:val="24"/>
                <w:szCs w:val="24"/>
              </w:rPr>
              <w:t>①</w:t>
            </w:r>
            <w:r>
              <w:rPr>
                <w:kern w:val="0"/>
                <w:sz w:val="24"/>
                <w:szCs w:val="24"/>
              </w:rPr>
              <w:fldChar w:fldCharType="end"/>
            </w:r>
            <w:r>
              <w:rPr>
                <w:kern w:val="0"/>
                <w:sz w:val="24"/>
                <w:szCs w:val="24"/>
              </w:rPr>
              <w:t>场界四周绿化，加强设备的维护和保养，确保机械设备处于良好运行状态，该措施一般可以有效减少设备不良运转产生的高噪声影响；</w:t>
            </w:r>
          </w:p>
          <w:p>
            <w:pPr>
              <w:spacing w:line="360" w:lineRule="auto"/>
              <w:ind w:firstLine="480" w:firstLineChars="200"/>
              <w:rPr>
                <w:kern w:val="0"/>
                <w:sz w:val="24"/>
                <w:szCs w:val="24"/>
              </w:rPr>
            </w:pPr>
            <w:r>
              <w:rPr>
                <w:kern w:val="0"/>
                <w:sz w:val="24"/>
                <w:szCs w:val="24"/>
              </w:rPr>
              <w:fldChar w:fldCharType="begin"/>
            </w:r>
            <w:r>
              <w:rPr>
                <w:kern w:val="0"/>
                <w:sz w:val="24"/>
                <w:szCs w:val="24"/>
              </w:rPr>
              <w:instrText xml:space="preserve"> = 2 \* GB3 </w:instrText>
            </w:r>
            <w:r>
              <w:rPr>
                <w:kern w:val="0"/>
                <w:sz w:val="24"/>
                <w:szCs w:val="24"/>
              </w:rPr>
              <w:fldChar w:fldCharType="separate"/>
            </w:r>
            <w:r>
              <w:rPr>
                <w:rFonts w:ascii="宋体"/>
                <w:kern w:val="0"/>
                <w:sz w:val="24"/>
                <w:szCs w:val="24"/>
              </w:rPr>
              <w:t>②</w:t>
            </w:r>
            <w:r>
              <w:rPr>
                <w:kern w:val="0"/>
                <w:sz w:val="24"/>
                <w:szCs w:val="24"/>
              </w:rPr>
              <w:fldChar w:fldCharType="end"/>
            </w:r>
            <w:r>
              <w:rPr>
                <w:kern w:val="0"/>
                <w:sz w:val="24"/>
                <w:szCs w:val="24"/>
              </w:rPr>
              <w:t>场内汽车运输应文明驾驶，禁止鸣笛；严格控制运输车辆车速；控制转载量，严禁超载；</w:t>
            </w:r>
          </w:p>
          <w:p>
            <w:pPr>
              <w:spacing w:line="360" w:lineRule="auto"/>
              <w:ind w:firstLine="480" w:firstLineChars="200"/>
              <w:rPr>
                <w:kern w:val="0"/>
                <w:sz w:val="24"/>
                <w:szCs w:val="24"/>
              </w:rPr>
            </w:pPr>
            <w:r>
              <w:rPr>
                <w:kern w:val="0"/>
                <w:sz w:val="24"/>
                <w:szCs w:val="24"/>
              </w:rPr>
              <w:fldChar w:fldCharType="begin"/>
            </w:r>
            <w:r>
              <w:rPr>
                <w:kern w:val="0"/>
                <w:sz w:val="24"/>
                <w:szCs w:val="24"/>
              </w:rPr>
              <w:instrText xml:space="preserve"> = 3 \* GB3 </w:instrText>
            </w:r>
            <w:r>
              <w:rPr>
                <w:kern w:val="0"/>
                <w:sz w:val="24"/>
                <w:szCs w:val="24"/>
              </w:rPr>
              <w:fldChar w:fldCharType="separate"/>
            </w:r>
            <w:r>
              <w:rPr>
                <w:rFonts w:ascii="宋体"/>
                <w:kern w:val="0"/>
                <w:sz w:val="24"/>
                <w:szCs w:val="24"/>
              </w:rPr>
              <w:t>③</w:t>
            </w:r>
            <w:r>
              <w:rPr>
                <w:kern w:val="0"/>
                <w:sz w:val="24"/>
                <w:szCs w:val="24"/>
              </w:rPr>
              <w:fldChar w:fldCharType="end"/>
            </w:r>
            <w:r>
              <w:rPr>
                <w:kern w:val="0"/>
                <w:sz w:val="24"/>
                <w:szCs w:val="24"/>
              </w:rPr>
              <w:t>对接触噪声源的操作人员，采用个体防护措施，佩戴耳塞、耳罩、防声棉和帽盔等。根据以上分析，在落实本环评给出的处理措施后，</w:t>
            </w:r>
            <w:r>
              <w:rPr>
                <w:rFonts w:hint="eastAsia"/>
                <w:kern w:val="0"/>
                <w:sz w:val="24"/>
                <w:szCs w:val="24"/>
                <w:lang w:eastAsia="zh-CN"/>
              </w:rPr>
              <w:t>工程</w:t>
            </w:r>
            <w:r>
              <w:rPr>
                <w:kern w:val="0"/>
                <w:sz w:val="24"/>
                <w:szCs w:val="24"/>
              </w:rPr>
              <w:t>营运期噪声对环境的影响可以控制在可控范围内。</w:t>
            </w:r>
          </w:p>
          <w:p>
            <w:pPr>
              <w:spacing w:line="360" w:lineRule="auto"/>
              <w:ind w:firstLine="482" w:firstLineChars="200"/>
              <w:rPr>
                <w:b/>
                <w:sz w:val="24"/>
                <w:szCs w:val="24"/>
              </w:rPr>
            </w:pPr>
            <w:r>
              <w:rPr>
                <w:b/>
                <w:bCs/>
                <w:sz w:val="24"/>
                <w:szCs w:val="24"/>
              </w:rPr>
              <w:t>（2）</w:t>
            </w:r>
            <w:r>
              <w:rPr>
                <w:b/>
                <w:sz w:val="24"/>
                <w:szCs w:val="24"/>
              </w:rPr>
              <w:t>运营期噪声防治措施可行性论证</w:t>
            </w:r>
          </w:p>
          <w:p>
            <w:pPr>
              <w:spacing w:line="360" w:lineRule="auto"/>
              <w:ind w:firstLine="480"/>
              <w:rPr>
                <w:sz w:val="24"/>
                <w:szCs w:val="24"/>
              </w:rPr>
            </w:pPr>
            <w:r>
              <w:rPr>
                <w:sz w:val="24"/>
                <w:szCs w:val="24"/>
              </w:rPr>
              <w:t>建设单位拟采用的噪声治理措施均为在各类堆填场地普遍采用的措施，具有较高的可操作性，且场界噪声和敏感目标均能满足《工业企业厂界环境噪声排放标准》(GB12348-2008)2类标准限值，经济成本低廉，措施效果显著，技术、经济可行。</w:t>
            </w:r>
          </w:p>
          <w:p>
            <w:pPr>
              <w:numPr>
                <w:ilvl w:val="0"/>
                <w:numId w:val="6"/>
              </w:numPr>
              <w:spacing w:line="360" w:lineRule="auto"/>
              <w:ind w:firstLine="480"/>
              <w:rPr>
                <w:rFonts w:hint="default" w:eastAsia="仿宋_GB2312"/>
                <w:lang w:val="en-US" w:eastAsia="zh-CN"/>
              </w:rPr>
            </w:pPr>
            <w:r>
              <w:rPr>
                <w:rFonts w:hint="eastAsia"/>
                <w:b/>
                <w:color w:val="FF0000"/>
                <w:sz w:val="24"/>
                <w:szCs w:val="24"/>
              </w:rPr>
              <w:t>监测计划</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根据《</w:t>
            </w:r>
            <w:r>
              <w:rPr>
                <w:rFonts w:hint="default" w:ascii="Times New Roman" w:hAnsi="Times New Roman" w:eastAsia="宋体" w:cs="Times New Roman"/>
                <w:color w:val="FF0000"/>
                <w:sz w:val="24"/>
                <w:szCs w:val="24"/>
              </w:rPr>
              <w:t>排污单位自行监测技术指南总则</w:t>
            </w:r>
            <w:r>
              <w:rPr>
                <w:rFonts w:hint="default" w:ascii="Times New Roman" w:hAnsi="Times New Roman" w:eastAsia="宋体" w:cs="Times New Roman"/>
                <w:color w:val="FF0000"/>
                <w:lang w:val="en-US" w:eastAsia="zh-CN"/>
              </w:rPr>
              <w:t>》(HJ819-2017),本工程噪声监测如下：</w:t>
            </w:r>
          </w:p>
          <w:p>
            <w:pPr>
              <w:spacing w:line="360" w:lineRule="auto"/>
              <w:ind w:firstLine="480"/>
              <w:rPr>
                <w:color w:val="auto"/>
                <w:sz w:val="24"/>
                <w:szCs w:val="24"/>
              </w:rPr>
            </w:pPr>
            <w:r>
              <w:rPr>
                <w:rFonts w:hint="eastAsia"/>
                <w:b w:val="0"/>
                <w:bCs/>
                <w:color w:val="auto"/>
                <w:sz w:val="24"/>
                <w:szCs w:val="24"/>
              </w:rPr>
              <w:t>监测因子：</w:t>
            </w:r>
            <w:r>
              <w:rPr>
                <w:rFonts w:hint="eastAsia"/>
                <w:color w:val="auto"/>
                <w:sz w:val="24"/>
                <w:szCs w:val="24"/>
              </w:rPr>
              <w:t>等效连续A声级；</w:t>
            </w:r>
          </w:p>
          <w:p>
            <w:pPr>
              <w:spacing w:line="360" w:lineRule="auto"/>
              <w:ind w:firstLine="480"/>
              <w:rPr>
                <w:color w:val="auto"/>
                <w:sz w:val="24"/>
                <w:szCs w:val="24"/>
              </w:rPr>
            </w:pPr>
            <w:r>
              <w:rPr>
                <w:rFonts w:hint="eastAsia"/>
                <w:color w:val="auto"/>
                <w:sz w:val="24"/>
                <w:szCs w:val="24"/>
              </w:rPr>
              <w:t>监测点位：东南西北场界和椒树洼组</w:t>
            </w:r>
          </w:p>
          <w:p>
            <w:pPr>
              <w:spacing w:line="360" w:lineRule="auto"/>
              <w:ind w:firstLine="480"/>
              <w:rPr>
                <w:rFonts w:hint="eastAsia" w:eastAsia="宋体"/>
                <w:color w:val="auto"/>
                <w:sz w:val="24"/>
                <w:szCs w:val="24"/>
                <w:lang w:eastAsia="zh-CN"/>
              </w:rPr>
            </w:pPr>
            <w:r>
              <w:rPr>
                <w:rFonts w:hint="eastAsia"/>
                <w:color w:val="auto"/>
                <w:sz w:val="24"/>
                <w:szCs w:val="24"/>
              </w:rPr>
              <w:t>监测频次：1次/</w:t>
            </w:r>
            <w:r>
              <w:rPr>
                <w:rFonts w:hint="eastAsia"/>
                <w:color w:val="auto"/>
                <w:sz w:val="24"/>
                <w:szCs w:val="24"/>
                <w:lang w:eastAsia="zh-CN"/>
              </w:rPr>
              <w:t>季度</w:t>
            </w:r>
          </w:p>
          <w:p>
            <w:pPr>
              <w:spacing w:line="360" w:lineRule="auto"/>
              <w:ind w:firstLine="480"/>
              <w:rPr>
                <w:color w:val="auto"/>
                <w:sz w:val="24"/>
                <w:szCs w:val="24"/>
              </w:rPr>
            </w:pPr>
            <w:r>
              <w:rPr>
                <w:rFonts w:hint="eastAsia"/>
                <w:color w:val="auto"/>
                <w:sz w:val="24"/>
                <w:szCs w:val="24"/>
              </w:rPr>
              <w:t>监测方法：场界按</w:t>
            </w:r>
            <w:r>
              <w:rPr>
                <w:color w:val="auto"/>
                <w:sz w:val="24"/>
                <w:szCs w:val="24"/>
              </w:rPr>
              <w:t>《工业企业厂界环境噪声排放标准》(GB12348-2008)</w:t>
            </w:r>
            <w:r>
              <w:rPr>
                <w:rFonts w:hint="eastAsia"/>
                <w:color w:val="auto"/>
                <w:sz w:val="24"/>
                <w:szCs w:val="24"/>
              </w:rPr>
              <w:t>监测，椒树洼组按《声环境质量标准》（GB3096-2008）监测。</w:t>
            </w:r>
          </w:p>
          <w:p>
            <w:pPr>
              <w:spacing w:line="360" w:lineRule="auto"/>
              <w:ind w:firstLine="482" w:firstLineChars="200"/>
              <w:rPr>
                <w:b/>
                <w:sz w:val="24"/>
                <w:szCs w:val="24"/>
              </w:rPr>
            </w:pPr>
            <w:r>
              <w:rPr>
                <w:b/>
                <w:sz w:val="24"/>
                <w:szCs w:val="24"/>
              </w:rPr>
              <w:t>4、运营期固废控制措施及可行性论证</w:t>
            </w:r>
          </w:p>
          <w:p>
            <w:pPr>
              <w:spacing w:line="360" w:lineRule="auto"/>
              <w:ind w:firstLine="480" w:firstLineChars="200"/>
              <w:rPr>
                <w:sz w:val="24"/>
                <w:szCs w:val="24"/>
              </w:rPr>
            </w:pPr>
            <w:r>
              <w:rPr>
                <w:rFonts w:hint="eastAsia"/>
                <w:sz w:val="24"/>
                <w:szCs w:val="24"/>
                <w:lang w:eastAsia="zh-CN"/>
              </w:rPr>
              <w:t>工程</w:t>
            </w:r>
            <w:r>
              <w:rPr>
                <w:sz w:val="24"/>
                <w:szCs w:val="24"/>
              </w:rPr>
              <w:t>生产运行阶段产生的固体废物包括沉淀池污泥、生活垃圾和废机油。</w:t>
            </w:r>
          </w:p>
          <w:p>
            <w:pPr>
              <w:spacing w:line="360" w:lineRule="auto"/>
              <w:ind w:firstLine="420"/>
              <w:rPr>
                <w:sz w:val="24"/>
                <w:szCs w:val="24"/>
              </w:rPr>
            </w:pPr>
            <w:r>
              <w:rPr>
                <w:sz w:val="24"/>
                <w:szCs w:val="24"/>
              </w:rPr>
              <w:t>（1）生活垃圾统一收集后定期运至环卫部门指定地点处置；</w:t>
            </w:r>
          </w:p>
          <w:p>
            <w:pPr>
              <w:spacing w:line="360" w:lineRule="auto"/>
              <w:ind w:firstLine="420"/>
              <w:rPr>
                <w:sz w:val="24"/>
                <w:szCs w:val="24"/>
              </w:rPr>
            </w:pPr>
            <w:r>
              <w:rPr>
                <w:sz w:val="24"/>
                <w:szCs w:val="24"/>
              </w:rPr>
              <w:t>（2）沉淀池产生污泥经晒干处理含水率小于40%后，回填到本</w:t>
            </w:r>
            <w:r>
              <w:rPr>
                <w:rFonts w:hint="eastAsia"/>
                <w:sz w:val="24"/>
                <w:szCs w:val="24"/>
                <w:lang w:eastAsia="zh-CN"/>
              </w:rPr>
              <w:t>工程</w:t>
            </w:r>
            <w:r>
              <w:rPr>
                <w:sz w:val="24"/>
                <w:szCs w:val="24"/>
              </w:rPr>
              <w:t>堆填区进行堆填；</w:t>
            </w:r>
          </w:p>
          <w:p>
            <w:pPr>
              <w:spacing w:line="360" w:lineRule="auto"/>
              <w:ind w:firstLine="420"/>
              <w:rPr>
                <w:sz w:val="24"/>
                <w:szCs w:val="24"/>
              </w:rPr>
            </w:pPr>
            <w:r>
              <w:rPr>
                <w:sz w:val="24"/>
                <w:szCs w:val="24"/>
              </w:rPr>
              <w:t>（3）废机油为危险废物，根据《危险废物贮存污染控制标准》（GB18597-2001）总储存量不超过300kg（L）的危险废物要放入符合标准的容器内（本</w:t>
            </w:r>
            <w:r>
              <w:rPr>
                <w:rFonts w:hint="eastAsia"/>
                <w:sz w:val="24"/>
                <w:szCs w:val="24"/>
                <w:lang w:eastAsia="zh-CN"/>
              </w:rPr>
              <w:t>工程</w:t>
            </w:r>
            <w:r>
              <w:rPr>
                <w:sz w:val="24"/>
                <w:szCs w:val="24"/>
              </w:rPr>
              <w:t>危险废物最大储存量为100kg＜300kg），加上标签，容器放入坚固的柜或箱中，柜或箱应设多个直径不小于30mm的排气孔。废机油桶外应设储漏盘，储漏盘的材料要与废机油相容，且根据生产情况定期委托危废处理单位回收处理，不得长期储存。</w:t>
            </w:r>
          </w:p>
          <w:p>
            <w:pPr>
              <w:spacing w:line="360" w:lineRule="auto"/>
              <w:ind w:firstLine="480" w:firstLineChars="200"/>
              <w:rPr>
                <w:sz w:val="24"/>
                <w:szCs w:val="24"/>
              </w:rPr>
            </w:pPr>
            <w:r>
              <w:rPr>
                <w:sz w:val="24"/>
                <w:szCs w:val="24"/>
              </w:rPr>
              <w:t>沉淀池污泥、生活垃圾和废机油均得到妥善处置，对周围环境影响较小，所以本</w:t>
            </w:r>
            <w:r>
              <w:rPr>
                <w:rFonts w:hint="eastAsia"/>
                <w:sz w:val="24"/>
                <w:szCs w:val="24"/>
                <w:lang w:eastAsia="zh-CN"/>
              </w:rPr>
              <w:t>工程</w:t>
            </w:r>
            <w:r>
              <w:rPr>
                <w:sz w:val="24"/>
                <w:szCs w:val="24"/>
              </w:rPr>
              <w:t>对固体废物的处置方式可行。</w:t>
            </w:r>
          </w:p>
          <w:p>
            <w:pPr>
              <w:spacing w:line="360" w:lineRule="auto"/>
              <w:ind w:firstLine="482" w:firstLineChars="200"/>
              <w:rPr>
                <w:b/>
                <w:sz w:val="24"/>
                <w:szCs w:val="24"/>
              </w:rPr>
            </w:pPr>
            <w:r>
              <w:rPr>
                <w:b/>
                <w:sz w:val="24"/>
                <w:szCs w:val="24"/>
              </w:rPr>
              <w:t>5、运营期生态保护和恢复措施及可行性论证</w:t>
            </w:r>
          </w:p>
          <w:p>
            <w:pPr>
              <w:spacing w:line="360" w:lineRule="auto"/>
              <w:ind w:firstLine="480" w:firstLineChars="200"/>
              <w:jc w:val="left"/>
              <w:rPr>
                <w:sz w:val="24"/>
                <w:szCs w:val="24"/>
              </w:rPr>
            </w:pPr>
            <w:r>
              <w:rPr>
                <w:sz w:val="24"/>
                <w:szCs w:val="24"/>
              </w:rPr>
              <w:t>（1）防止水土流失保护措施</w:t>
            </w:r>
          </w:p>
          <w:p>
            <w:pPr>
              <w:spacing w:line="360" w:lineRule="auto"/>
              <w:ind w:firstLine="480" w:firstLineChars="200"/>
              <w:jc w:val="left"/>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sz w:val="24"/>
                <w:szCs w:val="24"/>
              </w:rPr>
              <w:fldChar w:fldCharType="end"/>
            </w:r>
            <w:r>
              <w:rPr>
                <w:sz w:val="24"/>
                <w:szCs w:val="24"/>
              </w:rPr>
              <w:t>堆填场进行水土流失保护措施，周围设截排水沟，防止水土流失。</w:t>
            </w:r>
            <w:r>
              <w:rPr>
                <w:kern w:val="0"/>
                <w:sz w:val="24"/>
                <w:szCs w:val="24"/>
              </w:rPr>
              <w:t>堆填一区和堆填二区周边设置截洪沟。截洪沟沿堆填一区和堆填二区周边布置，截洪沟采用梯形断面，底宽为0.6m，上口宽0.8m，深度为0.6m，两侧截洪沟的纵向坡度不小于1%。</w:t>
            </w:r>
          </w:p>
          <w:p>
            <w:pPr>
              <w:spacing w:line="360" w:lineRule="auto"/>
              <w:ind w:firstLine="480" w:firstLineChars="200"/>
              <w:jc w:val="left"/>
              <w:rPr>
                <w:kern w:val="0"/>
                <w:sz w:val="24"/>
                <w:szCs w:val="24"/>
              </w:rPr>
            </w:pPr>
            <w:r>
              <w:rPr>
                <w:kern w:val="0"/>
                <w:sz w:val="24"/>
                <w:szCs w:val="24"/>
              </w:rPr>
              <w:fldChar w:fldCharType="begin"/>
            </w:r>
            <w:r>
              <w:rPr>
                <w:kern w:val="0"/>
                <w:sz w:val="24"/>
                <w:szCs w:val="24"/>
              </w:rPr>
              <w:instrText xml:space="preserve"> = 2 \* GB3 </w:instrText>
            </w:r>
            <w:r>
              <w:rPr>
                <w:kern w:val="0"/>
                <w:sz w:val="24"/>
                <w:szCs w:val="24"/>
              </w:rPr>
              <w:fldChar w:fldCharType="separate"/>
            </w:r>
            <w:r>
              <w:rPr>
                <w:rFonts w:ascii="宋体"/>
                <w:kern w:val="0"/>
                <w:sz w:val="24"/>
                <w:szCs w:val="24"/>
              </w:rPr>
              <w:t>②</w:t>
            </w:r>
            <w:r>
              <w:rPr>
                <w:kern w:val="0"/>
                <w:sz w:val="24"/>
                <w:szCs w:val="24"/>
              </w:rPr>
              <w:fldChar w:fldCharType="end"/>
            </w:r>
            <w:r>
              <w:rPr>
                <w:kern w:val="0"/>
                <w:sz w:val="24"/>
                <w:szCs w:val="24"/>
              </w:rPr>
              <w:t>为了减少进入垃圾堆体的雨水量和垃圾堆体不被冲刷，在最终的垃圾堆体表面5m宽的平台上设置表面排水沟，排入环场的永久截洪沟内。表面排水沟采用砖砌结构，断面为0.6m×0.5m。</w:t>
            </w:r>
          </w:p>
          <w:p>
            <w:pPr>
              <w:spacing w:line="360" w:lineRule="auto"/>
              <w:ind w:firstLine="480" w:firstLineChars="200"/>
              <w:jc w:val="left"/>
              <w:rPr>
                <w:kern w:val="0"/>
                <w:sz w:val="24"/>
                <w:szCs w:val="24"/>
              </w:rPr>
            </w:pPr>
            <w:r>
              <w:rPr>
                <w:kern w:val="0"/>
                <w:sz w:val="24"/>
                <w:szCs w:val="24"/>
              </w:rPr>
              <w:t>（2）生态修复</w:t>
            </w:r>
          </w:p>
          <w:p>
            <w:pPr>
              <w:topLinePunct/>
              <w:spacing w:line="360" w:lineRule="auto"/>
              <w:ind w:firstLine="480" w:firstLineChars="200"/>
              <w:textAlignment w:val="center"/>
              <w:rPr>
                <w:sz w:val="24"/>
                <w:szCs w:val="24"/>
              </w:rPr>
            </w:pPr>
            <w:r>
              <w:rPr>
                <w:sz w:val="24"/>
                <w:szCs w:val="24"/>
              </w:rPr>
              <w:t>本</w:t>
            </w:r>
            <w:r>
              <w:rPr>
                <w:rFonts w:hint="eastAsia"/>
                <w:sz w:val="24"/>
                <w:szCs w:val="24"/>
                <w:lang w:eastAsia="zh-CN"/>
              </w:rPr>
              <w:t>工程</w:t>
            </w:r>
            <w:r>
              <w:rPr>
                <w:sz w:val="24"/>
                <w:szCs w:val="24"/>
              </w:rPr>
              <w:t>生态修复的原则是实施渐进修复，即当部分堆填堆体达到设计最终标高时，马上进行封场和生态修复，而不是等全部堆体达到设计最终标高时，才进行封场。</w:t>
            </w:r>
          </w:p>
          <w:p>
            <w:pPr>
              <w:topLinePunct/>
              <w:spacing w:line="360" w:lineRule="auto"/>
              <w:ind w:firstLine="480" w:firstLineChars="200"/>
              <w:textAlignment w:val="center"/>
              <w:rPr>
                <w:kern w:val="0"/>
                <w:sz w:val="24"/>
                <w:szCs w:val="24"/>
              </w:rPr>
            </w:pPr>
            <w:r>
              <w:rPr>
                <w:kern w:val="0"/>
                <w:sz w:val="24"/>
                <w:szCs w:val="24"/>
              </w:rPr>
              <w:t>在建筑垃圾堆填作业过程中，对需要继续进行堆填的作业面，每日堆填作业结束后，使用PE膜或编制布进行覆盖。对达到堆填层标高，暂时不进行堆填作业的区域进行中间覆盖，中间覆盖采用30cm黏土，并在黏土上方铺设表土作为覆盖层，在覆盖层上方种草进行绿化。</w:t>
            </w:r>
          </w:p>
          <w:p>
            <w:pPr>
              <w:topLinePunct/>
              <w:spacing w:line="360" w:lineRule="auto"/>
              <w:ind w:firstLine="480" w:firstLineChars="200"/>
              <w:textAlignment w:val="center"/>
              <w:rPr>
                <w:sz w:val="24"/>
                <w:szCs w:val="24"/>
              </w:rPr>
            </w:pPr>
            <w:r>
              <w:rPr>
                <w:sz w:val="24"/>
                <w:szCs w:val="24"/>
              </w:rPr>
              <w:t>综上，</w:t>
            </w:r>
            <w:r>
              <w:rPr>
                <w:rFonts w:hint="eastAsia"/>
                <w:sz w:val="24"/>
                <w:szCs w:val="24"/>
                <w:lang w:eastAsia="zh-CN"/>
              </w:rPr>
              <w:t>本</w:t>
            </w:r>
            <w:r>
              <w:rPr>
                <w:sz w:val="24"/>
                <w:szCs w:val="24"/>
              </w:rPr>
              <w:t>工程采用生态环境保护和恢复措施后，相对生态环境现状，</w:t>
            </w:r>
            <w:r>
              <w:rPr>
                <w:rFonts w:hint="eastAsia"/>
                <w:sz w:val="24"/>
                <w:szCs w:val="24"/>
                <w:lang w:eastAsia="zh-CN"/>
              </w:rPr>
              <w:t>工程</w:t>
            </w:r>
            <w:r>
              <w:rPr>
                <w:sz w:val="24"/>
                <w:szCs w:val="24"/>
              </w:rPr>
              <w:t>土地利用类型和植被类型略有变化，但是生态环境能够得到有效治理，技术成熟可靠，措施可行。</w:t>
            </w:r>
          </w:p>
          <w:p>
            <w:pPr>
              <w:topLinePunct/>
              <w:spacing w:line="360" w:lineRule="auto"/>
              <w:ind w:firstLine="482" w:firstLineChars="200"/>
              <w:textAlignment w:val="center"/>
              <w:rPr>
                <w:kern w:val="0"/>
                <w:sz w:val="24"/>
                <w:szCs w:val="24"/>
              </w:rPr>
            </w:pPr>
            <w:r>
              <w:rPr>
                <w:b/>
                <w:kern w:val="0"/>
                <w:sz w:val="24"/>
                <w:szCs w:val="24"/>
              </w:rPr>
              <w:t>6、封场</w:t>
            </w:r>
            <w:r>
              <w:rPr>
                <w:b/>
                <w:sz w:val="24"/>
                <w:szCs w:val="24"/>
              </w:rPr>
              <w:t>生态保护措施及可行性论证</w:t>
            </w:r>
          </w:p>
          <w:p>
            <w:pPr>
              <w:spacing w:line="360" w:lineRule="auto"/>
              <w:ind w:firstLine="480" w:firstLineChars="200"/>
              <w:jc w:val="left"/>
              <w:rPr>
                <w:sz w:val="24"/>
                <w:szCs w:val="24"/>
              </w:rPr>
            </w:pPr>
            <w:r>
              <w:rPr>
                <w:sz w:val="24"/>
                <w:szCs w:val="24"/>
              </w:rPr>
              <w:t>堆填作业达到设计高度后，应在其顶面进行终场覆盖并制定监测计划。</w:t>
            </w:r>
          </w:p>
          <w:p>
            <w:pPr>
              <w:spacing w:line="360" w:lineRule="auto"/>
              <w:ind w:firstLine="482" w:firstLineChars="200"/>
              <w:jc w:val="left"/>
              <w:rPr>
                <w:b/>
                <w:sz w:val="24"/>
                <w:szCs w:val="24"/>
              </w:rPr>
            </w:pPr>
            <w:r>
              <w:rPr>
                <w:b/>
                <w:sz w:val="24"/>
                <w:szCs w:val="24"/>
              </w:rPr>
              <w:t>（1）终场覆盖</w:t>
            </w:r>
          </w:p>
          <w:p>
            <w:pPr>
              <w:spacing w:line="360" w:lineRule="auto"/>
              <w:ind w:firstLine="480" w:firstLineChars="200"/>
              <w:jc w:val="left"/>
              <w:rPr>
                <w:sz w:val="24"/>
                <w:szCs w:val="24"/>
              </w:rPr>
            </w:pPr>
            <w:r>
              <w:rPr>
                <w:sz w:val="24"/>
                <w:szCs w:val="24"/>
              </w:rPr>
              <w:fldChar w:fldCharType="begin"/>
            </w:r>
            <w:r>
              <w:rPr>
                <w:sz w:val="24"/>
                <w:szCs w:val="24"/>
              </w:rPr>
              <w:instrText xml:space="preserve"> = 1 \* GB3 </w:instrText>
            </w:r>
            <w:r>
              <w:rPr>
                <w:sz w:val="24"/>
                <w:szCs w:val="24"/>
              </w:rPr>
              <w:fldChar w:fldCharType="separate"/>
            </w:r>
            <w:r>
              <w:rPr>
                <w:rFonts w:ascii="宋体"/>
                <w:sz w:val="24"/>
                <w:szCs w:val="24"/>
              </w:rPr>
              <w:t>①</w:t>
            </w:r>
            <w:r>
              <w:rPr>
                <w:sz w:val="24"/>
                <w:szCs w:val="24"/>
              </w:rPr>
              <w:fldChar w:fldCharType="end"/>
            </w:r>
            <w:r>
              <w:rPr>
                <w:sz w:val="24"/>
                <w:szCs w:val="24"/>
              </w:rPr>
              <w:t>在堆填场运行初期就对选定的植物进行试验性种植，以了解每种植物的生长情况，并最终确定环境复植所要选用的最合适的植物。生态修复应采用当地植物，防止生物入侵。</w:t>
            </w:r>
          </w:p>
          <w:p>
            <w:pPr>
              <w:spacing w:line="360" w:lineRule="auto"/>
              <w:ind w:firstLine="480" w:firstLineChars="200"/>
              <w:jc w:val="left"/>
              <w:rPr>
                <w:sz w:val="24"/>
                <w:szCs w:val="24"/>
              </w:rPr>
            </w:pPr>
            <w:r>
              <w:rPr>
                <w:sz w:val="24"/>
                <w:szCs w:val="24"/>
              </w:rPr>
              <w:fldChar w:fldCharType="begin"/>
            </w:r>
            <w:r>
              <w:rPr>
                <w:sz w:val="24"/>
                <w:szCs w:val="24"/>
              </w:rPr>
              <w:instrText xml:space="preserve"> = 2 \* GB3 </w:instrText>
            </w:r>
            <w:r>
              <w:rPr>
                <w:sz w:val="24"/>
                <w:szCs w:val="24"/>
              </w:rPr>
              <w:fldChar w:fldCharType="separate"/>
            </w:r>
            <w:r>
              <w:rPr>
                <w:rFonts w:ascii="宋体"/>
                <w:sz w:val="24"/>
                <w:szCs w:val="24"/>
              </w:rPr>
              <w:t>②</w:t>
            </w:r>
            <w:r>
              <w:rPr>
                <w:sz w:val="24"/>
                <w:szCs w:val="24"/>
              </w:rPr>
              <w:fldChar w:fldCharType="end"/>
            </w:r>
            <w:r>
              <w:rPr>
                <w:sz w:val="24"/>
                <w:szCs w:val="24"/>
              </w:rPr>
              <w:t>堆体整形顶面应具有不小于5%的坡度，由中心坡向四周。对实行终场覆盖的区域，及时进行绿化，前期主要种植适合当地生长的草坪，中后期根据情况植一些浅根经济性植物，如花草、灌木等。封场两年时间内一般不宜种植木本植物。乔灌木对堆填气的抗性因种类的不同而有差异，某些乔灌木根系浅，侧根发达，生长迅速，可在2～3年填龄的堆填场上种植。草本植物因根系浅，多为须根，匍匐茎根，分布在10～20cm浅土层内，某些野生种可在一年填龄的垃圾上生长。</w:t>
            </w:r>
          </w:p>
          <w:p>
            <w:pPr>
              <w:spacing w:line="360" w:lineRule="auto"/>
              <w:ind w:firstLine="482" w:firstLineChars="200"/>
              <w:jc w:val="left"/>
              <w:rPr>
                <w:b/>
                <w:bCs/>
                <w:color w:val="FF0000"/>
                <w:sz w:val="24"/>
                <w:szCs w:val="24"/>
              </w:rPr>
            </w:pPr>
            <w:r>
              <w:rPr>
                <w:b/>
                <w:bCs/>
                <w:color w:val="FF0000"/>
                <w:sz w:val="24"/>
                <w:szCs w:val="24"/>
              </w:rPr>
              <w:t>（2）监测计划</w:t>
            </w:r>
          </w:p>
          <w:p>
            <w:pPr>
              <w:spacing w:line="360" w:lineRule="auto"/>
              <w:ind w:firstLine="482" w:firstLineChars="200"/>
              <w:jc w:val="left"/>
              <w:rPr>
                <w:b/>
                <w:bCs/>
                <w:color w:val="FF0000"/>
                <w:sz w:val="24"/>
                <w:szCs w:val="24"/>
              </w:rPr>
            </w:pPr>
            <w:r>
              <w:rPr>
                <w:b/>
                <w:bCs/>
                <w:color w:val="FF0000"/>
                <w:sz w:val="24"/>
                <w:szCs w:val="24"/>
              </w:rPr>
              <w:fldChar w:fldCharType="begin"/>
            </w:r>
            <w:r>
              <w:rPr>
                <w:b/>
                <w:bCs/>
                <w:color w:val="FF0000"/>
                <w:sz w:val="24"/>
                <w:szCs w:val="24"/>
              </w:rPr>
              <w:instrText xml:space="preserve"> = 1 \* GB3 </w:instrText>
            </w:r>
            <w:r>
              <w:rPr>
                <w:b/>
                <w:bCs/>
                <w:color w:val="FF0000"/>
                <w:sz w:val="24"/>
                <w:szCs w:val="24"/>
              </w:rPr>
              <w:fldChar w:fldCharType="separate"/>
            </w:r>
            <w:r>
              <w:rPr>
                <w:rFonts w:ascii="宋体"/>
                <w:b/>
                <w:bCs/>
                <w:color w:val="FF0000"/>
                <w:sz w:val="24"/>
                <w:szCs w:val="24"/>
              </w:rPr>
              <w:t>①</w:t>
            </w:r>
            <w:r>
              <w:rPr>
                <w:b/>
                <w:bCs/>
                <w:color w:val="FF0000"/>
                <w:sz w:val="24"/>
                <w:szCs w:val="24"/>
              </w:rPr>
              <w:fldChar w:fldCharType="end"/>
            </w:r>
            <w:r>
              <w:rPr>
                <w:b/>
                <w:bCs/>
                <w:color w:val="FF0000"/>
                <w:sz w:val="24"/>
                <w:szCs w:val="24"/>
              </w:rPr>
              <w:t>地下水监测计划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eastAsia="zh-CN"/>
              </w:rPr>
              <w:t>根据《环境影响评价技术导则</w:t>
            </w:r>
            <w:r>
              <w:rPr>
                <w:rFonts w:hint="default"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lang w:eastAsia="zh-CN"/>
              </w:rPr>
              <w:t>地下水环境》（</w:t>
            </w:r>
            <w:r>
              <w:rPr>
                <w:rFonts w:hint="default" w:ascii="Times New Roman" w:hAnsi="Times New Roman" w:eastAsia="宋体" w:cs="Times New Roman"/>
                <w:color w:val="FF0000"/>
                <w:lang w:val="en-US" w:eastAsia="zh-CN"/>
              </w:rPr>
              <w:t>HJ610-2016</w:t>
            </w:r>
            <w:r>
              <w:rPr>
                <w:rFonts w:hint="default" w:ascii="Times New Roman" w:hAnsi="Times New Roman" w:eastAsia="宋体" w:cs="Times New Roman"/>
                <w:color w:val="FF0000"/>
                <w:lang w:eastAsia="zh-CN"/>
              </w:rPr>
              <w:t>）</w:t>
            </w:r>
            <w:r>
              <w:rPr>
                <w:rFonts w:hint="eastAsia" w:ascii="Times New Roman" w:hAnsi="Times New Roman" w:eastAsia="宋体" w:cs="Times New Roman"/>
                <w:color w:val="FF0000"/>
                <w:lang w:eastAsia="zh-CN"/>
              </w:rPr>
              <w:t>和</w:t>
            </w:r>
            <w:r>
              <w:rPr>
                <w:rFonts w:hint="default" w:ascii="Times New Roman" w:hAnsi="Times New Roman" w:eastAsia="宋体" w:cs="Times New Roman"/>
                <w:color w:val="FF0000"/>
                <w:lang w:eastAsia="zh-CN"/>
              </w:rPr>
              <w:t>根据《建设项目环境影响报告表编制技术指南（污染影响类）（试行）》</w:t>
            </w:r>
            <w:r>
              <w:rPr>
                <w:rFonts w:hint="eastAsia" w:ascii="Times New Roman" w:eastAsia="宋体" w:cs="Times New Roman"/>
                <w:color w:val="FF0000"/>
                <w:lang w:eastAsia="zh-CN"/>
              </w:rPr>
              <w:t>，本工程将封场后的每年对地下水影响与地下水现状进行对比，分析本工程封场后对地下水影响，直到本工程对地下水影响消失为止。具体监测计划如下：</w:t>
            </w:r>
          </w:p>
          <w:p>
            <w:pPr>
              <w:snapToGrid w:val="0"/>
              <w:spacing w:line="360" w:lineRule="auto"/>
              <w:ind w:firstLine="424" w:firstLineChars="177"/>
              <w:rPr>
                <w:b w:val="0"/>
                <w:bCs w:val="0"/>
                <w:color w:val="auto"/>
                <w:sz w:val="24"/>
                <w:szCs w:val="24"/>
              </w:rPr>
            </w:pPr>
            <w:r>
              <w:rPr>
                <w:b w:val="0"/>
                <w:bCs w:val="0"/>
                <w:color w:val="auto"/>
                <w:sz w:val="24"/>
                <w:szCs w:val="24"/>
              </w:rPr>
              <w:t>监测因子：pH、总硬度、溶解性总固体、</w:t>
            </w:r>
            <w:r>
              <w:rPr>
                <w:b w:val="0"/>
                <w:bCs w:val="0"/>
                <w:snapToGrid w:val="0"/>
                <w:color w:val="auto"/>
                <w:kern w:val="0"/>
                <w:sz w:val="24"/>
                <w:szCs w:val="24"/>
              </w:rPr>
              <w:t>硫酸盐、</w:t>
            </w:r>
            <w:r>
              <w:rPr>
                <w:b w:val="0"/>
                <w:bCs w:val="0"/>
                <w:color w:val="auto"/>
                <w:sz w:val="24"/>
                <w:szCs w:val="24"/>
              </w:rPr>
              <w:t>氯化物、铁、锰、挥发性酚类、耗氧量、硝酸盐(以N计)、亚硝酸盐(以N计)</w:t>
            </w:r>
            <w:r>
              <w:rPr>
                <w:b w:val="0"/>
                <w:bCs w:val="0"/>
                <w:snapToGrid w:val="0"/>
                <w:color w:val="auto"/>
                <w:kern w:val="0"/>
                <w:sz w:val="24"/>
                <w:szCs w:val="24"/>
              </w:rPr>
              <w:t>、</w:t>
            </w:r>
            <w:r>
              <w:rPr>
                <w:b w:val="0"/>
                <w:bCs w:val="0"/>
                <w:color w:val="auto"/>
                <w:sz w:val="24"/>
                <w:szCs w:val="24"/>
              </w:rPr>
              <w:t>氨氮、氟化物、氰化物、</w:t>
            </w:r>
            <w:r>
              <w:rPr>
                <w:b w:val="0"/>
                <w:bCs w:val="0"/>
                <w:snapToGrid w:val="0"/>
                <w:color w:val="auto"/>
                <w:kern w:val="0"/>
                <w:sz w:val="24"/>
                <w:szCs w:val="24"/>
              </w:rPr>
              <w:t>汞、砷、镉、六价铬、铅、总大肠菌群</w:t>
            </w:r>
            <w:r>
              <w:rPr>
                <w:b w:val="0"/>
                <w:bCs w:val="0"/>
                <w:color w:val="auto"/>
                <w:sz w:val="24"/>
                <w:szCs w:val="24"/>
              </w:rPr>
              <w:t>数、菌落总数；</w:t>
            </w:r>
          </w:p>
          <w:p>
            <w:pPr>
              <w:snapToGrid w:val="0"/>
              <w:spacing w:line="360" w:lineRule="auto"/>
              <w:ind w:firstLine="424" w:firstLineChars="177"/>
              <w:rPr>
                <w:b w:val="0"/>
                <w:bCs w:val="0"/>
                <w:color w:val="auto"/>
                <w:sz w:val="24"/>
                <w:szCs w:val="24"/>
              </w:rPr>
            </w:pPr>
            <w:r>
              <w:rPr>
                <w:b w:val="0"/>
                <w:bCs w:val="0"/>
                <w:color w:val="auto"/>
                <w:sz w:val="24"/>
                <w:szCs w:val="24"/>
              </w:rPr>
              <w:t>监测点位：</w:t>
            </w:r>
            <w:r>
              <w:rPr>
                <w:b w:val="0"/>
                <w:bCs w:val="0"/>
                <w:color w:val="auto"/>
                <w:kern w:val="0"/>
                <w:sz w:val="24"/>
                <w:szCs w:val="24"/>
              </w:rPr>
              <w:t>堆填一区上游背景监测井、1座场地内地下水污染监测井、堆填二区设地下水上游背景监测井、1座场地内地下水污染监测井和</w:t>
            </w:r>
            <w:r>
              <w:rPr>
                <w:b w:val="0"/>
                <w:bCs w:val="0"/>
                <w:color w:val="auto"/>
                <w:sz w:val="24"/>
                <w:szCs w:val="24"/>
              </w:rPr>
              <w:t>椒术洼组村井；</w:t>
            </w:r>
          </w:p>
          <w:p>
            <w:pPr>
              <w:snapToGrid w:val="0"/>
              <w:spacing w:line="360" w:lineRule="auto"/>
              <w:ind w:firstLine="424" w:firstLineChars="177"/>
              <w:rPr>
                <w:b w:val="0"/>
                <w:bCs w:val="0"/>
                <w:color w:val="auto"/>
                <w:sz w:val="24"/>
                <w:szCs w:val="24"/>
              </w:rPr>
            </w:pPr>
            <w:r>
              <w:rPr>
                <w:b w:val="0"/>
                <w:bCs w:val="0"/>
                <w:color w:val="auto"/>
                <w:sz w:val="24"/>
                <w:szCs w:val="24"/>
              </w:rPr>
              <w:t>监测频次：1次/年；</w:t>
            </w:r>
          </w:p>
          <w:p>
            <w:pPr>
              <w:snapToGrid w:val="0"/>
              <w:spacing w:line="360" w:lineRule="auto"/>
              <w:ind w:firstLine="424" w:firstLineChars="177"/>
              <w:rPr>
                <w:b w:val="0"/>
                <w:bCs w:val="0"/>
                <w:color w:val="auto"/>
                <w:sz w:val="24"/>
                <w:szCs w:val="24"/>
              </w:rPr>
            </w:pPr>
            <w:r>
              <w:rPr>
                <w:b w:val="0"/>
                <w:bCs w:val="0"/>
                <w:color w:val="auto"/>
                <w:sz w:val="24"/>
                <w:szCs w:val="24"/>
              </w:rPr>
              <w:t>监测方法：《地下水质量标准》（GB/T14848-2017）的监测方法。</w:t>
            </w:r>
          </w:p>
          <w:p>
            <w:pPr>
              <w:snapToGrid w:val="0"/>
              <w:spacing w:line="360" w:lineRule="auto"/>
              <w:ind w:firstLine="424" w:firstLineChars="177"/>
              <w:rPr>
                <w:b w:val="0"/>
                <w:bCs w:val="0"/>
                <w:color w:val="auto"/>
                <w:sz w:val="24"/>
                <w:szCs w:val="24"/>
              </w:rPr>
            </w:pPr>
            <w:r>
              <w:rPr>
                <w:b w:val="0"/>
                <w:bCs w:val="0"/>
                <w:color w:val="auto"/>
                <w:sz w:val="24"/>
                <w:szCs w:val="24"/>
              </w:rPr>
              <w:fldChar w:fldCharType="begin"/>
            </w:r>
            <w:r>
              <w:rPr>
                <w:b w:val="0"/>
                <w:bCs w:val="0"/>
                <w:color w:val="auto"/>
                <w:sz w:val="24"/>
                <w:szCs w:val="24"/>
              </w:rPr>
              <w:instrText xml:space="preserve"> = 2 \* GB3 </w:instrText>
            </w:r>
            <w:r>
              <w:rPr>
                <w:b w:val="0"/>
                <w:bCs w:val="0"/>
                <w:color w:val="auto"/>
                <w:sz w:val="24"/>
                <w:szCs w:val="24"/>
              </w:rPr>
              <w:fldChar w:fldCharType="separate"/>
            </w:r>
            <w:r>
              <w:rPr>
                <w:rFonts w:ascii="宋体"/>
                <w:b w:val="0"/>
                <w:bCs w:val="0"/>
                <w:color w:val="auto"/>
                <w:sz w:val="24"/>
                <w:szCs w:val="24"/>
              </w:rPr>
              <w:t>②</w:t>
            </w:r>
            <w:r>
              <w:rPr>
                <w:b w:val="0"/>
                <w:bCs w:val="0"/>
                <w:color w:val="auto"/>
                <w:sz w:val="24"/>
                <w:szCs w:val="24"/>
              </w:rPr>
              <w:fldChar w:fldCharType="end"/>
            </w:r>
            <w:r>
              <w:rPr>
                <w:b w:val="0"/>
                <w:bCs w:val="0"/>
                <w:color w:val="auto"/>
                <w:sz w:val="24"/>
                <w:szCs w:val="24"/>
              </w:rPr>
              <w:t>地面沉降监测</w:t>
            </w:r>
          </w:p>
          <w:p>
            <w:pPr>
              <w:spacing w:line="360" w:lineRule="auto"/>
              <w:ind w:firstLine="480" w:firstLineChars="200"/>
              <w:jc w:val="left"/>
              <w:rPr>
                <w:bCs/>
                <w:sz w:val="24"/>
                <w:szCs w:val="24"/>
              </w:rPr>
            </w:pPr>
            <w:r>
              <w:rPr>
                <w:b w:val="0"/>
                <w:bCs w:val="0"/>
                <w:color w:val="auto"/>
                <w:sz w:val="24"/>
                <w:szCs w:val="24"/>
              </w:rPr>
              <w:t>封场后，每年监测一次地面沉降，沉降测试点在堆体的平台上设置2点，顶面设置4点。地面沉降直至封场管理结束。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753" w:type="dxa"/>
            <w:vAlign w:val="center"/>
          </w:tcPr>
          <w:p>
            <w:pPr>
              <w:adjustRightInd w:val="0"/>
              <w:snapToGrid w:val="0"/>
              <w:jc w:val="center"/>
              <w:rPr>
                <w:bCs/>
                <w:szCs w:val="21"/>
              </w:rPr>
            </w:pPr>
            <w:r>
              <w:rPr>
                <w:bCs/>
                <w:sz w:val="24"/>
                <w:szCs w:val="24"/>
              </w:rPr>
              <w:t>其他</w:t>
            </w:r>
          </w:p>
        </w:tc>
        <w:tc>
          <w:tcPr>
            <w:tcW w:w="8457" w:type="dxa"/>
          </w:tcPr>
          <w:p>
            <w:pPr>
              <w:adjustRightInd w:val="0"/>
              <w:snapToGrid w:val="0"/>
              <w:spacing w:line="360" w:lineRule="auto"/>
              <w:ind w:firstLine="482" w:firstLineChars="200"/>
              <w:rPr>
                <w:b/>
                <w:bCs/>
                <w:sz w:val="24"/>
                <w:szCs w:val="24"/>
              </w:rPr>
            </w:pPr>
            <w:r>
              <w:rPr>
                <w:b/>
                <w:bCs/>
                <w:sz w:val="24"/>
                <w:szCs w:val="24"/>
              </w:rPr>
              <w:t>一、环境管理</w:t>
            </w:r>
          </w:p>
          <w:p>
            <w:pPr>
              <w:adjustRightInd w:val="0"/>
              <w:snapToGrid w:val="0"/>
              <w:spacing w:line="360" w:lineRule="auto"/>
              <w:ind w:firstLine="480" w:firstLineChars="200"/>
              <w:rPr>
                <w:bCs/>
                <w:sz w:val="24"/>
                <w:szCs w:val="24"/>
              </w:rPr>
            </w:pPr>
            <w:r>
              <w:rPr>
                <w:rFonts w:hint="eastAsia"/>
                <w:bCs/>
                <w:sz w:val="24"/>
                <w:szCs w:val="24"/>
                <w:lang w:eastAsia="zh-CN"/>
              </w:rPr>
              <w:t>工程</w:t>
            </w:r>
            <w:r>
              <w:rPr>
                <w:bCs/>
                <w:sz w:val="24"/>
                <w:szCs w:val="24"/>
              </w:rPr>
              <w:t>环境保护管理是指建设单位、设计单位和施工单位在</w:t>
            </w:r>
            <w:r>
              <w:rPr>
                <w:rFonts w:hint="eastAsia"/>
                <w:bCs/>
                <w:sz w:val="24"/>
                <w:szCs w:val="24"/>
                <w:lang w:eastAsia="zh-CN"/>
              </w:rPr>
              <w:t>工程</w:t>
            </w:r>
            <w:r>
              <w:rPr>
                <w:bCs/>
                <w:sz w:val="24"/>
                <w:szCs w:val="24"/>
              </w:rPr>
              <w:t>的可行性研究、</w:t>
            </w:r>
            <w:r>
              <w:rPr>
                <w:rFonts w:hint="eastAsia"/>
                <w:bCs/>
                <w:sz w:val="24"/>
                <w:szCs w:val="24"/>
                <w:lang w:eastAsia="zh-CN"/>
              </w:rPr>
              <w:t>工程</w:t>
            </w:r>
            <w:r>
              <w:rPr>
                <w:bCs/>
                <w:sz w:val="24"/>
                <w:szCs w:val="24"/>
              </w:rPr>
              <w:t>设计、建设期和运行期必须遵守国家、省市的有关环境保护法规、政策、标准，落实环境影响报告中拟定采取的减缓措施，并确保环境保护设施处于正常运行状态。</w:t>
            </w:r>
          </w:p>
          <w:p>
            <w:pPr>
              <w:adjustRightInd w:val="0"/>
              <w:snapToGrid w:val="0"/>
              <w:spacing w:line="360" w:lineRule="auto"/>
              <w:ind w:firstLine="480" w:firstLineChars="200"/>
              <w:rPr>
                <w:bCs/>
                <w:sz w:val="24"/>
                <w:szCs w:val="24"/>
              </w:rPr>
            </w:pPr>
            <w:r>
              <w:rPr>
                <w:bCs/>
                <w:sz w:val="24"/>
                <w:szCs w:val="24"/>
              </w:rPr>
              <w:t>环境管理计划是根据建设</w:t>
            </w:r>
            <w:r>
              <w:rPr>
                <w:rFonts w:hint="eastAsia"/>
                <w:bCs/>
                <w:sz w:val="24"/>
                <w:szCs w:val="24"/>
                <w:lang w:eastAsia="zh-CN"/>
              </w:rPr>
              <w:t>工程</w:t>
            </w:r>
            <w:r>
              <w:rPr>
                <w:bCs/>
                <w:sz w:val="24"/>
                <w:szCs w:val="24"/>
              </w:rPr>
              <w:t>的特点，制定防护职责、实施进度、监测内容和报告程序等内容，以及确定资金投入和来源。同时为了能够及时了解</w:t>
            </w:r>
            <w:r>
              <w:rPr>
                <w:rFonts w:hint="eastAsia"/>
                <w:bCs/>
                <w:sz w:val="24"/>
                <w:szCs w:val="24"/>
                <w:lang w:eastAsia="zh-CN"/>
              </w:rPr>
              <w:t>工程</w:t>
            </w:r>
            <w:r>
              <w:rPr>
                <w:bCs/>
                <w:sz w:val="24"/>
                <w:szCs w:val="24"/>
              </w:rPr>
              <w:t>运营期和封场后对周围环境的影响范围和程度，检验环保设施的运行效果，为可能出现的污染事故提供预期警报，并为环保设施的维修和保养提供依据，</w:t>
            </w:r>
            <w:r>
              <w:rPr>
                <w:rFonts w:hint="eastAsia"/>
                <w:bCs/>
                <w:sz w:val="24"/>
                <w:szCs w:val="24"/>
                <w:lang w:eastAsia="zh-CN"/>
              </w:rPr>
              <w:t>工程</w:t>
            </w:r>
            <w:r>
              <w:rPr>
                <w:bCs/>
                <w:sz w:val="24"/>
                <w:szCs w:val="24"/>
              </w:rPr>
              <w:t>应制定相应的环境监测计划。最后在</w:t>
            </w:r>
            <w:r>
              <w:rPr>
                <w:rFonts w:hint="eastAsia"/>
                <w:bCs/>
                <w:sz w:val="24"/>
                <w:szCs w:val="24"/>
                <w:lang w:eastAsia="zh-CN"/>
              </w:rPr>
              <w:t>工程</w:t>
            </w:r>
            <w:r>
              <w:rPr>
                <w:bCs/>
                <w:sz w:val="24"/>
                <w:szCs w:val="24"/>
              </w:rPr>
              <w:t>建设、运行和封场期，接受地方环境保护主管部门的监督和指导，并配合环境保护主管部门完成对</w:t>
            </w:r>
            <w:r>
              <w:rPr>
                <w:rFonts w:hint="eastAsia"/>
                <w:bCs/>
                <w:sz w:val="24"/>
                <w:szCs w:val="24"/>
                <w:lang w:eastAsia="zh-CN"/>
              </w:rPr>
              <w:t>工程</w:t>
            </w:r>
            <w:r>
              <w:rPr>
                <w:bCs/>
                <w:sz w:val="24"/>
                <w:szCs w:val="24"/>
              </w:rPr>
              <w:t>建设的“三同时”审查。</w:t>
            </w:r>
          </w:p>
          <w:p>
            <w:pPr>
              <w:adjustRightInd w:val="0"/>
              <w:snapToGrid w:val="0"/>
              <w:spacing w:line="360" w:lineRule="auto"/>
              <w:ind w:firstLine="480" w:firstLineChars="200"/>
              <w:rPr>
                <w:bCs/>
                <w:sz w:val="24"/>
                <w:szCs w:val="24"/>
              </w:rPr>
            </w:pPr>
            <w:r>
              <w:rPr>
                <w:bCs/>
                <w:sz w:val="24"/>
                <w:szCs w:val="24"/>
              </w:rPr>
              <w:t>为了保证环境管理工作的顺利进行，本</w:t>
            </w:r>
            <w:r>
              <w:rPr>
                <w:rFonts w:hint="eastAsia"/>
                <w:bCs/>
                <w:sz w:val="24"/>
                <w:szCs w:val="24"/>
                <w:lang w:eastAsia="zh-CN"/>
              </w:rPr>
              <w:t>工程</w:t>
            </w:r>
            <w:r>
              <w:rPr>
                <w:bCs/>
                <w:sz w:val="24"/>
                <w:szCs w:val="24"/>
              </w:rPr>
              <w:t>应设立环境管理部门，配备专职人员负责日常环境管理工作，并由商洛市生态环境局丹凤分局负责监督检查。根据</w:t>
            </w:r>
            <w:r>
              <w:rPr>
                <w:rFonts w:hint="eastAsia"/>
                <w:bCs/>
                <w:sz w:val="24"/>
                <w:szCs w:val="24"/>
                <w:lang w:eastAsia="zh-CN"/>
              </w:rPr>
              <w:t>本工程</w:t>
            </w:r>
            <w:r>
              <w:rPr>
                <w:bCs/>
                <w:sz w:val="24"/>
                <w:szCs w:val="24"/>
              </w:rPr>
              <w:t>的性质及污染特征，并结合环境保护的有关规定，在建设期就设立环境管理部门，设专（兼）职人员2人，并由主要领导负责管理。</w:t>
            </w:r>
          </w:p>
          <w:p>
            <w:pPr>
              <w:adjustRightInd w:val="0"/>
              <w:snapToGrid w:val="0"/>
              <w:spacing w:line="360" w:lineRule="auto"/>
              <w:ind w:firstLine="480" w:firstLineChars="200"/>
              <w:rPr>
                <w:bCs/>
                <w:sz w:val="24"/>
                <w:szCs w:val="24"/>
              </w:rPr>
            </w:pPr>
            <w:r>
              <w:rPr>
                <w:bCs/>
                <w:sz w:val="24"/>
                <w:szCs w:val="24"/>
              </w:rPr>
              <w:t>堆填场工程各阶段环境保护管理任务重点内容见表5.1。</w:t>
            </w:r>
          </w:p>
          <w:p>
            <w:pPr>
              <w:adjustRightInd w:val="0"/>
              <w:snapToGrid w:val="0"/>
              <w:ind w:firstLine="420" w:firstLineChars="200"/>
              <w:jc w:val="center"/>
              <w:rPr>
                <w:bCs/>
                <w:szCs w:val="21"/>
              </w:rPr>
            </w:pPr>
            <w:r>
              <w:rPr>
                <w:bCs/>
                <w:szCs w:val="21"/>
              </w:rPr>
              <w:t>表5-1环境管理工作计划重点内容（建议）</w:t>
            </w:r>
          </w:p>
          <w:tbl>
            <w:tblPr>
              <w:tblStyle w:val="23"/>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adjustRightInd w:val="0"/>
                    <w:snapToGrid w:val="0"/>
                    <w:jc w:val="center"/>
                    <w:rPr>
                      <w:bCs/>
                      <w:szCs w:val="21"/>
                    </w:rPr>
                  </w:pPr>
                  <w:r>
                    <w:rPr>
                      <w:bCs/>
                      <w:szCs w:val="21"/>
                    </w:rPr>
                    <w:t>阶段</w:t>
                  </w:r>
                </w:p>
              </w:tc>
              <w:tc>
                <w:tcPr>
                  <w:tcW w:w="6800" w:type="dxa"/>
                </w:tcPr>
                <w:p>
                  <w:pPr>
                    <w:adjustRightInd w:val="0"/>
                    <w:snapToGrid w:val="0"/>
                    <w:jc w:val="center"/>
                    <w:rPr>
                      <w:bCs/>
                      <w:szCs w:val="21"/>
                    </w:rPr>
                  </w:pPr>
                  <w:r>
                    <w:rPr>
                      <w:bCs/>
                      <w:szCs w:val="21"/>
                    </w:rPr>
                    <w:t>环境管理主要任务内容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6" w:type="dxa"/>
                  <w:vAlign w:val="center"/>
                </w:tcPr>
                <w:p>
                  <w:pPr>
                    <w:adjustRightInd w:val="0"/>
                    <w:snapToGrid w:val="0"/>
                    <w:jc w:val="center"/>
                    <w:rPr>
                      <w:bCs/>
                      <w:szCs w:val="21"/>
                    </w:rPr>
                  </w:pPr>
                  <w:r>
                    <w:rPr>
                      <w:rFonts w:hint="eastAsia"/>
                      <w:bCs/>
                      <w:szCs w:val="21"/>
                      <w:lang w:eastAsia="zh-CN"/>
                    </w:rPr>
                    <w:t>工程</w:t>
                  </w:r>
                  <w:r>
                    <w:rPr>
                      <w:bCs/>
                      <w:szCs w:val="21"/>
                    </w:rPr>
                    <w:t>建设前期</w:t>
                  </w:r>
                </w:p>
              </w:tc>
              <w:tc>
                <w:tcPr>
                  <w:tcW w:w="6800" w:type="dxa"/>
                </w:tcPr>
                <w:p>
                  <w:pPr>
                    <w:adjustRightInd w:val="0"/>
                    <w:snapToGrid w:val="0"/>
                    <w:rPr>
                      <w:bCs/>
                      <w:szCs w:val="21"/>
                    </w:rPr>
                  </w:pPr>
                  <w:r>
                    <w:rPr>
                      <w:rFonts w:ascii="宋体"/>
                      <w:bCs/>
                      <w:szCs w:val="21"/>
                    </w:rPr>
                    <w:t>①</w:t>
                  </w:r>
                  <w:r>
                    <w:rPr>
                      <w:bCs/>
                      <w:szCs w:val="21"/>
                    </w:rPr>
                    <w:t>参与</w:t>
                  </w:r>
                  <w:r>
                    <w:rPr>
                      <w:rFonts w:hint="eastAsia"/>
                      <w:bCs/>
                      <w:szCs w:val="21"/>
                      <w:lang w:eastAsia="zh-CN"/>
                    </w:rPr>
                    <w:t>工程</w:t>
                  </w:r>
                  <w:r>
                    <w:rPr>
                      <w:bCs/>
                      <w:szCs w:val="21"/>
                    </w:rPr>
                    <w:t>建设前期各阶段环境保护和环境工程设计方案工作；</w:t>
                  </w:r>
                </w:p>
                <w:p>
                  <w:pPr>
                    <w:adjustRightInd w:val="0"/>
                    <w:snapToGrid w:val="0"/>
                    <w:rPr>
                      <w:bCs/>
                      <w:szCs w:val="21"/>
                    </w:rPr>
                  </w:pPr>
                  <w:r>
                    <w:rPr>
                      <w:rFonts w:ascii="宋体"/>
                      <w:bCs/>
                      <w:szCs w:val="21"/>
                    </w:rPr>
                    <w:t>②</w:t>
                  </w:r>
                  <w:r>
                    <w:rPr>
                      <w:bCs/>
                      <w:szCs w:val="21"/>
                    </w:rPr>
                    <w:t>编制企业环境保护计划，委托环评单位开展项目环境影响评价；</w:t>
                  </w:r>
                </w:p>
                <w:p>
                  <w:pPr>
                    <w:adjustRightInd w:val="0"/>
                    <w:snapToGrid w:val="0"/>
                    <w:rPr>
                      <w:bCs/>
                      <w:szCs w:val="21"/>
                    </w:rPr>
                  </w:pPr>
                  <w:r>
                    <w:rPr>
                      <w:rFonts w:ascii="宋体"/>
                      <w:bCs/>
                      <w:szCs w:val="21"/>
                    </w:rPr>
                    <w:t>③</w:t>
                  </w:r>
                  <w:r>
                    <w:rPr>
                      <w:bCs/>
                      <w:szCs w:val="21"/>
                    </w:rPr>
                    <w:t>积极配合可研及环评单位开展</w:t>
                  </w:r>
                  <w:r>
                    <w:rPr>
                      <w:rFonts w:hint="eastAsia"/>
                      <w:bCs/>
                      <w:szCs w:val="21"/>
                      <w:lang w:eastAsia="zh-CN"/>
                    </w:rPr>
                    <w:t>工程</w:t>
                  </w:r>
                  <w:r>
                    <w:rPr>
                      <w:bCs/>
                      <w:szCs w:val="21"/>
                    </w:rPr>
                    <w:t>区现场踏勘与调研工作；</w:t>
                  </w:r>
                </w:p>
                <w:p>
                  <w:pPr>
                    <w:adjustRightInd w:val="0"/>
                    <w:snapToGrid w:val="0"/>
                    <w:rPr>
                      <w:bCs/>
                      <w:szCs w:val="21"/>
                    </w:rPr>
                  </w:pPr>
                  <w:r>
                    <w:rPr>
                      <w:rFonts w:ascii="宋体"/>
                      <w:bCs/>
                      <w:szCs w:val="21"/>
                    </w:rPr>
                    <w:t>④</w:t>
                  </w:r>
                  <w:r>
                    <w:rPr>
                      <w:bCs/>
                      <w:szCs w:val="21"/>
                    </w:rPr>
                    <w:t>针对工程运行特点，建立健全内部环境管理与监测制度；</w:t>
                  </w:r>
                </w:p>
                <w:p>
                  <w:pPr>
                    <w:adjustRightInd w:val="0"/>
                    <w:snapToGrid w:val="0"/>
                    <w:rPr>
                      <w:bCs/>
                      <w:szCs w:val="21"/>
                    </w:rPr>
                  </w:pPr>
                  <w:r>
                    <w:rPr>
                      <w:rFonts w:ascii="宋体"/>
                      <w:bCs/>
                      <w:szCs w:val="21"/>
                    </w:rPr>
                    <w:t>⑤</w:t>
                  </w:r>
                  <w:r>
                    <w:rPr>
                      <w:bCs/>
                      <w:szCs w:val="21"/>
                    </w:rPr>
                    <w:t>委托设计单位依据环评报告及批复文件，落实工程环保设计，编制环保专章。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adjustRightInd w:val="0"/>
                    <w:snapToGrid w:val="0"/>
                    <w:jc w:val="center"/>
                    <w:rPr>
                      <w:bCs/>
                      <w:szCs w:val="21"/>
                    </w:rPr>
                  </w:pPr>
                  <w:r>
                    <w:rPr>
                      <w:bCs/>
                      <w:szCs w:val="21"/>
                    </w:rPr>
                    <w:t>建设期</w:t>
                  </w:r>
                </w:p>
              </w:tc>
              <w:tc>
                <w:tcPr>
                  <w:tcW w:w="6800" w:type="dxa"/>
                </w:tcPr>
                <w:p>
                  <w:pPr>
                    <w:adjustRightInd w:val="0"/>
                    <w:snapToGrid w:val="0"/>
                    <w:rPr>
                      <w:bCs/>
                      <w:szCs w:val="21"/>
                    </w:rPr>
                  </w:pPr>
                  <w:r>
                    <w:rPr>
                      <w:rFonts w:ascii="宋体"/>
                      <w:bCs/>
                      <w:szCs w:val="21"/>
                    </w:rPr>
                    <w:t>①</w:t>
                  </w:r>
                  <w:r>
                    <w:rPr>
                      <w:bCs/>
                      <w:szCs w:val="21"/>
                    </w:rPr>
                    <w:t>按照工程环保设计，落实环保设施建设，严格执行“三同时”制度；</w:t>
                  </w:r>
                </w:p>
                <w:p>
                  <w:pPr>
                    <w:adjustRightInd w:val="0"/>
                    <w:snapToGrid w:val="0"/>
                    <w:rPr>
                      <w:bCs/>
                      <w:szCs w:val="21"/>
                    </w:rPr>
                  </w:pPr>
                  <w:r>
                    <w:rPr>
                      <w:rFonts w:ascii="宋体"/>
                      <w:bCs/>
                      <w:szCs w:val="21"/>
                    </w:rPr>
                    <w:t>②</w:t>
                  </w:r>
                  <w:r>
                    <w:rPr>
                      <w:bCs/>
                      <w:szCs w:val="21"/>
                    </w:rPr>
                    <w:t>建立规范化操作程序与施工监理档案，监督检查，处理施工中偶发的环境纠纷；</w:t>
                  </w:r>
                </w:p>
                <w:p>
                  <w:pPr>
                    <w:adjustRightInd w:val="0"/>
                    <w:snapToGrid w:val="0"/>
                    <w:rPr>
                      <w:bCs/>
                      <w:szCs w:val="21"/>
                    </w:rPr>
                  </w:pPr>
                  <w:r>
                    <w:rPr>
                      <w:rFonts w:ascii="宋体"/>
                      <w:bCs/>
                      <w:szCs w:val="21"/>
                    </w:rPr>
                    <w:t>③</w:t>
                  </w:r>
                  <w:r>
                    <w:rPr>
                      <w:bCs/>
                      <w:szCs w:val="21"/>
                    </w:rPr>
                    <w:t>严格执行生态恢复规定，监督和考核各施工单位责任书完成情况。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6" w:type="dxa"/>
                  <w:vAlign w:val="center"/>
                </w:tcPr>
                <w:p>
                  <w:pPr>
                    <w:adjustRightInd w:val="0"/>
                    <w:snapToGrid w:val="0"/>
                    <w:jc w:val="center"/>
                    <w:rPr>
                      <w:bCs/>
                      <w:szCs w:val="21"/>
                    </w:rPr>
                  </w:pPr>
                  <w:r>
                    <w:rPr>
                      <w:bCs/>
                      <w:szCs w:val="21"/>
                    </w:rPr>
                    <w:t>运营期</w:t>
                  </w:r>
                </w:p>
              </w:tc>
              <w:tc>
                <w:tcPr>
                  <w:tcW w:w="6800" w:type="dxa"/>
                </w:tcPr>
                <w:p>
                  <w:pPr>
                    <w:adjustRightInd w:val="0"/>
                    <w:snapToGrid w:val="0"/>
                    <w:rPr>
                      <w:bCs/>
                      <w:szCs w:val="21"/>
                    </w:rPr>
                  </w:pPr>
                  <w:r>
                    <w:rPr>
                      <w:rFonts w:ascii="宋体"/>
                      <w:bCs/>
                      <w:szCs w:val="21"/>
                    </w:rPr>
                    <w:t>①</w:t>
                  </w:r>
                  <w:r>
                    <w:rPr>
                      <w:bCs/>
                      <w:szCs w:val="21"/>
                    </w:rPr>
                    <w:t>贯彻执行国家和地方环境保护法律法规和标准；</w:t>
                  </w:r>
                </w:p>
                <w:p>
                  <w:pPr>
                    <w:adjustRightInd w:val="0"/>
                    <w:snapToGrid w:val="0"/>
                    <w:rPr>
                      <w:bCs/>
                      <w:szCs w:val="21"/>
                    </w:rPr>
                  </w:pPr>
                  <w:r>
                    <w:rPr>
                      <w:rFonts w:ascii="宋体"/>
                      <w:bCs/>
                      <w:szCs w:val="21"/>
                    </w:rPr>
                    <w:t>②</w:t>
                  </w:r>
                  <w:r>
                    <w:rPr>
                      <w:bCs/>
                      <w:szCs w:val="21"/>
                    </w:rPr>
                    <w:t>严格执行各项生产及环境管理规章制度，保证生产正常运行；</w:t>
                  </w:r>
                </w:p>
                <w:p>
                  <w:pPr>
                    <w:adjustRightInd w:val="0"/>
                    <w:snapToGrid w:val="0"/>
                    <w:rPr>
                      <w:bCs/>
                      <w:szCs w:val="21"/>
                    </w:rPr>
                  </w:pPr>
                  <w:r>
                    <w:rPr>
                      <w:rFonts w:ascii="宋体"/>
                      <w:bCs/>
                      <w:szCs w:val="21"/>
                    </w:rPr>
                    <w:t>③</w:t>
                  </w:r>
                  <w:r>
                    <w:rPr>
                      <w:bCs/>
                      <w:szCs w:val="21"/>
                    </w:rPr>
                    <w:t>申报排污许可证，建立环保设施运行卡，对环保设施定期进行检查和维护；</w:t>
                  </w:r>
                </w:p>
                <w:p>
                  <w:pPr>
                    <w:adjustRightInd w:val="0"/>
                    <w:snapToGrid w:val="0"/>
                    <w:rPr>
                      <w:bCs/>
                      <w:szCs w:val="21"/>
                    </w:rPr>
                  </w:pPr>
                  <w:r>
                    <w:rPr>
                      <w:rFonts w:ascii="宋体"/>
                      <w:bCs/>
                      <w:szCs w:val="21"/>
                    </w:rPr>
                    <w:t>④</w:t>
                  </w:r>
                  <w:r>
                    <w:rPr>
                      <w:bCs/>
                      <w:szCs w:val="21"/>
                    </w:rPr>
                    <w:t>按环境管理监测计划开展定期、不定期环境与污染源监测，发现问题及时处理；</w:t>
                  </w:r>
                </w:p>
                <w:p>
                  <w:pPr>
                    <w:adjustRightInd w:val="0"/>
                    <w:snapToGrid w:val="0"/>
                    <w:rPr>
                      <w:bCs/>
                      <w:szCs w:val="21"/>
                    </w:rPr>
                  </w:pPr>
                  <w:r>
                    <w:rPr>
                      <w:rFonts w:ascii="宋体"/>
                      <w:bCs/>
                      <w:szCs w:val="21"/>
                    </w:rPr>
                    <w:t>⑤</w:t>
                  </w:r>
                  <w:r>
                    <w:rPr>
                      <w:bCs/>
                      <w:szCs w:val="21"/>
                    </w:rPr>
                    <w:t>完善环境管理目标任务与污染防治措施方案，配合地方环境保护部门制定区域生态恢复、水土保持与环境综合整治规划；</w:t>
                  </w:r>
                </w:p>
                <w:p>
                  <w:pPr>
                    <w:adjustRightInd w:val="0"/>
                    <w:snapToGrid w:val="0"/>
                    <w:rPr>
                      <w:bCs/>
                      <w:szCs w:val="21"/>
                    </w:rPr>
                  </w:pPr>
                  <w:r>
                    <w:rPr>
                      <w:rFonts w:ascii="宋体"/>
                      <w:bCs/>
                      <w:szCs w:val="21"/>
                    </w:rPr>
                    <w:t>⑥</w:t>
                  </w:r>
                  <w:r>
                    <w:rPr>
                      <w:bCs/>
                      <w:szCs w:val="21"/>
                    </w:rPr>
                    <w:t>加强国家环保政策宣传，提高员工环保意识，提升环境管理水平；</w:t>
                  </w:r>
                </w:p>
                <w:p>
                  <w:pPr>
                    <w:adjustRightInd w:val="0"/>
                    <w:snapToGrid w:val="0"/>
                    <w:rPr>
                      <w:bCs/>
                      <w:szCs w:val="21"/>
                    </w:rPr>
                  </w:pPr>
                  <w:r>
                    <w:rPr>
                      <w:rFonts w:ascii="宋体"/>
                      <w:bCs/>
                      <w:szCs w:val="21"/>
                    </w:rPr>
                    <w:t>⑦</w:t>
                  </w:r>
                  <w:r>
                    <w:rPr>
                      <w:bCs/>
                      <w:szCs w:val="21"/>
                    </w:rPr>
                    <w:t>参与编制企业风险事故应急预案，负责编制年度环境保护管理计划；</w:t>
                  </w:r>
                </w:p>
                <w:p>
                  <w:pPr>
                    <w:adjustRightInd w:val="0"/>
                    <w:snapToGrid w:val="0"/>
                    <w:rPr>
                      <w:bCs/>
                      <w:szCs w:val="21"/>
                    </w:rPr>
                  </w:pPr>
                  <w:r>
                    <w:rPr>
                      <w:rFonts w:ascii="宋体"/>
                      <w:bCs/>
                      <w:szCs w:val="21"/>
                    </w:rPr>
                    <w:t>⑧</w:t>
                  </w:r>
                  <w:r>
                    <w:rPr>
                      <w:bCs/>
                      <w:szCs w:val="21"/>
                    </w:rPr>
                    <w:t>应确实落实好环境管理台账制度，做好环保台账的工作。明确各项环境保护设施和措施的建设、运行及维护费用保障计划。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vAlign w:val="center"/>
                </w:tcPr>
                <w:p>
                  <w:pPr>
                    <w:adjustRightInd w:val="0"/>
                    <w:snapToGrid w:val="0"/>
                    <w:jc w:val="center"/>
                    <w:rPr>
                      <w:bCs/>
                      <w:szCs w:val="21"/>
                    </w:rPr>
                  </w:pPr>
                  <w:r>
                    <w:rPr>
                      <w:bCs/>
                      <w:szCs w:val="21"/>
                    </w:rPr>
                    <w:t>封场期</w:t>
                  </w:r>
                </w:p>
              </w:tc>
              <w:tc>
                <w:tcPr>
                  <w:tcW w:w="6800" w:type="dxa"/>
                </w:tcPr>
                <w:p>
                  <w:pPr>
                    <w:adjustRightInd w:val="0"/>
                    <w:snapToGrid w:val="0"/>
                    <w:rPr>
                      <w:bCs/>
                      <w:szCs w:val="21"/>
                    </w:rPr>
                  </w:pPr>
                  <w:r>
                    <w:rPr>
                      <w:bCs/>
                      <w:szCs w:val="21"/>
                    </w:rPr>
                    <w:t>当堆填场服务期满或因故不再承担新的贮存、处置任务时，应分别予以关闭或封场。关闭或封场前，必须编制关闭或封场计划，报请所在地县级以上环境保护行政主管部门核准，并采取污染防治措施。</w:t>
                  </w:r>
                </w:p>
                <w:p>
                  <w:pPr>
                    <w:adjustRightInd w:val="0"/>
                    <w:snapToGrid w:val="0"/>
                    <w:rPr>
                      <w:bCs/>
                      <w:szCs w:val="21"/>
                    </w:rPr>
                  </w:pPr>
                  <w:r>
                    <w:rPr>
                      <w:rFonts w:ascii="宋体"/>
                      <w:bCs/>
                      <w:szCs w:val="21"/>
                    </w:rPr>
                    <w:t>①</w:t>
                  </w:r>
                  <w:r>
                    <w:rPr>
                      <w:bCs/>
                      <w:szCs w:val="21"/>
                    </w:rPr>
                    <w:t>关闭或封场时，堆体整形顶面坡度不宜小于5%。边坡大于10%时宜采用多级台阶，台阶间边坡坡度不宜大于1：3，台阶宽度不宜小于2m。</w:t>
                  </w:r>
                </w:p>
                <w:p>
                  <w:pPr>
                    <w:adjustRightInd w:val="0"/>
                    <w:snapToGrid w:val="0"/>
                    <w:rPr>
                      <w:bCs/>
                      <w:szCs w:val="21"/>
                    </w:rPr>
                  </w:pPr>
                  <w:r>
                    <w:rPr>
                      <w:rFonts w:ascii="宋体"/>
                      <w:bCs/>
                      <w:szCs w:val="21"/>
                    </w:rPr>
                    <w:t>②</w:t>
                  </w:r>
                  <w:r>
                    <w:rPr>
                      <w:bCs/>
                      <w:szCs w:val="21"/>
                    </w:rPr>
                    <w:t>关闭或封场后，仍需继续维护管理，直到稳定为止。以防止覆土层下沉、开裂，致使淋溶水量增加，防止建筑垃圾堆体失稳而造成滑坡等事故。</w:t>
                  </w:r>
                </w:p>
                <w:p>
                  <w:pPr>
                    <w:adjustRightInd w:val="0"/>
                    <w:snapToGrid w:val="0"/>
                    <w:rPr>
                      <w:bCs/>
                      <w:szCs w:val="21"/>
                    </w:rPr>
                  </w:pPr>
                  <w:r>
                    <w:rPr>
                      <w:rFonts w:ascii="宋体"/>
                      <w:bCs/>
                      <w:szCs w:val="21"/>
                    </w:rPr>
                    <w:t>③</w:t>
                  </w:r>
                  <w:r>
                    <w:rPr>
                      <w:bCs/>
                      <w:szCs w:val="21"/>
                    </w:rPr>
                    <w:t>关闭或封场后，应设置标志物，注明关闭或封场时间，以及使用该土地时应注意的事项。</w:t>
                  </w:r>
                </w:p>
                <w:p>
                  <w:pPr>
                    <w:adjustRightInd w:val="0"/>
                    <w:snapToGrid w:val="0"/>
                    <w:rPr>
                      <w:bCs/>
                      <w:szCs w:val="21"/>
                    </w:rPr>
                  </w:pPr>
                  <w:r>
                    <w:rPr>
                      <w:rFonts w:ascii="宋体"/>
                      <w:bCs/>
                      <w:szCs w:val="21"/>
                    </w:rPr>
                    <w:t>④</w:t>
                  </w:r>
                  <w:r>
                    <w:rPr>
                      <w:bCs/>
                      <w:szCs w:val="21"/>
                    </w:rPr>
                    <w:t>为防止固体废物直接暴露和雨水渗入堆体内，封场时表面应覆天然土壤，以利植物生长，其厚度视栽种植物种类而定。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6" w:type="dxa"/>
                  <w:vAlign w:val="center"/>
                </w:tcPr>
                <w:p>
                  <w:pPr>
                    <w:adjustRightInd w:val="0"/>
                    <w:snapToGrid w:val="0"/>
                    <w:jc w:val="center"/>
                    <w:rPr>
                      <w:bCs/>
                      <w:szCs w:val="21"/>
                    </w:rPr>
                  </w:pPr>
                  <w:r>
                    <w:rPr>
                      <w:bCs/>
                      <w:szCs w:val="21"/>
                    </w:rPr>
                    <w:t>环境管理</w:t>
                  </w:r>
                </w:p>
              </w:tc>
              <w:tc>
                <w:tcPr>
                  <w:tcW w:w="6800" w:type="dxa"/>
                </w:tcPr>
                <w:p>
                  <w:pPr>
                    <w:adjustRightInd w:val="0"/>
                    <w:snapToGrid w:val="0"/>
                    <w:rPr>
                      <w:bCs/>
                      <w:szCs w:val="21"/>
                    </w:rPr>
                  </w:pPr>
                  <w:r>
                    <w:rPr>
                      <w:rFonts w:ascii="宋体"/>
                      <w:bCs/>
                      <w:szCs w:val="21"/>
                    </w:rPr>
                    <w:t>①</w:t>
                  </w:r>
                  <w:r>
                    <w:rPr>
                      <w:bCs/>
                      <w:szCs w:val="21"/>
                    </w:rPr>
                    <w:t>制定堆填场环境保护各项规章制度，强化环境管理。</w:t>
                  </w:r>
                </w:p>
              </w:tc>
            </w:tr>
          </w:tbl>
          <w:p>
            <w:pPr>
              <w:adjustRightInd w:val="0"/>
              <w:snapToGrid w:val="0"/>
              <w:spacing w:line="360" w:lineRule="auto"/>
              <w:ind w:firstLine="482" w:firstLineChars="200"/>
              <w:rPr>
                <w:b/>
                <w:bCs/>
                <w:sz w:val="24"/>
                <w:szCs w:val="24"/>
              </w:rPr>
            </w:pPr>
            <w:r>
              <w:rPr>
                <w:b/>
                <w:bCs/>
                <w:sz w:val="24"/>
                <w:szCs w:val="24"/>
              </w:rPr>
              <w:t>二、排污口规范化管理</w:t>
            </w:r>
          </w:p>
          <w:p>
            <w:pPr>
              <w:adjustRightInd w:val="0"/>
              <w:snapToGrid w:val="0"/>
              <w:spacing w:line="360" w:lineRule="auto"/>
              <w:ind w:firstLine="480" w:firstLineChars="200"/>
              <w:rPr>
                <w:bCs/>
                <w:sz w:val="24"/>
                <w:szCs w:val="24"/>
              </w:rPr>
            </w:pPr>
            <w:r>
              <w:rPr>
                <w:bCs/>
                <w:sz w:val="24"/>
                <w:szCs w:val="24"/>
              </w:rPr>
              <w:t>根据国家标准《环境保护图形标志——排放口（源）》和原国家环保总局《排污口规范化整治要求（试行）》技术要求，在固体废物堆场设置环境保护图形标志牌。</w:t>
            </w:r>
          </w:p>
          <w:p>
            <w:pPr>
              <w:adjustRightInd w:val="0"/>
              <w:snapToGrid w:val="0"/>
              <w:spacing w:line="360" w:lineRule="auto"/>
              <w:ind w:firstLine="480" w:firstLineChars="200"/>
              <w:rPr>
                <w:bCs/>
                <w:sz w:val="24"/>
                <w:szCs w:val="24"/>
              </w:rPr>
            </w:pPr>
            <w:r>
              <w:rPr>
                <w:bCs/>
                <w:sz w:val="24"/>
                <w:szCs w:val="24"/>
              </w:rPr>
              <w:t>（1）排污口规范化管理的基本原则</w:t>
            </w:r>
          </w:p>
          <w:p>
            <w:pPr>
              <w:adjustRightInd w:val="0"/>
              <w:snapToGrid w:val="0"/>
              <w:spacing w:line="360" w:lineRule="auto"/>
              <w:ind w:firstLine="480" w:firstLineChars="200"/>
              <w:rPr>
                <w:bCs/>
                <w:sz w:val="24"/>
                <w:szCs w:val="24"/>
              </w:rPr>
            </w:pPr>
            <w:r>
              <w:rPr>
                <w:rFonts w:ascii="宋体"/>
                <w:bCs/>
                <w:sz w:val="24"/>
                <w:szCs w:val="24"/>
              </w:rPr>
              <w:t>①</w:t>
            </w:r>
            <w:r>
              <w:rPr>
                <w:bCs/>
                <w:sz w:val="24"/>
                <w:szCs w:val="24"/>
              </w:rPr>
              <w:t>向环境排放的污染物的排放口必须规范化。</w:t>
            </w:r>
          </w:p>
          <w:p>
            <w:pPr>
              <w:adjustRightInd w:val="0"/>
              <w:snapToGrid w:val="0"/>
              <w:spacing w:line="360" w:lineRule="auto"/>
              <w:ind w:firstLine="480" w:firstLineChars="200"/>
              <w:rPr>
                <w:bCs/>
                <w:sz w:val="24"/>
                <w:szCs w:val="24"/>
              </w:rPr>
            </w:pPr>
            <w:r>
              <w:rPr>
                <w:rFonts w:ascii="宋体"/>
                <w:bCs/>
                <w:sz w:val="24"/>
                <w:szCs w:val="24"/>
              </w:rPr>
              <w:t>②</w:t>
            </w:r>
            <w:r>
              <w:rPr>
                <w:bCs/>
                <w:sz w:val="24"/>
                <w:szCs w:val="24"/>
              </w:rPr>
              <w:t>列入总量控制的污染物排污口以及行业特征污染物排放口列为管理的重点。</w:t>
            </w:r>
          </w:p>
          <w:p>
            <w:pPr>
              <w:adjustRightInd w:val="0"/>
              <w:snapToGrid w:val="0"/>
              <w:spacing w:line="360" w:lineRule="auto"/>
              <w:ind w:firstLine="480" w:firstLineChars="200"/>
              <w:rPr>
                <w:bCs/>
                <w:sz w:val="24"/>
                <w:szCs w:val="24"/>
              </w:rPr>
            </w:pPr>
            <w:r>
              <w:rPr>
                <w:rFonts w:ascii="宋体"/>
                <w:bCs/>
                <w:sz w:val="24"/>
                <w:szCs w:val="24"/>
              </w:rPr>
              <w:t>③</w:t>
            </w:r>
            <w:r>
              <w:rPr>
                <w:bCs/>
                <w:sz w:val="24"/>
                <w:szCs w:val="24"/>
              </w:rPr>
              <w:t>排污口应便于采样与计量监测，便于日常现场监督检查。</w:t>
            </w:r>
          </w:p>
          <w:p>
            <w:pPr>
              <w:adjustRightInd w:val="0"/>
              <w:snapToGrid w:val="0"/>
              <w:spacing w:line="360" w:lineRule="auto"/>
              <w:ind w:firstLine="480" w:firstLineChars="200"/>
              <w:rPr>
                <w:bCs/>
                <w:sz w:val="24"/>
                <w:szCs w:val="24"/>
              </w:rPr>
            </w:pPr>
            <w:r>
              <w:rPr>
                <w:rFonts w:ascii="宋体"/>
                <w:bCs/>
                <w:sz w:val="24"/>
                <w:szCs w:val="24"/>
              </w:rPr>
              <w:t>④</w:t>
            </w:r>
            <w:r>
              <w:rPr>
                <w:bCs/>
                <w:sz w:val="24"/>
                <w:szCs w:val="24"/>
              </w:rPr>
              <w:t>如实向环保管理部门申报排污口数量、位置及所排放的主要污染物种类、数量、浓度、排放去向等情况。</w:t>
            </w:r>
          </w:p>
          <w:p>
            <w:pPr>
              <w:adjustRightInd w:val="0"/>
              <w:snapToGrid w:val="0"/>
              <w:spacing w:line="360" w:lineRule="auto"/>
              <w:ind w:firstLine="480" w:firstLineChars="200"/>
              <w:rPr>
                <w:bCs/>
                <w:sz w:val="24"/>
                <w:szCs w:val="24"/>
              </w:rPr>
            </w:pPr>
            <w:r>
              <w:rPr>
                <w:bCs/>
                <w:sz w:val="24"/>
                <w:szCs w:val="24"/>
              </w:rPr>
              <w:t>（2）排污口立标管理</w:t>
            </w:r>
          </w:p>
          <w:p>
            <w:pPr>
              <w:adjustRightInd w:val="0"/>
              <w:snapToGrid w:val="0"/>
              <w:spacing w:line="360" w:lineRule="auto"/>
              <w:ind w:firstLine="480" w:firstLineChars="200"/>
              <w:rPr>
                <w:bCs/>
                <w:sz w:val="24"/>
                <w:szCs w:val="24"/>
              </w:rPr>
            </w:pPr>
            <w:r>
              <w:rPr>
                <w:rFonts w:ascii="宋体"/>
                <w:bCs/>
                <w:sz w:val="24"/>
                <w:szCs w:val="24"/>
              </w:rPr>
              <w:t>①</w:t>
            </w:r>
            <w:r>
              <w:rPr>
                <w:bCs/>
                <w:sz w:val="24"/>
                <w:szCs w:val="24"/>
              </w:rPr>
              <w:t>固体废物堆场，应按照国家《环境保护图形标志》规定，设置统一的环境保护图形标志牌，见表5-2。</w:t>
            </w:r>
          </w:p>
          <w:p>
            <w:pPr>
              <w:adjustRightInd w:val="0"/>
              <w:snapToGrid w:val="0"/>
              <w:spacing w:line="360" w:lineRule="auto"/>
              <w:ind w:firstLine="420" w:firstLineChars="200"/>
              <w:jc w:val="center"/>
              <w:rPr>
                <w:bCs/>
                <w:szCs w:val="21"/>
              </w:rPr>
            </w:pPr>
            <w:r>
              <w:rPr>
                <w:bCs/>
                <w:szCs w:val="21"/>
              </w:rPr>
              <w:t>表5-2场区排污口图形标志一览表</w:t>
            </w:r>
          </w:p>
          <w:tbl>
            <w:tblPr>
              <w:tblStyle w:val="23"/>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43"/>
              <w:gridCol w:w="2693"/>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4" w:type="dxa"/>
                  <w:vMerge w:val="restart"/>
                  <w:vAlign w:val="center"/>
                </w:tcPr>
                <w:p>
                  <w:pPr>
                    <w:adjustRightInd w:val="0"/>
                    <w:snapToGrid w:val="0"/>
                    <w:jc w:val="center"/>
                    <w:rPr>
                      <w:bCs/>
                      <w:szCs w:val="21"/>
                    </w:rPr>
                  </w:pPr>
                  <w:r>
                    <w:rPr>
                      <w:bCs/>
                      <w:szCs w:val="21"/>
                    </w:rPr>
                    <w:t>序号</w:t>
                  </w:r>
                </w:p>
              </w:tc>
              <w:tc>
                <w:tcPr>
                  <w:tcW w:w="1843" w:type="dxa"/>
                  <w:vMerge w:val="restart"/>
                  <w:vAlign w:val="center"/>
                </w:tcPr>
                <w:p>
                  <w:pPr>
                    <w:adjustRightInd w:val="0"/>
                    <w:snapToGrid w:val="0"/>
                    <w:jc w:val="center"/>
                    <w:rPr>
                      <w:bCs/>
                      <w:szCs w:val="21"/>
                    </w:rPr>
                  </w:pPr>
                  <w:r>
                    <w:rPr>
                      <w:bCs/>
                      <w:szCs w:val="21"/>
                    </w:rPr>
                    <w:t>要求</w:t>
                  </w:r>
                </w:p>
              </w:tc>
              <w:tc>
                <w:tcPr>
                  <w:tcW w:w="5099" w:type="dxa"/>
                  <w:gridSpan w:val="2"/>
                  <w:vAlign w:val="center"/>
                </w:tcPr>
                <w:p>
                  <w:pPr>
                    <w:adjustRightInd w:val="0"/>
                    <w:snapToGrid w:val="0"/>
                    <w:jc w:val="center"/>
                    <w:rPr>
                      <w:bCs/>
                      <w:szCs w:val="21"/>
                    </w:rPr>
                  </w:pPr>
                  <w:r>
                    <w:rPr>
                      <w:bCs/>
                      <w:szCs w:val="21"/>
                    </w:rPr>
                    <w:t>图形标志设置部位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4" w:type="dxa"/>
                  <w:vMerge w:val="continue"/>
                  <w:vAlign w:val="center"/>
                </w:tcPr>
                <w:p>
                  <w:pPr>
                    <w:adjustRightInd w:val="0"/>
                    <w:snapToGrid w:val="0"/>
                    <w:jc w:val="center"/>
                    <w:rPr>
                      <w:bCs/>
                      <w:szCs w:val="21"/>
                    </w:rPr>
                  </w:pPr>
                </w:p>
              </w:tc>
              <w:tc>
                <w:tcPr>
                  <w:tcW w:w="1843" w:type="dxa"/>
                  <w:vMerge w:val="continue"/>
                  <w:vAlign w:val="center"/>
                </w:tcPr>
                <w:p>
                  <w:pPr>
                    <w:adjustRightInd w:val="0"/>
                    <w:snapToGrid w:val="0"/>
                    <w:jc w:val="center"/>
                    <w:rPr>
                      <w:bCs/>
                      <w:szCs w:val="21"/>
                    </w:rPr>
                  </w:pPr>
                </w:p>
              </w:tc>
              <w:tc>
                <w:tcPr>
                  <w:tcW w:w="2693" w:type="dxa"/>
                  <w:vAlign w:val="center"/>
                </w:tcPr>
                <w:p>
                  <w:pPr>
                    <w:adjustRightInd w:val="0"/>
                    <w:snapToGrid w:val="0"/>
                    <w:jc w:val="center"/>
                    <w:rPr>
                      <w:bCs/>
                      <w:szCs w:val="21"/>
                    </w:rPr>
                  </w:pPr>
                  <w:r>
                    <w:rPr>
                      <w:bCs/>
                      <w:szCs w:val="21"/>
                    </w:rPr>
                    <w:t>固废堆场</w:t>
                  </w:r>
                </w:p>
              </w:tc>
              <w:tc>
                <w:tcPr>
                  <w:tcW w:w="2406" w:type="dxa"/>
                  <w:vAlign w:val="center"/>
                </w:tcPr>
                <w:p>
                  <w:pPr>
                    <w:adjustRightInd w:val="0"/>
                    <w:snapToGrid w:val="0"/>
                    <w:jc w:val="center"/>
                    <w:rPr>
                      <w:bCs/>
                      <w:szCs w:val="21"/>
                    </w:rPr>
                  </w:pPr>
                  <w:r>
                    <w:rPr>
                      <w:bCs/>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4" w:type="dxa"/>
                  <w:vAlign w:val="center"/>
                </w:tcPr>
                <w:p>
                  <w:pPr>
                    <w:adjustRightInd w:val="0"/>
                    <w:snapToGrid w:val="0"/>
                    <w:jc w:val="center"/>
                    <w:rPr>
                      <w:bCs/>
                      <w:szCs w:val="21"/>
                    </w:rPr>
                  </w:pPr>
                  <w:r>
                    <w:rPr>
                      <w:bCs/>
                      <w:szCs w:val="21"/>
                    </w:rPr>
                    <w:t>1</w:t>
                  </w:r>
                </w:p>
              </w:tc>
              <w:tc>
                <w:tcPr>
                  <w:tcW w:w="1843" w:type="dxa"/>
                  <w:vAlign w:val="center"/>
                </w:tcPr>
                <w:p>
                  <w:pPr>
                    <w:adjustRightInd w:val="0"/>
                    <w:snapToGrid w:val="0"/>
                    <w:jc w:val="center"/>
                    <w:rPr>
                      <w:bCs/>
                      <w:szCs w:val="21"/>
                    </w:rPr>
                  </w:pPr>
                  <w:r>
                    <w:rPr>
                      <w:bCs/>
                      <w:szCs w:val="21"/>
                    </w:rPr>
                    <w:t>图形符号</w:t>
                  </w:r>
                </w:p>
              </w:tc>
              <w:tc>
                <w:tcPr>
                  <w:tcW w:w="2693" w:type="dxa"/>
                  <w:vAlign w:val="center"/>
                </w:tcPr>
                <w:p>
                  <w:pPr>
                    <w:adjustRightInd w:val="0"/>
                    <w:snapToGrid w:val="0"/>
                    <w:jc w:val="center"/>
                    <w:rPr>
                      <w:bCs/>
                      <w:szCs w:val="21"/>
                    </w:rPr>
                  </w:pPr>
                  <w:r>
                    <w:rPr>
                      <w:bCs/>
                      <w:szCs w:val="21"/>
                    </w:rPr>
                    <w:drawing>
                      <wp:inline distT="0" distB="0" distL="0" distR="0">
                        <wp:extent cx="1238250" cy="108585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srcRect/>
                                <a:stretch>
                                  <a:fillRect/>
                                </a:stretch>
                              </pic:blipFill>
                              <pic:spPr>
                                <a:xfrm>
                                  <a:off x="0" y="0"/>
                                  <a:ext cx="1238250" cy="1085850"/>
                                </a:xfrm>
                                <a:prstGeom prst="rect">
                                  <a:avLst/>
                                </a:prstGeom>
                                <a:noFill/>
                                <a:ln w="9525">
                                  <a:noFill/>
                                  <a:miter lim="800000"/>
                                  <a:headEnd/>
                                  <a:tailEnd/>
                                </a:ln>
                              </pic:spPr>
                            </pic:pic>
                          </a:graphicData>
                        </a:graphic>
                      </wp:inline>
                    </w:drawing>
                  </w:r>
                </w:p>
              </w:tc>
              <w:tc>
                <w:tcPr>
                  <w:tcW w:w="2406" w:type="dxa"/>
                  <w:vAlign w:val="center"/>
                </w:tcPr>
                <w:p>
                  <w:pPr>
                    <w:adjustRightInd w:val="0"/>
                    <w:snapToGrid w:val="0"/>
                    <w:jc w:val="center"/>
                    <w:rPr>
                      <w:bCs/>
                      <w:szCs w:val="21"/>
                    </w:rPr>
                  </w:pPr>
                  <w:r>
                    <w:rPr>
                      <w:bCs/>
                      <w:szCs w:val="21"/>
                    </w:rPr>
                    <w:drawing>
                      <wp:inline distT="0" distB="0" distL="0" distR="0">
                        <wp:extent cx="1171575" cy="114300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srcRect/>
                                <a:stretch>
                                  <a:fillRect/>
                                </a:stretch>
                              </pic:blipFill>
                              <pic:spPr>
                                <a:xfrm>
                                  <a:off x="0" y="0"/>
                                  <a:ext cx="1171575" cy="11430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4" w:type="dxa"/>
                  <w:vAlign w:val="center"/>
                </w:tcPr>
                <w:p>
                  <w:pPr>
                    <w:adjustRightInd w:val="0"/>
                    <w:snapToGrid w:val="0"/>
                    <w:jc w:val="center"/>
                    <w:rPr>
                      <w:bCs/>
                      <w:szCs w:val="21"/>
                    </w:rPr>
                  </w:pPr>
                  <w:r>
                    <w:rPr>
                      <w:bCs/>
                      <w:szCs w:val="21"/>
                    </w:rPr>
                    <w:t>2</w:t>
                  </w:r>
                </w:p>
              </w:tc>
              <w:tc>
                <w:tcPr>
                  <w:tcW w:w="1843" w:type="dxa"/>
                  <w:vAlign w:val="center"/>
                </w:tcPr>
                <w:p>
                  <w:pPr>
                    <w:adjustRightInd w:val="0"/>
                    <w:snapToGrid w:val="0"/>
                    <w:jc w:val="center"/>
                    <w:rPr>
                      <w:bCs/>
                      <w:szCs w:val="21"/>
                    </w:rPr>
                  </w:pPr>
                  <w:r>
                    <w:rPr>
                      <w:bCs/>
                      <w:szCs w:val="21"/>
                    </w:rPr>
                    <w:t>背景颜色</w:t>
                  </w:r>
                </w:p>
              </w:tc>
              <w:tc>
                <w:tcPr>
                  <w:tcW w:w="2693" w:type="dxa"/>
                  <w:vAlign w:val="center"/>
                </w:tcPr>
                <w:p>
                  <w:pPr>
                    <w:adjustRightInd w:val="0"/>
                    <w:snapToGrid w:val="0"/>
                    <w:jc w:val="center"/>
                    <w:rPr>
                      <w:bCs/>
                      <w:szCs w:val="21"/>
                    </w:rPr>
                  </w:pPr>
                  <w:r>
                    <w:rPr>
                      <w:bCs/>
                      <w:szCs w:val="21"/>
                    </w:rPr>
                    <w:t>绿色</w:t>
                  </w:r>
                </w:p>
              </w:tc>
              <w:tc>
                <w:tcPr>
                  <w:tcW w:w="2406" w:type="dxa"/>
                  <w:vAlign w:val="center"/>
                </w:tcPr>
                <w:p>
                  <w:pPr>
                    <w:adjustRightInd w:val="0"/>
                    <w:snapToGrid w:val="0"/>
                    <w:jc w:val="center"/>
                    <w:rPr>
                      <w:bCs/>
                      <w:szCs w:val="21"/>
                    </w:rPr>
                  </w:pPr>
                  <w:r>
                    <w:rPr>
                      <w:bCs/>
                      <w:szCs w:val="21"/>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4" w:type="dxa"/>
                  <w:vAlign w:val="center"/>
                </w:tcPr>
                <w:p>
                  <w:pPr>
                    <w:adjustRightInd w:val="0"/>
                    <w:snapToGrid w:val="0"/>
                    <w:jc w:val="center"/>
                    <w:rPr>
                      <w:bCs/>
                      <w:szCs w:val="21"/>
                    </w:rPr>
                  </w:pPr>
                  <w:r>
                    <w:rPr>
                      <w:bCs/>
                      <w:szCs w:val="21"/>
                    </w:rPr>
                    <w:t>3</w:t>
                  </w:r>
                </w:p>
              </w:tc>
              <w:tc>
                <w:tcPr>
                  <w:tcW w:w="1843" w:type="dxa"/>
                  <w:vAlign w:val="center"/>
                </w:tcPr>
                <w:p>
                  <w:pPr>
                    <w:adjustRightInd w:val="0"/>
                    <w:snapToGrid w:val="0"/>
                    <w:jc w:val="center"/>
                    <w:rPr>
                      <w:bCs/>
                      <w:szCs w:val="21"/>
                    </w:rPr>
                  </w:pPr>
                  <w:r>
                    <w:rPr>
                      <w:bCs/>
                      <w:szCs w:val="21"/>
                    </w:rPr>
                    <w:t>图形颜色</w:t>
                  </w:r>
                </w:p>
              </w:tc>
              <w:tc>
                <w:tcPr>
                  <w:tcW w:w="2693" w:type="dxa"/>
                  <w:vAlign w:val="center"/>
                </w:tcPr>
                <w:p>
                  <w:pPr>
                    <w:adjustRightInd w:val="0"/>
                    <w:snapToGrid w:val="0"/>
                    <w:jc w:val="center"/>
                    <w:rPr>
                      <w:bCs/>
                      <w:szCs w:val="21"/>
                    </w:rPr>
                  </w:pPr>
                  <w:r>
                    <w:rPr>
                      <w:bCs/>
                      <w:szCs w:val="21"/>
                    </w:rPr>
                    <w:t>白色</w:t>
                  </w:r>
                </w:p>
              </w:tc>
              <w:tc>
                <w:tcPr>
                  <w:tcW w:w="2406" w:type="dxa"/>
                  <w:vAlign w:val="center"/>
                </w:tcPr>
                <w:p>
                  <w:pPr>
                    <w:adjustRightInd w:val="0"/>
                    <w:snapToGrid w:val="0"/>
                    <w:jc w:val="center"/>
                    <w:rPr>
                      <w:bCs/>
                      <w:szCs w:val="21"/>
                    </w:rPr>
                  </w:pPr>
                  <w:r>
                    <w:rPr>
                      <w:bCs/>
                      <w:szCs w:val="21"/>
                    </w:rPr>
                    <w:t>黑色</w:t>
                  </w:r>
                </w:p>
              </w:tc>
            </w:tr>
          </w:tbl>
          <w:p>
            <w:pPr>
              <w:adjustRightInd w:val="0"/>
              <w:snapToGrid w:val="0"/>
              <w:spacing w:line="360" w:lineRule="auto"/>
              <w:ind w:firstLine="480" w:firstLineChars="200"/>
              <w:rPr>
                <w:bCs/>
                <w:sz w:val="24"/>
                <w:szCs w:val="24"/>
              </w:rPr>
            </w:pPr>
            <w:r>
              <w:rPr>
                <w:rFonts w:ascii="宋体"/>
                <w:bCs/>
                <w:sz w:val="24"/>
                <w:szCs w:val="24"/>
              </w:rPr>
              <w:t>②</w:t>
            </w:r>
            <w:r>
              <w:rPr>
                <w:bCs/>
                <w:sz w:val="24"/>
                <w:szCs w:val="24"/>
              </w:rPr>
              <w:t>环境保护图形标志牌设置位置应距污染物排放口及固体废物处置场或采样点较近且醒目处，设置高度一般为标志牌上缘距离地面约2m。</w:t>
            </w:r>
          </w:p>
          <w:p>
            <w:pPr>
              <w:adjustRightInd w:val="0"/>
              <w:snapToGrid w:val="0"/>
              <w:spacing w:line="360" w:lineRule="auto"/>
              <w:ind w:firstLine="480" w:firstLineChars="200"/>
              <w:rPr>
                <w:bCs/>
                <w:sz w:val="24"/>
                <w:szCs w:val="24"/>
              </w:rPr>
            </w:pPr>
            <w:r>
              <w:rPr>
                <w:rFonts w:ascii="宋体"/>
                <w:bCs/>
                <w:sz w:val="24"/>
                <w:szCs w:val="24"/>
              </w:rPr>
              <w:t>③</w:t>
            </w:r>
            <w:r>
              <w:rPr>
                <w:bCs/>
                <w:sz w:val="24"/>
                <w:szCs w:val="24"/>
              </w:rPr>
              <w:t>污染物排放口或固体废物贮存处置场以设置立式标志牌为主，一般排污单位的污染物排放口或固体废弃物堆场，可根据情况设置立式或平面固定式标志牌。</w:t>
            </w:r>
          </w:p>
          <w:p>
            <w:pPr>
              <w:adjustRightInd w:val="0"/>
              <w:snapToGrid w:val="0"/>
              <w:spacing w:line="360" w:lineRule="auto"/>
              <w:ind w:firstLine="480" w:firstLineChars="200"/>
              <w:rPr>
                <w:bCs/>
                <w:sz w:val="24"/>
                <w:szCs w:val="24"/>
              </w:rPr>
            </w:pPr>
            <w:r>
              <w:rPr>
                <w:rFonts w:ascii="宋体"/>
                <w:bCs/>
                <w:sz w:val="24"/>
                <w:szCs w:val="24"/>
              </w:rPr>
              <w:t>④</w:t>
            </w:r>
            <w:r>
              <w:rPr>
                <w:bCs/>
                <w:sz w:val="24"/>
                <w:szCs w:val="24"/>
              </w:rPr>
              <w:t>一般性污染物排放口或固体废物堆场，设置提示性环境保护图形标志牌。</w:t>
            </w:r>
          </w:p>
          <w:p>
            <w:pPr>
              <w:adjustRightInd w:val="0"/>
              <w:snapToGrid w:val="0"/>
              <w:spacing w:line="360" w:lineRule="auto"/>
              <w:ind w:firstLine="482" w:firstLineChars="200"/>
              <w:rPr>
                <w:b/>
                <w:bCs/>
                <w:sz w:val="24"/>
                <w:szCs w:val="24"/>
              </w:rPr>
            </w:pPr>
            <w:r>
              <w:rPr>
                <w:rFonts w:hint="eastAsia"/>
                <w:b/>
                <w:bCs/>
                <w:sz w:val="24"/>
                <w:szCs w:val="24"/>
              </w:rPr>
              <w:t>三、环保验收内容</w:t>
            </w:r>
          </w:p>
          <w:p>
            <w:pPr>
              <w:adjustRightInd w:val="0"/>
              <w:snapToGrid w:val="0"/>
              <w:spacing w:line="360" w:lineRule="auto"/>
              <w:ind w:firstLine="480" w:firstLineChars="200"/>
              <w:rPr>
                <w:bCs/>
                <w:sz w:val="24"/>
                <w:szCs w:val="24"/>
              </w:rPr>
            </w:pPr>
            <w:r>
              <w:rPr>
                <w:rFonts w:hint="eastAsia"/>
                <w:bCs/>
                <w:sz w:val="24"/>
                <w:szCs w:val="24"/>
              </w:rPr>
              <w:t>本</w:t>
            </w:r>
            <w:r>
              <w:rPr>
                <w:rFonts w:hint="eastAsia"/>
                <w:bCs/>
                <w:sz w:val="24"/>
                <w:szCs w:val="24"/>
                <w:lang w:eastAsia="zh-CN"/>
              </w:rPr>
              <w:t>工程</w:t>
            </w:r>
            <w:r>
              <w:rPr>
                <w:rFonts w:hint="eastAsia"/>
                <w:bCs/>
                <w:sz w:val="24"/>
                <w:szCs w:val="24"/>
              </w:rPr>
              <w:t>环保验收内容见表5-3。</w:t>
            </w:r>
          </w:p>
          <w:p>
            <w:pPr>
              <w:adjustRightInd w:val="0"/>
              <w:snapToGrid w:val="0"/>
              <w:ind w:firstLine="420" w:firstLineChars="200"/>
              <w:jc w:val="center"/>
              <w:rPr>
                <w:bCs/>
                <w:color w:val="auto"/>
                <w:szCs w:val="21"/>
              </w:rPr>
            </w:pPr>
            <w:r>
              <w:rPr>
                <w:rFonts w:hint="eastAsia"/>
                <w:bCs/>
                <w:color w:val="auto"/>
                <w:szCs w:val="21"/>
              </w:rPr>
              <w:t>表5-3环保验收内容一览表</w:t>
            </w:r>
          </w:p>
          <w:tbl>
            <w:tblPr>
              <w:tblStyle w:val="23"/>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18"/>
              <w:gridCol w:w="1275"/>
              <w:gridCol w:w="709"/>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Align w:val="center"/>
                </w:tcPr>
                <w:p>
                  <w:pPr>
                    <w:adjustRightInd w:val="0"/>
                    <w:snapToGrid w:val="0"/>
                    <w:jc w:val="center"/>
                    <w:rPr>
                      <w:bCs/>
                      <w:color w:val="auto"/>
                      <w:szCs w:val="21"/>
                    </w:rPr>
                  </w:pPr>
                  <w:r>
                    <w:rPr>
                      <w:rFonts w:hint="eastAsia"/>
                      <w:bCs/>
                      <w:color w:val="auto"/>
                      <w:szCs w:val="21"/>
                    </w:rPr>
                    <w:t>类别</w:t>
                  </w:r>
                </w:p>
              </w:tc>
              <w:tc>
                <w:tcPr>
                  <w:tcW w:w="1418" w:type="dxa"/>
                  <w:vAlign w:val="center"/>
                </w:tcPr>
                <w:p>
                  <w:pPr>
                    <w:adjustRightInd w:val="0"/>
                    <w:snapToGrid w:val="0"/>
                    <w:jc w:val="center"/>
                    <w:rPr>
                      <w:bCs/>
                      <w:color w:val="auto"/>
                      <w:szCs w:val="21"/>
                    </w:rPr>
                  </w:pPr>
                  <w:r>
                    <w:rPr>
                      <w:rFonts w:hint="eastAsia"/>
                      <w:bCs/>
                      <w:color w:val="auto"/>
                      <w:szCs w:val="21"/>
                    </w:rPr>
                    <w:t>项目</w:t>
                  </w:r>
                </w:p>
              </w:tc>
              <w:tc>
                <w:tcPr>
                  <w:tcW w:w="1275" w:type="dxa"/>
                  <w:vAlign w:val="center"/>
                </w:tcPr>
                <w:p>
                  <w:pPr>
                    <w:adjustRightInd w:val="0"/>
                    <w:snapToGrid w:val="0"/>
                    <w:jc w:val="center"/>
                    <w:rPr>
                      <w:bCs/>
                      <w:color w:val="auto"/>
                      <w:szCs w:val="21"/>
                    </w:rPr>
                  </w:pPr>
                  <w:r>
                    <w:rPr>
                      <w:rFonts w:hint="eastAsia"/>
                      <w:bCs/>
                      <w:color w:val="auto"/>
                      <w:szCs w:val="21"/>
                    </w:rPr>
                    <w:t>验收内容</w:t>
                  </w:r>
                </w:p>
              </w:tc>
              <w:tc>
                <w:tcPr>
                  <w:tcW w:w="709" w:type="dxa"/>
                  <w:vAlign w:val="center"/>
                </w:tcPr>
                <w:p>
                  <w:pPr>
                    <w:adjustRightInd w:val="0"/>
                    <w:snapToGrid w:val="0"/>
                    <w:jc w:val="center"/>
                    <w:rPr>
                      <w:bCs/>
                      <w:color w:val="auto"/>
                      <w:szCs w:val="21"/>
                    </w:rPr>
                  </w:pPr>
                  <w:r>
                    <w:rPr>
                      <w:rFonts w:hint="eastAsia"/>
                      <w:bCs/>
                      <w:color w:val="auto"/>
                      <w:szCs w:val="21"/>
                    </w:rPr>
                    <w:t>数量</w:t>
                  </w:r>
                </w:p>
              </w:tc>
              <w:tc>
                <w:tcPr>
                  <w:tcW w:w="3965" w:type="dxa"/>
                  <w:vAlign w:val="center"/>
                </w:tcPr>
                <w:p>
                  <w:pPr>
                    <w:adjustRightInd w:val="0"/>
                    <w:snapToGrid w:val="0"/>
                    <w:jc w:val="center"/>
                    <w:rPr>
                      <w:bCs/>
                      <w:color w:val="auto"/>
                      <w:szCs w:val="21"/>
                    </w:rPr>
                  </w:pPr>
                  <w:r>
                    <w:rPr>
                      <w:rFonts w:hint="eastAsia"/>
                      <w:bCs/>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restart"/>
                  <w:vAlign w:val="center"/>
                </w:tcPr>
                <w:p>
                  <w:pPr>
                    <w:adjustRightInd w:val="0"/>
                    <w:snapToGrid w:val="0"/>
                    <w:jc w:val="center"/>
                    <w:rPr>
                      <w:bCs/>
                      <w:color w:val="auto"/>
                      <w:szCs w:val="21"/>
                    </w:rPr>
                  </w:pPr>
                  <w:r>
                    <w:rPr>
                      <w:rFonts w:hint="eastAsia"/>
                      <w:bCs/>
                      <w:color w:val="auto"/>
                      <w:szCs w:val="21"/>
                    </w:rPr>
                    <w:t>废气</w:t>
                  </w:r>
                </w:p>
              </w:tc>
              <w:tc>
                <w:tcPr>
                  <w:tcW w:w="1418" w:type="dxa"/>
                  <w:vMerge w:val="restart"/>
                  <w:vAlign w:val="center"/>
                </w:tcPr>
                <w:p>
                  <w:pPr>
                    <w:adjustRightInd w:val="0"/>
                    <w:snapToGrid w:val="0"/>
                    <w:jc w:val="center"/>
                    <w:rPr>
                      <w:bCs/>
                      <w:color w:val="auto"/>
                      <w:szCs w:val="21"/>
                    </w:rPr>
                  </w:pPr>
                  <w:r>
                    <w:rPr>
                      <w:rFonts w:hint="eastAsia"/>
                      <w:bCs/>
                      <w:color w:val="auto"/>
                      <w:szCs w:val="21"/>
                    </w:rPr>
                    <w:t>TSP</w:t>
                  </w:r>
                </w:p>
              </w:tc>
              <w:tc>
                <w:tcPr>
                  <w:tcW w:w="1275" w:type="dxa"/>
                  <w:vAlign w:val="center"/>
                </w:tcPr>
                <w:p>
                  <w:pPr>
                    <w:adjustRightInd w:val="0"/>
                    <w:snapToGrid w:val="0"/>
                    <w:jc w:val="center"/>
                    <w:rPr>
                      <w:bCs/>
                      <w:color w:val="auto"/>
                      <w:szCs w:val="21"/>
                    </w:rPr>
                  </w:pPr>
                  <w:r>
                    <w:rPr>
                      <w:rFonts w:hint="eastAsia"/>
                      <w:bCs/>
                      <w:color w:val="auto"/>
                      <w:szCs w:val="21"/>
                    </w:rPr>
                    <w:t>洒水车</w:t>
                  </w:r>
                </w:p>
              </w:tc>
              <w:tc>
                <w:tcPr>
                  <w:tcW w:w="709" w:type="dxa"/>
                  <w:vAlign w:val="center"/>
                </w:tcPr>
                <w:p>
                  <w:pPr>
                    <w:adjustRightInd w:val="0"/>
                    <w:snapToGrid w:val="0"/>
                    <w:jc w:val="center"/>
                    <w:rPr>
                      <w:bCs/>
                      <w:color w:val="auto"/>
                      <w:szCs w:val="21"/>
                    </w:rPr>
                  </w:pPr>
                  <w:r>
                    <w:rPr>
                      <w:rFonts w:hint="eastAsia"/>
                      <w:bCs/>
                      <w:color w:val="auto"/>
                      <w:szCs w:val="21"/>
                    </w:rPr>
                    <w:t>1辆</w:t>
                  </w:r>
                </w:p>
              </w:tc>
              <w:tc>
                <w:tcPr>
                  <w:tcW w:w="3965" w:type="dxa"/>
                  <w:vMerge w:val="restart"/>
                  <w:vAlign w:val="center"/>
                </w:tcPr>
                <w:p>
                  <w:pPr>
                    <w:adjustRightInd w:val="0"/>
                    <w:snapToGrid w:val="0"/>
                    <w:jc w:val="center"/>
                    <w:rPr>
                      <w:bCs/>
                      <w:color w:val="auto"/>
                      <w:szCs w:val="21"/>
                    </w:rPr>
                  </w:pPr>
                  <w:r>
                    <w:rPr>
                      <w:rFonts w:hint="eastAsia"/>
                      <w:bCs/>
                      <w:color w:val="auto"/>
                      <w:szCs w:val="21"/>
                    </w:rPr>
                    <w:t>《大气污染物综合排放标准》</w:t>
                  </w:r>
                </w:p>
                <w:p>
                  <w:pPr>
                    <w:adjustRightInd w:val="0"/>
                    <w:snapToGrid w:val="0"/>
                    <w:jc w:val="center"/>
                    <w:rPr>
                      <w:bCs/>
                      <w:color w:val="auto"/>
                      <w:szCs w:val="21"/>
                    </w:rPr>
                  </w:pPr>
                  <w:r>
                    <w:rPr>
                      <w:rFonts w:hint="eastAsia"/>
                      <w:bCs/>
                      <w:color w:val="auto"/>
                      <w:szCs w:val="21"/>
                    </w:rPr>
                    <w:t>（GB16297-1996）表2颗粒物无组织限值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continue"/>
                  <w:vAlign w:val="center"/>
                </w:tcPr>
                <w:p>
                  <w:pPr>
                    <w:adjustRightInd w:val="0"/>
                    <w:snapToGrid w:val="0"/>
                    <w:jc w:val="center"/>
                    <w:rPr>
                      <w:bCs/>
                      <w:color w:val="auto"/>
                      <w:szCs w:val="21"/>
                    </w:rPr>
                  </w:pPr>
                </w:p>
              </w:tc>
              <w:tc>
                <w:tcPr>
                  <w:tcW w:w="1418" w:type="dxa"/>
                  <w:vMerge w:val="continue"/>
                  <w:vAlign w:val="center"/>
                </w:tcPr>
                <w:p>
                  <w:pPr>
                    <w:adjustRightInd w:val="0"/>
                    <w:snapToGrid w:val="0"/>
                    <w:jc w:val="center"/>
                    <w:rPr>
                      <w:bCs/>
                      <w:color w:val="auto"/>
                      <w:szCs w:val="21"/>
                    </w:rPr>
                  </w:pPr>
                </w:p>
              </w:tc>
              <w:tc>
                <w:tcPr>
                  <w:tcW w:w="1275" w:type="dxa"/>
                  <w:vAlign w:val="center"/>
                </w:tcPr>
                <w:p>
                  <w:pPr>
                    <w:adjustRightInd w:val="0"/>
                    <w:snapToGrid w:val="0"/>
                    <w:jc w:val="center"/>
                    <w:rPr>
                      <w:bCs/>
                      <w:color w:val="auto"/>
                      <w:szCs w:val="21"/>
                    </w:rPr>
                  </w:pPr>
                  <w:r>
                    <w:rPr>
                      <w:rFonts w:hint="eastAsia"/>
                      <w:bCs/>
                      <w:color w:val="auto"/>
                      <w:szCs w:val="21"/>
                    </w:rPr>
                    <w:t>防风抑尘网、覆盖措施</w:t>
                  </w:r>
                </w:p>
              </w:tc>
              <w:tc>
                <w:tcPr>
                  <w:tcW w:w="709" w:type="dxa"/>
                  <w:vAlign w:val="center"/>
                </w:tcPr>
                <w:p>
                  <w:pPr>
                    <w:adjustRightInd w:val="0"/>
                    <w:snapToGrid w:val="0"/>
                    <w:jc w:val="center"/>
                    <w:rPr>
                      <w:bCs/>
                      <w:color w:val="auto"/>
                      <w:szCs w:val="21"/>
                    </w:rPr>
                  </w:pPr>
                  <w:r>
                    <w:rPr>
                      <w:rFonts w:hint="eastAsia"/>
                      <w:bCs/>
                      <w:color w:val="auto"/>
                      <w:szCs w:val="21"/>
                    </w:rPr>
                    <w:t>1套</w:t>
                  </w:r>
                </w:p>
              </w:tc>
              <w:tc>
                <w:tcPr>
                  <w:tcW w:w="3965" w:type="dxa"/>
                  <w:vMerge w:val="continue"/>
                  <w:vAlign w:val="center"/>
                </w:tcPr>
                <w:p>
                  <w:pPr>
                    <w:adjustRightInd w:val="0"/>
                    <w:snapToGrid w:val="0"/>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restart"/>
                  <w:vAlign w:val="center"/>
                </w:tcPr>
                <w:p>
                  <w:pPr>
                    <w:adjustRightInd w:val="0"/>
                    <w:snapToGrid w:val="0"/>
                    <w:jc w:val="center"/>
                    <w:rPr>
                      <w:bCs/>
                      <w:color w:val="auto"/>
                      <w:szCs w:val="21"/>
                    </w:rPr>
                  </w:pPr>
                  <w:r>
                    <w:rPr>
                      <w:rFonts w:hint="eastAsia"/>
                      <w:bCs/>
                      <w:color w:val="auto"/>
                      <w:szCs w:val="21"/>
                    </w:rPr>
                    <w:t>废水</w:t>
                  </w:r>
                </w:p>
              </w:tc>
              <w:tc>
                <w:tcPr>
                  <w:tcW w:w="1418" w:type="dxa"/>
                  <w:vAlign w:val="center"/>
                </w:tcPr>
                <w:p>
                  <w:pPr>
                    <w:adjustRightInd w:val="0"/>
                    <w:snapToGrid w:val="0"/>
                    <w:jc w:val="center"/>
                    <w:rPr>
                      <w:bCs/>
                      <w:color w:val="auto"/>
                      <w:szCs w:val="21"/>
                    </w:rPr>
                  </w:pPr>
                  <w:r>
                    <w:rPr>
                      <w:rFonts w:hint="eastAsia"/>
                      <w:bCs/>
                      <w:color w:val="auto"/>
                      <w:szCs w:val="21"/>
                    </w:rPr>
                    <w:t>雨水</w:t>
                  </w:r>
                </w:p>
              </w:tc>
              <w:tc>
                <w:tcPr>
                  <w:tcW w:w="1275" w:type="dxa"/>
                  <w:vAlign w:val="center"/>
                </w:tcPr>
                <w:p>
                  <w:pPr>
                    <w:adjustRightInd w:val="0"/>
                    <w:snapToGrid w:val="0"/>
                    <w:jc w:val="center"/>
                    <w:rPr>
                      <w:bCs/>
                      <w:color w:val="auto"/>
                      <w:szCs w:val="21"/>
                    </w:rPr>
                  </w:pPr>
                  <w:r>
                    <w:rPr>
                      <w:rFonts w:hint="eastAsia"/>
                      <w:bCs/>
                      <w:color w:val="auto"/>
                      <w:szCs w:val="21"/>
                    </w:rPr>
                    <w:t>截洪沟</w:t>
                  </w:r>
                </w:p>
              </w:tc>
              <w:tc>
                <w:tcPr>
                  <w:tcW w:w="709" w:type="dxa"/>
                  <w:vAlign w:val="center"/>
                </w:tcPr>
                <w:p>
                  <w:pPr>
                    <w:adjustRightInd w:val="0"/>
                    <w:snapToGrid w:val="0"/>
                    <w:jc w:val="center"/>
                    <w:rPr>
                      <w:bCs/>
                      <w:color w:val="auto"/>
                      <w:szCs w:val="21"/>
                    </w:rPr>
                  </w:pPr>
                  <w:r>
                    <w:rPr>
                      <w:rFonts w:hint="eastAsia"/>
                      <w:bCs/>
                      <w:color w:val="auto"/>
                      <w:szCs w:val="21"/>
                    </w:rPr>
                    <w:t>1套</w:t>
                  </w:r>
                </w:p>
              </w:tc>
              <w:tc>
                <w:tcPr>
                  <w:tcW w:w="3965" w:type="dxa"/>
                  <w:vAlign w:val="center"/>
                </w:tcPr>
                <w:p>
                  <w:pPr>
                    <w:adjustRightInd w:val="0"/>
                    <w:snapToGrid w:val="0"/>
                    <w:jc w:val="center"/>
                    <w:rPr>
                      <w:bCs/>
                      <w:color w:val="auto"/>
                      <w:szCs w:val="21"/>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continue"/>
                  <w:vAlign w:val="center"/>
                </w:tcPr>
                <w:p>
                  <w:pPr>
                    <w:adjustRightInd w:val="0"/>
                    <w:snapToGrid w:val="0"/>
                    <w:jc w:val="center"/>
                    <w:rPr>
                      <w:bCs/>
                      <w:color w:val="auto"/>
                      <w:szCs w:val="21"/>
                    </w:rPr>
                  </w:pPr>
                </w:p>
              </w:tc>
              <w:tc>
                <w:tcPr>
                  <w:tcW w:w="1418" w:type="dxa"/>
                  <w:vAlign w:val="center"/>
                </w:tcPr>
                <w:p>
                  <w:pPr>
                    <w:adjustRightInd w:val="0"/>
                    <w:snapToGrid w:val="0"/>
                    <w:jc w:val="center"/>
                    <w:rPr>
                      <w:bCs/>
                      <w:color w:val="auto"/>
                      <w:szCs w:val="21"/>
                    </w:rPr>
                  </w:pPr>
                  <w:r>
                    <w:rPr>
                      <w:rFonts w:hint="eastAsia"/>
                      <w:bCs/>
                      <w:color w:val="auto"/>
                      <w:szCs w:val="21"/>
                    </w:rPr>
                    <w:t>洗车废水</w:t>
                  </w:r>
                </w:p>
              </w:tc>
              <w:tc>
                <w:tcPr>
                  <w:tcW w:w="1275" w:type="dxa"/>
                  <w:vAlign w:val="center"/>
                </w:tcPr>
                <w:p>
                  <w:pPr>
                    <w:adjustRightInd w:val="0"/>
                    <w:snapToGrid w:val="0"/>
                    <w:jc w:val="center"/>
                    <w:rPr>
                      <w:bCs/>
                      <w:color w:val="auto"/>
                      <w:szCs w:val="21"/>
                    </w:rPr>
                  </w:pPr>
                  <w:r>
                    <w:rPr>
                      <w:color w:val="auto"/>
                      <w:kern w:val="0"/>
                      <w:szCs w:val="21"/>
                    </w:rPr>
                    <w:t>三级沉淀池</w:t>
                  </w:r>
                </w:p>
              </w:tc>
              <w:tc>
                <w:tcPr>
                  <w:tcW w:w="709" w:type="dxa"/>
                  <w:vAlign w:val="center"/>
                </w:tcPr>
                <w:p>
                  <w:pPr>
                    <w:adjustRightInd w:val="0"/>
                    <w:snapToGrid w:val="0"/>
                    <w:jc w:val="center"/>
                    <w:rPr>
                      <w:bCs/>
                      <w:color w:val="auto"/>
                      <w:szCs w:val="21"/>
                    </w:rPr>
                  </w:pPr>
                  <w:r>
                    <w:rPr>
                      <w:rFonts w:hint="eastAsia"/>
                      <w:bCs/>
                      <w:color w:val="auto"/>
                      <w:szCs w:val="21"/>
                    </w:rPr>
                    <w:t>1座</w:t>
                  </w:r>
                </w:p>
              </w:tc>
              <w:tc>
                <w:tcPr>
                  <w:tcW w:w="3965" w:type="dxa"/>
                  <w:vAlign w:val="center"/>
                </w:tcPr>
                <w:p>
                  <w:pPr>
                    <w:adjustRightInd w:val="0"/>
                    <w:snapToGrid w:val="0"/>
                    <w:jc w:val="center"/>
                    <w:rPr>
                      <w:bCs/>
                      <w:color w:val="auto"/>
                      <w:szCs w:val="21"/>
                    </w:rPr>
                  </w:pPr>
                  <w:r>
                    <w:rPr>
                      <w:rFonts w:hint="eastAsia"/>
                      <w:bCs/>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continue"/>
                  <w:vAlign w:val="center"/>
                </w:tcPr>
                <w:p>
                  <w:pPr>
                    <w:adjustRightInd w:val="0"/>
                    <w:snapToGrid w:val="0"/>
                    <w:jc w:val="center"/>
                    <w:rPr>
                      <w:bCs/>
                      <w:color w:val="auto"/>
                      <w:szCs w:val="21"/>
                    </w:rPr>
                  </w:pPr>
                </w:p>
              </w:tc>
              <w:tc>
                <w:tcPr>
                  <w:tcW w:w="1418" w:type="dxa"/>
                  <w:vMerge w:val="restart"/>
                  <w:vAlign w:val="center"/>
                </w:tcPr>
                <w:p>
                  <w:pPr>
                    <w:adjustRightInd w:val="0"/>
                    <w:snapToGrid w:val="0"/>
                    <w:jc w:val="center"/>
                    <w:rPr>
                      <w:bCs/>
                      <w:color w:val="auto"/>
                      <w:szCs w:val="21"/>
                    </w:rPr>
                  </w:pPr>
                  <w:r>
                    <w:rPr>
                      <w:rFonts w:hint="eastAsia"/>
                      <w:bCs/>
                      <w:color w:val="auto"/>
                      <w:szCs w:val="21"/>
                    </w:rPr>
                    <w:t>渗出水</w:t>
                  </w:r>
                </w:p>
              </w:tc>
              <w:tc>
                <w:tcPr>
                  <w:tcW w:w="1275" w:type="dxa"/>
                  <w:vAlign w:val="center"/>
                </w:tcPr>
                <w:p>
                  <w:pPr>
                    <w:adjustRightInd w:val="0"/>
                    <w:snapToGrid w:val="0"/>
                    <w:jc w:val="center"/>
                    <w:rPr>
                      <w:bCs/>
                      <w:color w:val="auto"/>
                      <w:szCs w:val="21"/>
                    </w:rPr>
                  </w:pPr>
                  <w:r>
                    <w:rPr>
                      <w:rFonts w:hint="eastAsia"/>
                      <w:bCs/>
                      <w:color w:val="auto"/>
                      <w:szCs w:val="21"/>
                    </w:rPr>
                    <w:t>导排系统</w:t>
                  </w:r>
                </w:p>
              </w:tc>
              <w:tc>
                <w:tcPr>
                  <w:tcW w:w="709" w:type="dxa"/>
                  <w:vAlign w:val="center"/>
                </w:tcPr>
                <w:p>
                  <w:pPr>
                    <w:adjustRightInd w:val="0"/>
                    <w:snapToGrid w:val="0"/>
                    <w:jc w:val="center"/>
                    <w:rPr>
                      <w:bCs/>
                      <w:color w:val="auto"/>
                      <w:szCs w:val="21"/>
                    </w:rPr>
                  </w:pPr>
                  <w:r>
                    <w:rPr>
                      <w:rFonts w:hint="eastAsia"/>
                      <w:bCs/>
                      <w:color w:val="auto"/>
                      <w:szCs w:val="21"/>
                    </w:rPr>
                    <w:t>1套</w:t>
                  </w:r>
                </w:p>
              </w:tc>
              <w:tc>
                <w:tcPr>
                  <w:tcW w:w="3965" w:type="dxa"/>
                  <w:vMerge w:val="restart"/>
                  <w:vAlign w:val="center"/>
                </w:tcPr>
                <w:p>
                  <w:pPr>
                    <w:adjustRightInd w:val="0"/>
                    <w:snapToGrid w:val="0"/>
                    <w:jc w:val="center"/>
                    <w:rPr>
                      <w:bCs/>
                      <w:color w:val="auto"/>
                      <w:szCs w:val="21"/>
                    </w:rPr>
                  </w:pPr>
                  <w:r>
                    <w:rPr>
                      <w:rFonts w:hint="eastAsia"/>
                      <w:bCs/>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continue"/>
                  <w:vAlign w:val="center"/>
                </w:tcPr>
                <w:p>
                  <w:pPr>
                    <w:adjustRightInd w:val="0"/>
                    <w:snapToGrid w:val="0"/>
                    <w:jc w:val="center"/>
                    <w:rPr>
                      <w:bCs/>
                      <w:color w:val="auto"/>
                      <w:szCs w:val="21"/>
                    </w:rPr>
                  </w:pPr>
                </w:p>
              </w:tc>
              <w:tc>
                <w:tcPr>
                  <w:tcW w:w="1418" w:type="dxa"/>
                  <w:vMerge w:val="continue"/>
                  <w:vAlign w:val="center"/>
                </w:tcPr>
                <w:p>
                  <w:pPr>
                    <w:adjustRightInd w:val="0"/>
                    <w:snapToGrid w:val="0"/>
                    <w:jc w:val="center"/>
                    <w:rPr>
                      <w:bCs/>
                      <w:color w:val="auto"/>
                      <w:szCs w:val="21"/>
                    </w:rPr>
                  </w:pPr>
                </w:p>
              </w:tc>
              <w:tc>
                <w:tcPr>
                  <w:tcW w:w="1275" w:type="dxa"/>
                  <w:vAlign w:val="center"/>
                </w:tcPr>
                <w:p>
                  <w:pPr>
                    <w:adjustRightInd w:val="0"/>
                    <w:snapToGrid w:val="0"/>
                    <w:jc w:val="center"/>
                    <w:rPr>
                      <w:bCs/>
                      <w:color w:val="auto"/>
                      <w:szCs w:val="21"/>
                    </w:rPr>
                  </w:pPr>
                  <w:r>
                    <w:rPr>
                      <w:rFonts w:hint="eastAsia"/>
                      <w:bCs/>
                      <w:color w:val="auto"/>
                      <w:szCs w:val="21"/>
                    </w:rPr>
                    <w:t>三级沉淀池</w:t>
                  </w:r>
                </w:p>
              </w:tc>
              <w:tc>
                <w:tcPr>
                  <w:tcW w:w="709" w:type="dxa"/>
                  <w:vAlign w:val="center"/>
                </w:tcPr>
                <w:p>
                  <w:pPr>
                    <w:adjustRightInd w:val="0"/>
                    <w:snapToGrid w:val="0"/>
                    <w:jc w:val="center"/>
                    <w:rPr>
                      <w:bCs/>
                      <w:color w:val="auto"/>
                      <w:szCs w:val="21"/>
                    </w:rPr>
                  </w:pPr>
                  <w:r>
                    <w:rPr>
                      <w:rFonts w:hint="eastAsia"/>
                      <w:bCs/>
                      <w:color w:val="auto"/>
                      <w:szCs w:val="21"/>
                    </w:rPr>
                    <w:t>1座</w:t>
                  </w:r>
                </w:p>
              </w:tc>
              <w:tc>
                <w:tcPr>
                  <w:tcW w:w="3965" w:type="dxa"/>
                  <w:vMerge w:val="continue"/>
                  <w:vAlign w:val="center"/>
                </w:tcPr>
                <w:p>
                  <w:pPr>
                    <w:adjustRightInd w:val="0"/>
                    <w:snapToGrid w:val="0"/>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Align w:val="center"/>
                </w:tcPr>
                <w:p>
                  <w:pPr>
                    <w:adjustRightInd w:val="0"/>
                    <w:snapToGrid w:val="0"/>
                    <w:jc w:val="center"/>
                    <w:rPr>
                      <w:bCs/>
                      <w:color w:val="auto"/>
                      <w:szCs w:val="21"/>
                    </w:rPr>
                  </w:pPr>
                  <w:r>
                    <w:rPr>
                      <w:rFonts w:hint="eastAsia"/>
                      <w:bCs/>
                      <w:color w:val="auto"/>
                      <w:szCs w:val="21"/>
                    </w:rPr>
                    <w:t>噪声</w:t>
                  </w:r>
                </w:p>
              </w:tc>
              <w:tc>
                <w:tcPr>
                  <w:tcW w:w="1418" w:type="dxa"/>
                  <w:vAlign w:val="center"/>
                </w:tcPr>
                <w:p>
                  <w:pPr>
                    <w:adjustRightInd w:val="0"/>
                    <w:snapToGrid w:val="0"/>
                    <w:jc w:val="center"/>
                    <w:rPr>
                      <w:bCs/>
                      <w:color w:val="auto"/>
                      <w:szCs w:val="21"/>
                    </w:rPr>
                  </w:pPr>
                  <w:r>
                    <w:rPr>
                      <w:rFonts w:hint="eastAsia"/>
                      <w:bCs/>
                      <w:color w:val="auto"/>
                      <w:szCs w:val="21"/>
                    </w:rPr>
                    <w:t>设备噪声</w:t>
                  </w:r>
                </w:p>
              </w:tc>
              <w:tc>
                <w:tcPr>
                  <w:tcW w:w="1275" w:type="dxa"/>
                  <w:vAlign w:val="center"/>
                </w:tcPr>
                <w:p>
                  <w:pPr>
                    <w:adjustRightInd w:val="0"/>
                    <w:snapToGrid w:val="0"/>
                    <w:jc w:val="center"/>
                    <w:rPr>
                      <w:bCs/>
                      <w:color w:val="auto"/>
                      <w:szCs w:val="21"/>
                    </w:rPr>
                  </w:pPr>
                  <w:r>
                    <w:rPr>
                      <w:rFonts w:hint="eastAsia"/>
                      <w:bCs/>
                      <w:color w:val="auto"/>
                      <w:szCs w:val="21"/>
                    </w:rPr>
                    <w:t>减振，选用低噪声设备</w:t>
                  </w:r>
                </w:p>
              </w:tc>
              <w:tc>
                <w:tcPr>
                  <w:tcW w:w="709" w:type="dxa"/>
                  <w:vAlign w:val="center"/>
                </w:tcPr>
                <w:p>
                  <w:pPr>
                    <w:adjustRightInd w:val="0"/>
                    <w:snapToGrid w:val="0"/>
                    <w:jc w:val="center"/>
                    <w:rPr>
                      <w:bCs/>
                      <w:color w:val="auto"/>
                      <w:szCs w:val="21"/>
                    </w:rPr>
                  </w:pPr>
                  <w:r>
                    <w:rPr>
                      <w:rFonts w:hint="eastAsia"/>
                      <w:bCs/>
                      <w:color w:val="auto"/>
                      <w:szCs w:val="21"/>
                    </w:rPr>
                    <w:t>/</w:t>
                  </w:r>
                </w:p>
              </w:tc>
              <w:tc>
                <w:tcPr>
                  <w:tcW w:w="3965" w:type="dxa"/>
                  <w:vAlign w:val="center"/>
                </w:tcPr>
                <w:p>
                  <w:pPr>
                    <w:adjustRightInd w:val="0"/>
                    <w:snapToGrid w:val="0"/>
                    <w:jc w:val="center"/>
                    <w:rPr>
                      <w:bCs/>
                      <w:color w:val="auto"/>
                      <w:szCs w:val="21"/>
                    </w:rPr>
                  </w:pPr>
                  <w:r>
                    <w:rPr>
                      <w:rFonts w:hint="eastAsia"/>
                      <w:bCs/>
                      <w:color w:val="auto"/>
                      <w:szCs w:val="21"/>
                    </w:rPr>
                    <w:t>工业企业厂界环境噪声排放标准》</w:t>
                  </w:r>
                </w:p>
                <w:p>
                  <w:pPr>
                    <w:adjustRightInd w:val="0"/>
                    <w:snapToGrid w:val="0"/>
                    <w:jc w:val="center"/>
                    <w:rPr>
                      <w:bCs/>
                      <w:color w:val="auto"/>
                      <w:szCs w:val="21"/>
                    </w:rPr>
                  </w:pPr>
                  <w:r>
                    <w:rPr>
                      <w:rFonts w:hint="eastAsia"/>
                      <w:bCs/>
                      <w:color w:val="auto"/>
                      <w:szCs w:val="21"/>
                    </w:rPr>
                    <w:t>（GB12348-2008）2类标准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restart"/>
                  <w:vAlign w:val="center"/>
                </w:tcPr>
                <w:p>
                  <w:pPr>
                    <w:adjustRightInd w:val="0"/>
                    <w:snapToGrid w:val="0"/>
                    <w:jc w:val="center"/>
                    <w:rPr>
                      <w:bCs/>
                      <w:color w:val="auto"/>
                      <w:szCs w:val="21"/>
                    </w:rPr>
                  </w:pPr>
                  <w:r>
                    <w:rPr>
                      <w:rFonts w:hint="eastAsia"/>
                      <w:bCs/>
                      <w:color w:val="auto"/>
                      <w:szCs w:val="21"/>
                    </w:rPr>
                    <w:t>固废</w:t>
                  </w:r>
                </w:p>
              </w:tc>
              <w:tc>
                <w:tcPr>
                  <w:tcW w:w="1418" w:type="dxa"/>
                  <w:vAlign w:val="center"/>
                </w:tcPr>
                <w:p>
                  <w:pPr>
                    <w:adjustRightInd w:val="0"/>
                    <w:snapToGrid w:val="0"/>
                    <w:jc w:val="center"/>
                    <w:rPr>
                      <w:bCs/>
                      <w:color w:val="auto"/>
                      <w:szCs w:val="21"/>
                    </w:rPr>
                  </w:pPr>
                  <w:r>
                    <w:rPr>
                      <w:rFonts w:hint="eastAsia"/>
                      <w:bCs/>
                      <w:color w:val="auto"/>
                      <w:szCs w:val="21"/>
                    </w:rPr>
                    <w:t>生活垃圾</w:t>
                  </w:r>
                </w:p>
              </w:tc>
              <w:tc>
                <w:tcPr>
                  <w:tcW w:w="1275" w:type="dxa"/>
                  <w:vAlign w:val="center"/>
                </w:tcPr>
                <w:p>
                  <w:pPr>
                    <w:adjustRightInd w:val="0"/>
                    <w:snapToGrid w:val="0"/>
                    <w:jc w:val="center"/>
                    <w:rPr>
                      <w:bCs/>
                      <w:color w:val="auto"/>
                      <w:szCs w:val="21"/>
                    </w:rPr>
                  </w:pPr>
                  <w:r>
                    <w:rPr>
                      <w:rFonts w:hint="eastAsia"/>
                      <w:bCs/>
                      <w:color w:val="auto"/>
                      <w:szCs w:val="21"/>
                    </w:rPr>
                    <w:t>垃圾收集桶</w:t>
                  </w:r>
                </w:p>
              </w:tc>
              <w:tc>
                <w:tcPr>
                  <w:tcW w:w="709" w:type="dxa"/>
                  <w:vAlign w:val="center"/>
                </w:tcPr>
                <w:p>
                  <w:pPr>
                    <w:adjustRightInd w:val="0"/>
                    <w:snapToGrid w:val="0"/>
                    <w:jc w:val="center"/>
                    <w:rPr>
                      <w:bCs/>
                      <w:color w:val="auto"/>
                      <w:szCs w:val="21"/>
                    </w:rPr>
                  </w:pPr>
                  <w:r>
                    <w:rPr>
                      <w:rFonts w:hint="eastAsia"/>
                      <w:bCs/>
                      <w:color w:val="auto"/>
                      <w:szCs w:val="21"/>
                    </w:rPr>
                    <w:t>若干</w:t>
                  </w:r>
                </w:p>
              </w:tc>
              <w:tc>
                <w:tcPr>
                  <w:tcW w:w="3965" w:type="dxa"/>
                  <w:vAlign w:val="center"/>
                </w:tcPr>
                <w:p>
                  <w:pPr>
                    <w:adjustRightInd w:val="0"/>
                    <w:snapToGrid w:val="0"/>
                    <w:jc w:val="center"/>
                    <w:rPr>
                      <w:bCs/>
                      <w:color w:val="auto"/>
                      <w:szCs w:val="21"/>
                    </w:rPr>
                  </w:pPr>
                  <w:r>
                    <w:rPr>
                      <w:color w:val="auto"/>
                    </w:rPr>
                    <w:t>收集后定期运至环卫部门指定地点处置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continue"/>
                  <w:vAlign w:val="center"/>
                </w:tcPr>
                <w:p>
                  <w:pPr>
                    <w:adjustRightInd w:val="0"/>
                    <w:snapToGrid w:val="0"/>
                    <w:jc w:val="center"/>
                    <w:rPr>
                      <w:bCs/>
                      <w:color w:val="auto"/>
                      <w:szCs w:val="21"/>
                    </w:rPr>
                  </w:pPr>
                </w:p>
              </w:tc>
              <w:tc>
                <w:tcPr>
                  <w:tcW w:w="1418" w:type="dxa"/>
                  <w:vAlign w:val="center"/>
                </w:tcPr>
                <w:p>
                  <w:pPr>
                    <w:adjustRightInd w:val="0"/>
                    <w:snapToGrid w:val="0"/>
                    <w:jc w:val="center"/>
                    <w:rPr>
                      <w:bCs/>
                      <w:color w:val="auto"/>
                      <w:szCs w:val="21"/>
                    </w:rPr>
                  </w:pPr>
                  <w:r>
                    <w:rPr>
                      <w:rFonts w:hint="eastAsia"/>
                      <w:bCs/>
                      <w:color w:val="auto"/>
                      <w:szCs w:val="21"/>
                    </w:rPr>
                    <w:t>沉淀池沉渣</w:t>
                  </w:r>
                </w:p>
              </w:tc>
              <w:tc>
                <w:tcPr>
                  <w:tcW w:w="1275" w:type="dxa"/>
                  <w:vAlign w:val="center"/>
                </w:tcPr>
                <w:p>
                  <w:pPr>
                    <w:adjustRightInd w:val="0"/>
                    <w:snapToGrid w:val="0"/>
                    <w:jc w:val="center"/>
                    <w:rPr>
                      <w:bCs/>
                      <w:color w:val="auto"/>
                      <w:szCs w:val="21"/>
                    </w:rPr>
                  </w:pPr>
                  <w:r>
                    <w:rPr>
                      <w:rFonts w:hint="eastAsia"/>
                      <w:bCs/>
                      <w:color w:val="auto"/>
                      <w:szCs w:val="21"/>
                    </w:rPr>
                    <w:t>/</w:t>
                  </w:r>
                </w:p>
              </w:tc>
              <w:tc>
                <w:tcPr>
                  <w:tcW w:w="709" w:type="dxa"/>
                  <w:vAlign w:val="center"/>
                </w:tcPr>
                <w:p>
                  <w:pPr>
                    <w:adjustRightInd w:val="0"/>
                    <w:snapToGrid w:val="0"/>
                    <w:jc w:val="center"/>
                    <w:rPr>
                      <w:bCs/>
                      <w:color w:val="auto"/>
                      <w:szCs w:val="21"/>
                    </w:rPr>
                  </w:pPr>
                  <w:r>
                    <w:rPr>
                      <w:rFonts w:hint="eastAsia"/>
                      <w:bCs/>
                      <w:color w:val="auto"/>
                      <w:szCs w:val="21"/>
                    </w:rPr>
                    <w:t>/</w:t>
                  </w:r>
                </w:p>
              </w:tc>
              <w:tc>
                <w:tcPr>
                  <w:tcW w:w="3965" w:type="dxa"/>
                  <w:vAlign w:val="center"/>
                </w:tcPr>
                <w:p>
                  <w:pPr>
                    <w:adjustRightInd w:val="0"/>
                    <w:snapToGrid w:val="0"/>
                    <w:jc w:val="center"/>
                    <w:rPr>
                      <w:bCs/>
                      <w:color w:val="auto"/>
                      <w:szCs w:val="21"/>
                    </w:rPr>
                  </w:pPr>
                  <w:r>
                    <w:rPr>
                      <w:color w:val="auto"/>
                      <w:szCs w:val="21"/>
                    </w:rPr>
                    <w:t>回填到本</w:t>
                  </w:r>
                  <w:r>
                    <w:rPr>
                      <w:rFonts w:hint="eastAsia"/>
                      <w:color w:val="auto"/>
                      <w:szCs w:val="21"/>
                      <w:lang w:eastAsia="zh-CN"/>
                    </w:rPr>
                    <w:t>工程</w:t>
                  </w:r>
                  <w:r>
                    <w:rPr>
                      <w:color w:val="auto"/>
                      <w:szCs w:val="21"/>
                    </w:rPr>
                    <w:t>堆填区进行堆填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Merge w:val="continue"/>
                  <w:vAlign w:val="center"/>
                </w:tcPr>
                <w:p>
                  <w:pPr>
                    <w:adjustRightInd w:val="0"/>
                    <w:snapToGrid w:val="0"/>
                    <w:jc w:val="center"/>
                    <w:rPr>
                      <w:bCs/>
                      <w:color w:val="auto"/>
                      <w:szCs w:val="21"/>
                    </w:rPr>
                  </w:pPr>
                </w:p>
              </w:tc>
              <w:tc>
                <w:tcPr>
                  <w:tcW w:w="1418" w:type="dxa"/>
                  <w:vAlign w:val="center"/>
                </w:tcPr>
                <w:p>
                  <w:pPr>
                    <w:adjustRightInd w:val="0"/>
                    <w:snapToGrid w:val="0"/>
                    <w:jc w:val="center"/>
                    <w:rPr>
                      <w:bCs/>
                      <w:color w:val="auto"/>
                      <w:szCs w:val="21"/>
                    </w:rPr>
                  </w:pPr>
                  <w:r>
                    <w:rPr>
                      <w:rFonts w:hint="eastAsia"/>
                      <w:bCs/>
                      <w:color w:val="auto"/>
                      <w:szCs w:val="21"/>
                    </w:rPr>
                    <w:t>废机油</w:t>
                  </w:r>
                </w:p>
              </w:tc>
              <w:tc>
                <w:tcPr>
                  <w:tcW w:w="1275" w:type="dxa"/>
                  <w:vAlign w:val="center"/>
                </w:tcPr>
                <w:p>
                  <w:pPr>
                    <w:adjustRightInd w:val="0"/>
                    <w:snapToGrid w:val="0"/>
                    <w:jc w:val="center"/>
                    <w:rPr>
                      <w:bCs/>
                      <w:color w:val="auto"/>
                      <w:szCs w:val="21"/>
                    </w:rPr>
                  </w:pPr>
                  <w:r>
                    <w:rPr>
                      <w:rFonts w:hint="eastAsia"/>
                      <w:bCs/>
                      <w:color w:val="auto"/>
                      <w:szCs w:val="21"/>
                    </w:rPr>
                    <w:t>危险废物暂存间</w:t>
                  </w:r>
                </w:p>
              </w:tc>
              <w:tc>
                <w:tcPr>
                  <w:tcW w:w="709" w:type="dxa"/>
                  <w:vAlign w:val="center"/>
                </w:tcPr>
                <w:p>
                  <w:pPr>
                    <w:adjustRightInd w:val="0"/>
                    <w:snapToGrid w:val="0"/>
                    <w:jc w:val="center"/>
                    <w:rPr>
                      <w:bCs/>
                      <w:color w:val="auto"/>
                      <w:szCs w:val="21"/>
                    </w:rPr>
                  </w:pPr>
                  <w:r>
                    <w:rPr>
                      <w:rFonts w:hint="eastAsia"/>
                      <w:bCs/>
                      <w:color w:val="auto"/>
                      <w:szCs w:val="21"/>
                    </w:rPr>
                    <w:t>1座</w:t>
                  </w:r>
                </w:p>
              </w:tc>
              <w:tc>
                <w:tcPr>
                  <w:tcW w:w="3965" w:type="dxa"/>
                  <w:vAlign w:val="center"/>
                </w:tcPr>
                <w:p>
                  <w:pPr>
                    <w:adjustRightInd w:val="0"/>
                    <w:snapToGrid w:val="0"/>
                    <w:jc w:val="center"/>
                    <w:rPr>
                      <w:bCs/>
                      <w:color w:val="auto"/>
                      <w:szCs w:val="21"/>
                    </w:rPr>
                  </w:pPr>
                  <w:r>
                    <w:rPr>
                      <w:rFonts w:hint="eastAsia"/>
                      <w:bCs/>
                      <w:color w:val="auto"/>
                      <w:szCs w:val="21"/>
                    </w:rPr>
                    <w:t>《危险废物贮存污染控制标准》</w:t>
                  </w:r>
                </w:p>
                <w:p>
                  <w:pPr>
                    <w:adjustRightInd w:val="0"/>
                    <w:snapToGrid w:val="0"/>
                    <w:jc w:val="center"/>
                    <w:rPr>
                      <w:bCs/>
                      <w:color w:val="auto"/>
                      <w:szCs w:val="21"/>
                    </w:rPr>
                  </w:pPr>
                  <w:r>
                    <w:rPr>
                      <w:rFonts w:hint="eastAsia"/>
                      <w:bCs/>
                      <w:color w:val="auto"/>
                      <w:szCs w:val="21"/>
                    </w:rPr>
                    <w:t>（GB18597-2001）及其修改单（环保部</w:t>
                  </w:r>
                </w:p>
                <w:p>
                  <w:pPr>
                    <w:adjustRightInd w:val="0"/>
                    <w:snapToGrid w:val="0"/>
                    <w:jc w:val="center"/>
                    <w:rPr>
                      <w:bCs/>
                      <w:color w:val="auto"/>
                      <w:szCs w:val="21"/>
                    </w:rPr>
                  </w:pPr>
                  <w:r>
                    <w:rPr>
                      <w:rFonts w:hint="eastAsia"/>
                      <w:bCs/>
                      <w:color w:val="auto"/>
                      <w:szCs w:val="21"/>
                    </w:rPr>
                    <w:t>公告2013年36号）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vAlign w:val="center"/>
                </w:tcPr>
                <w:p>
                  <w:pPr>
                    <w:adjustRightInd w:val="0"/>
                    <w:snapToGrid w:val="0"/>
                    <w:jc w:val="center"/>
                    <w:rPr>
                      <w:bCs/>
                      <w:color w:val="auto"/>
                      <w:szCs w:val="21"/>
                    </w:rPr>
                  </w:pPr>
                  <w:r>
                    <w:rPr>
                      <w:rFonts w:hint="eastAsia"/>
                      <w:bCs/>
                      <w:color w:val="auto"/>
                      <w:szCs w:val="21"/>
                    </w:rPr>
                    <w:t>生态</w:t>
                  </w:r>
                </w:p>
              </w:tc>
              <w:tc>
                <w:tcPr>
                  <w:tcW w:w="1418" w:type="dxa"/>
                  <w:vAlign w:val="center"/>
                </w:tcPr>
                <w:p>
                  <w:pPr>
                    <w:adjustRightInd w:val="0"/>
                    <w:snapToGrid w:val="0"/>
                    <w:jc w:val="center"/>
                    <w:rPr>
                      <w:bCs/>
                      <w:color w:val="auto"/>
                      <w:szCs w:val="21"/>
                    </w:rPr>
                  </w:pPr>
                  <w:r>
                    <w:rPr>
                      <w:rFonts w:hint="eastAsia"/>
                      <w:bCs/>
                      <w:color w:val="auto"/>
                      <w:szCs w:val="21"/>
                    </w:rPr>
                    <w:t>绿化</w:t>
                  </w:r>
                </w:p>
              </w:tc>
              <w:tc>
                <w:tcPr>
                  <w:tcW w:w="5949" w:type="dxa"/>
                  <w:gridSpan w:val="3"/>
                  <w:vAlign w:val="center"/>
                </w:tcPr>
                <w:p>
                  <w:pPr>
                    <w:adjustRightInd w:val="0"/>
                    <w:snapToGrid w:val="0"/>
                    <w:jc w:val="center"/>
                    <w:rPr>
                      <w:bCs/>
                      <w:color w:val="auto"/>
                      <w:szCs w:val="21"/>
                    </w:rPr>
                  </w:pPr>
                  <w:r>
                    <w:rPr>
                      <w:color w:val="auto"/>
                      <w:kern w:val="0"/>
                      <w:szCs w:val="21"/>
                    </w:rPr>
                    <w:t>生产管理区</w:t>
                  </w:r>
                  <w:r>
                    <w:rPr>
                      <w:color w:val="auto"/>
                    </w:rPr>
                    <w:t>进行绿化，堆填区周围设置5m宽绿化隔离带，封场后对整个堆填区进行覆土绿化。</w:t>
                  </w:r>
                </w:p>
              </w:tc>
            </w:tr>
          </w:tbl>
          <w:p>
            <w:pPr>
              <w:adjustRightInd w:val="0"/>
              <w:snapToGrid w:val="0"/>
              <w:spacing w:line="360" w:lineRule="auto"/>
              <w:ind w:firstLine="420" w:firstLineChars="200"/>
              <w:jc w:val="center"/>
              <w:rPr>
                <w:bCs/>
                <w:szCs w:val="21"/>
              </w:rPr>
            </w:pPr>
          </w:p>
          <w:p>
            <w:pPr>
              <w:adjustRightInd w:val="0"/>
              <w:snapToGrid w:val="0"/>
              <w:spacing w:line="360" w:lineRule="auto"/>
              <w:ind w:firstLine="422" w:firstLineChars="200"/>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37" w:hRule="atLeast"/>
          <w:jc w:val="center"/>
        </w:trPr>
        <w:tc>
          <w:tcPr>
            <w:tcW w:w="753" w:type="dxa"/>
            <w:vAlign w:val="center"/>
          </w:tcPr>
          <w:p>
            <w:pPr>
              <w:adjustRightInd w:val="0"/>
              <w:snapToGrid w:val="0"/>
              <w:jc w:val="center"/>
              <w:rPr>
                <w:bCs/>
                <w:szCs w:val="21"/>
              </w:rPr>
            </w:pPr>
            <w:r>
              <w:rPr>
                <w:bCs/>
                <w:sz w:val="24"/>
                <w:szCs w:val="24"/>
              </w:rPr>
              <w:t>环保投资</w:t>
            </w:r>
          </w:p>
        </w:tc>
        <w:tc>
          <w:tcPr>
            <w:tcW w:w="8457" w:type="dxa"/>
          </w:tcPr>
          <w:p>
            <w:pPr>
              <w:adjustRightInd w:val="0"/>
              <w:snapToGrid w:val="0"/>
              <w:spacing w:line="360" w:lineRule="auto"/>
              <w:ind w:firstLine="480" w:firstLineChars="200"/>
              <w:rPr>
                <w:bCs/>
                <w:sz w:val="24"/>
                <w:szCs w:val="24"/>
              </w:rPr>
            </w:pPr>
            <w:r>
              <w:rPr>
                <w:rFonts w:hint="eastAsia"/>
                <w:bCs/>
                <w:sz w:val="24"/>
                <w:szCs w:val="24"/>
              </w:rPr>
              <w:t>本</w:t>
            </w:r>
            <w:r>
              <w:rPr>
                <w:rFonts w:hint="eastAsia"/>
                <w:bCs/>
                <w:sz w:val="24"/>
                <w:szCs w:val="24"/>
                <w:lang w:eastAsia="zh-CN"/>
              </w:rPr>
              <w:t>工程</w:t>
            </w:r>
            <w:r>
              <w:rPr>
                <w:rFonts w:hint="eastAsia"/>
                <w:bCs/>
                <w:sz w:val="24"/>
                <w:szCs w:val="24"/>
              </w:rPr>
              <w:t>总投资为660.95万元，其中环保投资为130.05万元，占总投资的19.68%，环保投资一览表见表5-4。</w:t>
            </w:r>
          </w:p>
          <w:p>
            <w:pPr>
              <w:adjustRightInd w:val="0"/>
              <w:snapToGrid w:val="0"/>
              <w:jc w:val="center"/>
              <w:rPr>
                <w:bCs/>
                <w:color w:val="auto"/>
                <w:szCs w:val="21"/>
              </w:rPr>
            </w:pPr>
            <w:r>
              <w:rPr>
                <w:rFonts w:hint="eastAsia"/>
                <w:bCs/>
                <w:color w:val="auto"/>
                <w:szCs w:val="21"/>
              </w:rPr>
              <w:t>表5-4环保投资一览表</w:t>
            </w:r>
          </w:p>
          <w:tbl>
            <w:tblPr>
              <w:tblStyle w:val="23"/>
              <w:tblW w:w="8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4111"/>
              <w:gridCol w:w="113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Align w:val="center"/>
                </w:tcPr>
                <w:p>
                  <w:pPr>
                    <w:adjustRightInd w:val="0"/>
                    <w:snapToGrid w:val="0"/>
                    <w:jc w:val="center"/>
                    <w:rPr>
                      <w:bCs/>
                      <w:color w:val="auto"/>
                      <w:szCs w:val="21"/>
                    </w:rPr>
                  </w:pPr>
                  <w:r>
                    <w:rPr>
                      <w:rFonts w:hint="eastAsia"/>
                      <w:bCs/>
                      <w:color w:val="auto"/>
                      <w:szCs w:val="21"/>
                    </w:rPr>
                    <w:t>类别</w:t>
                  </w:r>
                </w:p>
              </w:tc>
              <w:tc>
                <w:tcPr>
                  <w:tcW w:w="4111" w:type="dxa"/>
                  <w:vAlign w:val="center"/>
                </w:tcPr>
                <w:p>
                  <w:pPr>
                    <w:adjustRightInd w:val="0"/>
                    <w:snapToGrid w:val="0"/>
                    <w:jc w:val="center"/>
                    <w:rPr>
                      <w:bCs/>
                      <w:color w:val="auto"/>
                      <w:szCs w:val="21"/>
                    </w:rPr>
                  </w:pPr>
                  <w:r>
                    <w:rPr>
                      <w:rFonts w:hint="eastAsia"/>
                      <w:bCs/>
                      <w:color w:val="auto"/>
                      <w:szCs w:val="21"/>
                    </w:rPr>
                    <w:t>措施内容</w:t>
                  </w:r>
                </w:p>
              </w:tc>
              <w:tc>
                <w:tcPr>
                  <w:tcW w:w="1134" w:type="dxa"/>
                  <w:vAlign w:val="center"/>
                </w:tcPr>
                <w:p>
                  <w:pPr>
                    <w:adjustRightInd w:val="0"/>
                    <w:snapToGrid w:val="0"/>
                    <w:jc w:val="center"/>
                    <w:rPr>
                      <w:bCs/>
                      <w:color w:val="auto"/>
                      <w:szCs w:val="21"/>
                    </w:rPr>
                  </w:pPr>
                  <w:r>
                    <w:rPr>
                      <w:rFonts w:hint="eastAsia"/>
                      <w:bCs/>
                      <w:color w:val="auto"/>
                      <w:szCs w:val="21"/>
                    </w:rPr>
                    <w:t>数量</w:t>
                  </w:r>
                </w:p>
              </w:tc>
              <w:tc>
                <w:tcPr>
                  <w:tcW w:w="1984" w:type="dxa"/>
                  <w:vAlign w:val="center"/>
                </w:tcPr>
                <w:p>
                  <w:pPr>
                    <w:adjustRightInd w:val="0"/>
                    <w:snapToGrid w:val="0"/>
                    <w:jc w:val="center"/>
                    <w:rPr>
                      <w:bCs/>
                      <w:color w:val="auto"/>
                      <w:szCs w:val="21"/>
                    </w:rPr>
                  </w:pPr>
                  <w:r>
                    <w:rPr>
                      <w:rFonts w:hint="eastAsia"/>
                      <w:bCs/>
                      <w:color w:val="auto"/>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restart"/>
                  <w:vAlign w:val="center"/>
                </w:tcPr>
                <w:p>
                  <w:pPr>
                    <w:adjustRightInd w:val="0"/>
                    <w:snapToGrid w:val="0"/>
                    <w:jc w:val="center"/>
                    <w:rPr>
                      <w:bCs/>
                      <w:color w:val="auto"/>
                      <w:szCs w:val="21"/>
                    </w:rPr>
                  </w:pPr>
                  <w:r>
                    <w:rPr>
                      <w:rFonts w:hint="eastAsia"/>
                      <w:bCs/>
                      <w:color w:val="auto"/>
                      <w:szCs w:val="21"/>
                    </w:rPr>
                    <w:t>废气</w:t>
                  </w:r>
                </w:p>
              </w:tc>
              <w:tc>
                <w:tcPr>
                  <w:tcW w:w="4111" w:type="dxa"/>
                  <w:vAlign w:val="center"/>
                </w:tcPr>
                <w:p>
                  <w:pPr>
                    <w:adjustRightInd w:val="0"/>
                    <w:snapToGrid w:val="0"/>
                    <w:jc w:val="center"/>
                    <w:rPr>
                      <w:bCs/>
                      <w:color w:val="auto"/>
                      <w:szCs w:val="21"/>
                    </w:rPr>
                  </w:pPr>
                  <w:r>
                    <w:rPr>
                      <w:rFonts w:hint="eastAsia"/>
                      <w:bCs/>
                      <w:color w:val="auto"/>
                      <w:szCs w:val="21"/>
                    </w:rPr>
                    <w:t>洒水车</w:t>
                  </w:r>
                </w:p>
              </w:tc>
              <w:tc>
                <w:tcPr>
                  <w:tcW w:w="1134" w:type="dxa"/>
                  <w:vAlign w:val="center"/>
                </w:tcPr>
                <w:p>
                  <w:pPr>
                    <w:adjustRightInd w:val="0"/>
                    <w:snapToGrid w:val="0"/>
                    <w:jc w:val="center"/>
                    <w:rPr>
                      <w:bCs/>
                      <w:color w:val="auto"/>
                      <w:szCs w:val="21"/>
                    </w:rPr>
                  </w:pPr>
                  <w:r>
                    <w:rPr>
                      <w:rFonts w:hint="eastAsia"/>
                      <w:bCs/>
                      <w:color w:val="auto"/>
                      <w:szCs w:val="21"/>
                    </w:rPr>
                    <w:t>1辆</w:t>
                  </w:r>
                </w:p>
              </w:tc>
              <w:tc>
                <w:tcPr>
                  <w:tcW w:w="1984" w:type="dxa"/>
                  <w:vAlign w:val="center"/>
                </w:tcPr>
                <w:p>
                  <w:pPr>
                    <w:adjustRightInd w:val="0"/>
                    <w:snapToGrid w:val="0"/>
                    <w:jc w:val="center"/>
                    <w:rPr>
                      <w:bCs/>
                      <w:color w:val="auto"/>
                      <w:szCs w:val="21"/>
                    </w:rPr>
                  </w:pPr>
                  <w:r>
                    <w:rPr>
                      <w:rFonts w:hint="eastAsia"/>
                      <w:bCs/>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continue"/>
                  <w:vAlign w:val="center"/>
                </w:tcPr>
                <w:p>
                  <w:pPr>
                    <w:adjustRightInd w:val="0"/>
                    <w:snapToGrid w:val="0"/>
                    <w:jc w:val="center"/>
                    <w:rPr>
                      <w:bCs/>
                      <w:color w:val="auto"/>
                      <w:szCs w:val="21"/>
                    </w:rPr>
                  </w:pPr>
                </w:p>
              </w:tc>
              <w:tc>
                <w:tcPr>
                  <w:tcW w:w="4111" w:type="dxa"/>
                  <w:vAlign w:val="center"/>
                </w:tcPr>
                <w:p>
                  <w:pPr>
                    <w:adjustRightInd w:val="0"/>
                    <w:snapToGrid w:val="0"/>
                    <w:jc w:val="center"/>
                    <w:rPr>
                      <w:bCs/>
                      <w:color w:val="auto"/>
                      <w:szCs w:val="21"/>
                    </w:rPr>
                  </w:pPr>
                  <w:r>
                    <w:rPr>
                      <w:rFonts w:hint="eastAsia"/>
                      <w:bCs/>
                      <w:color w:val="auto"/>
                      <w:szCs w:val="21"/>
                    </w:rPr>
                    <w:t>防风抑尘网、覆盖措施</w:t>
                  </w:r>
                </w:p>
              </w:tc>
              <w:tc>
                <w:tcPr>
                  <w:tcW w:w="1134" w:type="dxa"/>
                  <w:vAlign w:val="center"/>
                </w:tcPr>
                <w:p>
                  <w:pPr>
                    <w:adjustRightInd w:val="0"/>
                    <w:snapToGrid w:val="0"/>
                    <w:jc w:val="center"/>
                    <w:rPr>
                      <w:bCs/>
                      <w:color w:val="auto"/>
                      <w:szCs w:val="21"/>
                    </w:rPr>
                  </w:pPr>
                  <w:r>
                    <w:rPr>
                      <w:rFonts w:hint="eastAsia"/>
                      <w:bCs/>
                      <w:color w:val="auto"/>
                      <w:szCs w:val="21"/>
                    </w:rPr>
                    <w:t>1套</w:t>
                  </w:r>
                </w:p>
              </w:tc>
              <w:tc>
                <w:tcPr>
                  <w:tcW w:w="1984" w:type="dxa"/>
                  <w:vAlign w:val="center"/>
                </w:tcPr>
                <w:p>
                  <w:pPr>
                    <w:adjustRightInd w:val="0"/>
                    <w:snapToGrid w:val="0"/>
                    <w:jc w:val="center"/>
                    <w:rPr>
                      <w:bCs/>
                      <w:color w:val="auto"/>
                      <w:szCs w:val="21"/>
                    </w:rPr>
                  </w:pPr>
                  <w:r>
                    <w:rPr>
                      <w:rFonts w:hint="eastAsia"/>
                      <w:bCs/>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restart"/>
                  <w:vAlign w:val="center"/>
                </w:tcPr>
                <w:p>
                  <w:pPr>
                    <w:adjustRightInd w:val="0"/>
                    <w:snapToGrid w:val="0"/>
                    <w:jc w:val="center"/>
                    <w:rPr>
                      <w:bCs/>
                      <w:color w:val="auto"/>
                      <w:szCs w:val="21"/>
                    </w:rPr>
                  </w:pPr>
                  <w:r>
                    <w:rPr>
                      <w:rFonts w:hint="eastAsia"/>
                      <w:bCs/>
                      <w:color w:val="auto"/>
                      <w:szCs w:val="21"/>
                    </w:rPr>
                    <w:t>废水</w:t>
                  </w:r>
                </w:p>
              </w:tc>
              <w:tc>
                <w:tcPr>
                  <w:tcW w:w="4111" w:type="dxa"/>
                  <w:vAlign w:val="center"/>
                </w:tcPr>
                <w:p>
                  <w:pPr>
                    <w:adjustRightInd w:val="0"/>
                    <w:snapToGrid w:val="0"/>
                    <w:jc w:val="center"/>
                    <w:rPr>
                      <w:bCs/>
                      <w:color w:val="auto"/>
                      <w:szCs w:val="21"/>
                    </w:rPr>
                  </w:pPr>
                  <w:r>
                    <w:rPr>
                      <w:rFonts w:hint="eastAsia"/>
                      <w:bCs/>
                      <w:color w:val="auto"/>
                      <w:szCs w:val="21"/>
                    </w:rPr>
                    <w:t>截洪沟</w:t>
                  </w:r>
                </w:p>
              </w:tc>
              <w:tc>
                <w:tcPr>
                  <w:tcW w:w="1134" w:type="dxa"/>
                  <w:vAlign w:val="center"/>
                </w:tcPr>
                <w:p>
                  <w:pPr>
                    <w:adjustRightInd w:val="0"/>
                    <w:snapToGrid w:val="0"/>
                    <w:jc w:val="center"/>
                    <w:rPr>
                      <w:bCs/>
                      <w:color w:val="auto"/>
                      <w:szCs w:val="21"/>
                    </w:rPr>
                  </w:pPr>
                  <w:r>
                    <w:rPr>
                      <w:rFonts w:hint="eastAsia"/>
                      <w:bCs/>
                      <w:color w:val="auto"/>
                      <w:szCs w:val="21"/>
                    </w:rPr>
                    <w:t>1套</w:t>
                  </w:r>
                </w:p>
              </w:tc>
              <w:tc>
                <w:tcPr>
                  <w:tcW w:w="1984" w:type="dxa"/>
                  <w:vAlign w:val="center"/>
                </w:tcPr>
                <w:p>
                  <w:pPr>
                    <w:adjustRightInd w:val="0"/>
                    <w:snapToGrid w:val="0"/>
                    <w:jc w:val="center"/>
                    <w:rPr>
                      <w:bCs/>
                      <w:color w:val="auto"/>
                      <w:szCs w:val="21"/>
                    </w:rPr>
                  </w:pPr>
                  <w:r>
                    <w:rPr>
                      <w:rFonts w:hint="eastAsia"/>
                      <w:bCs/>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continue"/>
                  <w:vAlign w:val="center"/>
                </w:tcPr>
                <w:p>
                  <w:pPr>
                    <w:adjustRightInd w:val="0"/>
                    <w:snapToGrid w:val="0"/>
                    <w:jc w:val="center"/>
                    <w:rPr>
                      <w:bCs/>
                      <w:color w:val="auto"/>
                      <w:szCs w:val="21"/>
                    </w:rPr>
                  </w:pPr>
                </w:p>
              </w:tc>
              <w:tc>
                <w:tcPr>
                  <w:tcW w:w="4111" w:type="dxa"/>
                  <w:vAlign w:val="center"/>
                </w:tcPr>
                <w:p>
                  <w:pPr>
                    <w:adjustRightInd w:val="0"/>
                    <w:snapToGrid w:val="0"/>
                    <w:jc w:val="center"/>
                    <w:rPr>
                      <w:bCs/>
                      <w:color w:val="auto"/>
                      <w:szCs w:val="21"/>
                    </w:rPr>
                  </w:pPr>
                  <w:r>
                    <w:rPr>
                      <w:color w:val="auto"/>
                      <w:kern w:val="0"/>
                      <w:szCs w:val="21"/>
                    </w:rPr>
                    <w:t>三级沉淀池</w:t>
                  </w:r>
                </w:p>
              </w:tc>
              <w:tc>
                <w:tcPr>
                  <w:tcW w:w="1134" w:type="dxa"/>
                  <w:vAlign w:val="center"/>
                </w:tcPr>
                <w:p>
                  <w:pPr>
                    <w:adjustRightInd w:val="0"/>
                    <w:snapToGrid w:val="0"/>
                    <w:jc w:val="center"/>
                    <w:rPr>
                      <w:bCs/>
                      <w:color w:val="auto"/>
                      <w:szCs w:val="21"/>
                    </w:rPr>
                  </w:pPr>
                  <w:r>
                    <w:rPr>
                      <w:rFonts w:hint="eastAsia"/>
                      <w:bCs/>
                      <w:color w:val="auto"/>
                      <w:szCs w:val="21"/>
                    </w:rPr>
                    <w:t>1座</w:t>
                  </w:r>
                </w:p>
              </w:tc>
              <w:tc>
                <w:tcPr>
                  <w:tcW w:w="1984" w:type="dxa"/>
                  <w:vAlign w:val="center"/>
                </w:tcPr>
                <w:p>
                  <w:pPr>
                    <w:adjustRightInd w:val="0"/>
                    <w:snapToGrid w:val="0"/>
                    <w:jc w:val="center"/>
                    <w:rPr>
                      <w:bCs/>
                      <w:color w:val="auto"/>
                      <w:szCs w:val="21"/>
                    </w:rPr>
                  </w:pPr>
                  <w:r>
                    <w:rPr>
                      <w:rFonts w:hint="eastAsia"/>
                      <w:bCs/>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continue"/>
                  <w:vAlign w:val="center"/>
                </w:tcPr>
                <w:p>
                  <w:pPr>
                    <w:adjustRightInd w:val="0"/>
                    <w:snapToGrid w:val="0"/>
                    <w:jc w:val="center"/>
                    <w:rPr>
                      <w:bCs/>
                      <w:color w:val="auto"/>
                      <w:szCs w:val="21"/>
                    </w:rPr>
                  </w:pPr>
                </w:p>
              </w:tc>
              <w:tc>
                <w:tcPr>
                  <w:tcW w:w="4111" w:type="dxa"/>
                  <w:vAlign w:val="center"/>
                </w:tcPr>
                <w:p>
                  <w:pPr>
                    <w:adjustRightInd w:val="0"/>
                    <w:snapToGrid w:val="0"/>
                    <w:jc w:val="center"/>
                    <w:rPr>
                      <w:bCs/>
                      <w:color w:val="auto"/>
                      <w:szCs w:val="21"/>
                    </w:rPr>
                  </w:pPr>
                  <w:r>
                    <w:rPr>
                      <w:rFonts w:hint="eastAsia"/>
                      <w:bCs/>
                      <w:color w:val="auto"/>
                      <w:szCs w:val="21"/>
                    </w:rPr>
                    <w:t>导排系统</w:t>
                  </w:r>
                </w:p>
              </w:tc>
              <w:tc>
                <w:tcPr>
                  <w:tcW w:w="1134" w:type="dxa"/>
                  <w:vAlign w:val="center"/>
                </w:tcPr>
                <w:p>
                  <w:pPr>
                    <w:adjustRightInd w:val="0"/>
                    <w:snapToGrid w:val="0"/>
                    <w:jc w:val="center"/>
                    <w:rPr>
                      <w:bCs/>
                      <w:color w:val="auto"/>
                      <w:szCs w:val="21"/>
                    </w:rPr>
                  </w:pPr>
                  <w:r>
                    <w:rPr>
                      <w:rFonts w:hint="eastAsia"/>
                      <w:bCs/>
                      <w:color w:val="auto"/>
                      <w:szCs w:val="21"/>
                    </w:rPr>
                    <w:t>1套</w:t>
                  </w:r>
                </w:p>
              </w:tc>
              <w:tc>
                <w:tcPr>
                  <w:tcW w:w="1984" w:type="dxa"/>
                  <w:vAlign w:val="center"/>
                </w:tcPr>
                <w:p>
                  <w:pPr>
                    <w:adjustRightInd w:val="0"/>
                    <w:snapToGrid w:val="0"/>
                    <w:jc w:val="center"/>
                    <w:rPr>
                      <w:bCs/>
                      <w:color w:val="auto"/>
                      <w:szCs w:val="21"/>
                    </w:rPr>
                  </w:pPr>
                  <w:r>
                    <w:rPr>
                      <w:rFonts w:hint="eastAsia"/>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continue"/>
                  <w:vAlign w:val="center"/>
                </w:tcPr>
                <w:p>
                  <w:pPr>
                    <w:adjustRightInd w:val="0"/>
                    <w:snapToGrid w:val="0"/>
                    <w:jc w:val="center"/>
                    <w:rPr>
                      <w:bCs/>
                      <w:color w:val="auto"/>
                      <w:szCs w:val="21"/>
                    </w:rPr>
                  </w:pPr>
                </w:p>
              </w:tc>
              <w:tc>
                <w:tcPr>
                  <w:tcW w:w="4111" w:type="dxa"/>
                  <w:vAlign w:val="center"/>
                </w:tcPr>
                <w:p>
                  <w:pPr>
                    <w:adjustRightInd w:val="0"/>
                    <w:snapToGrid w:val="0"/>
                    <w:jc w:val="center"/>
                    <w:rPr>
                      <w:bCs/>
                      <w:color w:val="auto"/>
                      <w:szCs w:val="21"/>
                    </w:rPr>
                  </w:pPr>
                  <w:r>
                    <w:rPr>
                      <w:rFonts w:hint="eastAsia"/>
                      <w:bCs/>
                      <w:color w:val="auto"/>
                      <w:szCs w:val="21"/>
                    </w:rPr>
                    <w:t>三级沉淀池</w:t>
                  </w:r>
                </w:p>
              </w:tc>
              <w:tc>
                <w:tcPr>
                  <w:tcW w:w="1134" w:type="dxa"/>
                  <w:vAlign w:val="center"/>
                </w:tcPr>
                <w:p>
                  <w:pPr>
                    <w:adjustRightInd w:val="0"/>
                    <w:snapToGrid w:val="0"/>
                    <w:jc w:val="center"/>
                    <w:rPr>
                      <w:bCs/>
                      <w:color w:val="auto"/>
                      <w:szCs w:val="21"/>
                    </w:rPr>
                  </w:pPr>
                  <w:r>
                    <w:rPr>
                      <w:rFonts w:hint="eastAsia"/>
                      <w:bCs/>
                      <w:color w:val="auto"/>
                      <w:szCs w:val="21"/>
                    </w:rPr>
                    <w:t>1座</w:t>
                  </w:r>
                </w:p>
              </w:tc>
              <w:tc>
                <w:tcPr>
                  <w:tcW w:w="1984" w:type="dxa"/>
                  <w:vAlign w:val="center"/>
                </w:tcPr>
                <w:p>
                  <w:pPr>
                    <w:adjustRightInd w:val="0"/>
                    <w:snapToGrid w:val="0"/>
                    <w:jc w:val="center"/>
                    <w:rPr>
                      <w:bCs/>
                      <w:color w:val="auto"/>
                      <w:szCs w:val="21"/>
                    </w:rPr>
                  </w:pPr>
                  <w:r>
                    <w:rPr>
                      <w:rFonts w:hint="eastAsia"/>
                      <w:bCs/>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Align w:val="center"/>
                </w:tcPr>
                <w:p>
                  <w:pPr>
                    <w:adjustRightInd w:val="0"/>
                    <w:snapToGrid w:val="0"/>
                    <w:jc w:val="center"/>
                    <w:rPr>
                      <w:bCs/>
                      <w:color w:val="auto"/>
                      <w:szCs w:val="21"/>
                    </w:rPr>
                  </w:pPr>
                  <w:r>
                    <w:rPr>
                      <w:rFonts w:hint="eastAsia"/>
                      <w:bCs/>
                      <w:color w:val="auto"/>
                      <w:szCs w:val="21"/>
                    </w:rPr>
                    <w:t>噪声</w:t>
                  </w:r>
                </w:p>
              </w:tc>
              <w:tc>
                <w:tcPr>
                  <w:tcW w:w="4111" w:type="dxa"/>
                  <w:vAlign w:val="center"/>
                </w:tcPr>
                <w:p>
                  <w:pPr>
                    <w:adjustRightInd w:val="0"/>
                    <w:snapToGrid w:val="0"/>
                    <w:jc w:val="center"/>
                    <w:rPr>
                      <w:bCs/>
                      <w:color w:val="auto"/>
                      <w:szCs w:val="21"/>
                    </w:rPr>
                  </w:pPr>
                  <w:r>
                    <w:rPr>
                      <w:rFonts w:hint="eastAsia"/>
                      <w:bCs/>
                      <w:color w:val="auto"/>
                      <w:szCs w:val="21"/>
                    </w:rPr>
                    <w:t>减振，选用低噪声设备</w:t>
                  </w:r>
                </w:p>
              </w:tc>
              <w:tc>
                <w:tcPr>
                  <w:tcW w:w="1134" w:type="dxa"/>
                  <w:vAlign w:val="center"/>
                </w:tcPr>
                <w:p>
                  <w:pPr>
                    <w:adjustRightInd w:val="0"/>
                    <w:snapToGrid w:val="0"/>
                    <w:jc w:val="center"/>
                    <w:rPr>
                      <w:bCs/>
                      <w:color w:val="auto"/>
                      <w:szCs w:val="21"/>
                    </w:rPr>
                  </w:pPr>
                  <w:r>
                    <w:rPr>
                      <w:rFonts w:hint="eastAsia"/>
                      <w:bCs/>
                      <w:color w:val="auto"/>
                      <w:szCs w:val="21"/>
                    </w:rPr>
                    <w:t>/</w:t>
                  </w:r>
                </w:p>
              </w:tc>
              <w:tc>
                <w:tcPr>
                  <w:tcW w:w="1984" w:type="dxa"/>
                  <w:vAlign w:val="center"/>
                </w:tcPr>
                <w:p>
                  <w:pPr>
                    <w:adjustRightInd w:val="0"/>
                    <w:snapToGrid w:val="0"/>
                    <w:jc w:val="center"/>
                    <w:rPr>
                      <w:bCs/>
                      <w:color w:val="auto"/>
                      <w:szCs w:val="21"/>
                    </w:rPr>
                  </w:pPr>
                  <w:r>
                    <w:rPr>
                      <w:rFonts w:hint="eastAsia"/>
                      <w:bCs/>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restart"/>
                  <w:vAlign w:val="center"/>
                </w:tcPr>
                <w:p>
                  <w:pPr>
                    <w:adjustRightInd w:val="0"/>
                    <w:snapToGrid w:val="0"/>
                    <w:jc w:val="center"/>
                    <w:rPr>
                      <w:bCs/>
                      <w:color w:val="auto"/>
                      <w:szCs w:val="21"/>
                    </w:rPr>
                  </w:pPr>
                  <w:r>
                    <w:rPr>
                      <w:rFonts w:hint="eastAsia"/>
                      <w:bCs/>
                      <w:color w:val="auto"/>
                      <w:szCs w:val="21"/>
                    </w:rPr>
                    <w:t>固废</w:t>
                  </w:r>
                </w:p>
              </w:tc>
              <w:tc>
                <w:tcPr>
                  <w:tcW w:w="4111" w:type="dxa"/>
                  <w:vAlign w:val="center"/>
                </w:tcPr>
                <w:p>
                  <w:pPr>
                    <w:adjustRightInd w:val="0"/>
                    <w:snapToGrid w:val="0"/>
                    <w:jc w:val="center"/>
                    <w:rPr>
                      <w:bCs/>
                      <w:color w:val="auto"/>
                      <w:szCs w:val="21"/>
                    </w:rPr>
                  </w:pPr>
                  <w:r>
                    <w:rPr>
                      <w:rFonts w:hint="eastAsia"/>
                      <w:bCs/>
                      <w:color w:val="auto"/>
                      <w:szCs w:val="21"/>
                    </w:rPr>
                    <w:t>垃圾收集桶</w:t>
                  </w:r>
                </w:p>
              </w:tc>
              <w:tc>
                <w:tcPr>
                  <w:tcW w:w="1134" w:type="dxa"/>
                  <w:vAlign w:val="center"/>
                </w:tcPr>
                <w:p>
                  <w:pPr>
                    <w:adjustRightInd w:val="0"/>
                    <w:snapToGrid w:val="0"/>
                    <w:jc w:val="center"/>
                    <w:rPr>
                      <w:bCs/>
                      <w:color w:val="auto"/>
                      <w:szCs w:val="21"/>
                    </w:rPr>
                  </w:pPr>
                  <w:r>
                    <w:rPr>
                      <w:rFonts w:hint="eastAsia"/>
                      <w:bCs/>
                      <w:color w:val="auto"/>
                      <w:szCs w:val="21"/>
                    </w:rPr>
                    <w:t>若干</w:t>
                  </w:r>
                </w:p>
              </w:tc>
              <w:tc>
                <w:tcPr>
                  <w:tcW w:w="1984" w:type="dxa"/>
                  <w:vAlign w:val="center"/>
                </w:tcPr>
                <w:p>
                  <w:pPr>
                    <w:adjustRightInd w:val="0"/>
                    <w:snapToGrid w:val="0"/>
                    <w:jc w:val="center"/>
                    <w:rPr>
                      <w:bCs/>
                      <w:color w:val="auto"/>
                      <w:szCs w:val="21"/>
                    </w:rPr>
                  </w:pPr>
                  <w:r>
                    <w:rPr>
                      <w:rFonts w:hint="eastAsia"/>
                      <w:bCs/>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Merge w:val="continue"/>
                  <w:vAlign w:val="center"/>
                </w:tcPr>
                <w:p>
                  <w:pPr>
                    <w:adjustRightInd w:val="0"/>
                    <w:snapToGrid w:val="0"/>
                    <w:jc w:val="center"/>
                    <w:rPr>
                      <w:bCs/>
                      <w:color w:val="auto"/>
                      <w:szCs w:val="21"/>
                    </w:rPr>
                  </w:pPr>
                </w:p>
              </w:tc>
              <w:tc>
                <w:tcPr>
                  <w:tcW w:w="4111" w:type="dxa"/>
                  <w:vAlign w:val="center"/>
                </w:tcPr>
                <w:p>
                  <w:pPr>
                    <w:adjustRightInd w:val="0"/>
                    <w:snapToGrid w:val="0"/>
                    <w:jc w:val="center"/>
                    <w:rPr>
                      <w:bCs/>
                      <w:color w:val="auto"/>
                      <w:szCs w:val="21"/>
                    </w:rPr>
                  </w:pPr>
                  <w:r>
                    <w:rPr>
                      <w:rFonts w:hint="eastAsia"/>
                      <w:bCs/>
                      <w:color w:val="auto"/>
                      <w:szCs w:val="21"/>
                    </w:rPr>
                    <w:t>危险废物暂存间</w:t>
                  </w:r>
                </w:p>
              </w:tc>
              <w:tc>
                <w:tcPr>
                  <w:tcW w:w="1134" w:type="dxa"/>
                  <w:vAlign w:val="center"/>
                </w:tcPr>
                <w:p>
                  <w:pPr>
                    <w:adjustRightInd w:val="0"/>
                    <w:snapToGrid w:val="0"/>
                    <w:jc w:val="center"/>
                    <w:rPr>
                      <w:bCs/>
                      <w:color w:val="auto"/>
                      <w:szCs w:val="21"/>
                    </w:rPr>
                  </w:pPr>
                  <w:r>
                    <w:rPr>
                      <w:rFonts w:hint="eastAsia"/>
                      <w:bCs/>
                      <w:color w:val="auto"/>
                      <w:szCs w:val="21"/>
                    </w:rPr>
                    <w:t>1座</w:t>
                  </w:r>
                </w:p>
              </w:tc>
              <w:tc>
                <w:tcPr>
                  <w:tcW w:w="1984" w:type="dxa"/>
                  <w:vAlign w:val="center"/>
                </w:tcPr>
                <w:p>
                  <w:pPr>
                    <w:adjustRightInd w:val="0"/>
                    <w:snapToGrid w:val="0"/>
                    <w:jc w:val="center"/>
                    <w:rPr>
                      <w:bCs/>
                      <w:color w:val="auto"/>
                      <w:szCs w:val="21"/>
                    </w:rPr>
                  </w:pPr>
                  <w:r>
                    <w:rPr>
                      <w:rFonts w:hint="eastAsia"/>
                      <w:bCs/>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 w:type="dxa"/>
                  <w:vAlign w:val="center"/>
                </w:tcPr>
                <w:p>
                  <w:pPr>
                    <w:adjustRightInd w:val="0"/>
                    <w:snapToGrid w:val="0"/>
                    <w:jc w:val="center"/>
                    <w:rPr>
                      <w:bCs/>
                      <w:color w:val="auto"/>
                      <w:szCs w:val="21"/>
                    </w:rPr>
                  </w:pPr>
                  <w:r>
                    <w:rPr>
                      <w:rFonts w:hint="eastAsia"/>
                      <w:bCs/>
                      <w:color w:val="auto"/>
                      <w:szCs w:val="21"/>
                    </w:rPr>
                    <w:t>生态</w:t>
                  </w:r>
                </w:p>
              </w:tc>
              <w:tc>
                <w:tcPr>
                  <w:tcW w:w="5245" w:type="dxa"/>
                  <w:gridSpan w:val="2"/>
                  <w:vAlign w:val="center"/>
                </w:tcPr>
                <w:p>
                  <w:pPr>
                    <w:adjustRightInd w:val="0"/>
                    <w:snapToGrid w:val="0"/>
                    <w:jc w:val="center"/>
                    <w:rPr>
                      <w:bCs/>
                      <w:color w:val="auto"/>
                      <w:szCs w:val="21"/>
                    </w:rPr>
                  </w:pPr>
                  <w:r>
                    <w:rPr>
                      <w:color w:val="auto"/>
                      <w:kern w:val="0"/>
                      <w:szCs w:val="21"/>
                    </w:rPr>
                    <w:t>生产管理区</w:t>
                  </w:r>
                  <w:r>
                    <w:rPr>
                      <w:color w:val="auto"/>
                    </w:rPr>
                    <w:t>进行绿化，堆填区周围设置5m宽绿化隔离带，封场后对整个堆填区进行覆土绿化。</w:t>
                  </w:r>
                </w:p>
              </w:tc>
              <w:tc>
                <w:tcPr>
                  <w:tcW w:w="1984" w:type="dxa"/>
                  <w:vAlign w:val="center"/>
                </w:tcPr>
                <w:p>
                  <w:pPr>
                    <w:adjustRightInd w:val="0"/>
                    <w:snapToGrid w:val="0"/>
                    <w:jc w:val="center"/>
                    <w:rPr>
                      <w:rFonts w:hint="eastAsia" w:eastAsia="宋体"/>
                      <w:bCs/>
                      <w:color w:val="auto"/>
                      <w:szCs w:val="21"/>
                      <w:lang w:eastAsia="zh-CN"/>
                    </w:rPr>
                  </w:pPr>
                  <w:r>
                    <w:rPr>
                      <w:rFonts w:hint="eastAsia"/>
                      <w:bCs/>
                      <w:color w:val="auto"/>
                      <w:szCs w:val="21"/>
                    </w:rPr>
                    <w:t>5</w:t>
                  </w:r>
                  <w:r>
                    <w:rPr>
                      <w:rFonts w:hint="eastAsia"/>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1" w:type="dxa"/>
                  <w:vAlign w:val="center"/>
                </w:tcPr>
                <w:p>
                  <w:pPr>
                    <w:adjustRightInd w:val="0"/>
                    <w:snapToGrid w:val="0"/>
                    <w:jc w:val="center"/>
                    <w:rPr>
                      <w:bCs/>
                      <w:color w:val="auto"/>
                      <w:szCs w:val="21"/>
                    </w:rPr>
                  </w:pPr>
                  <w:r>
                    <w:rPr>
                      <w:rFonts w:hint="eastAsia"/>
                      <w:bCs/>
                      <w:color w:val="auto"/>
                      <w:szCs w:val="21"/>
                    </w:rPr>
                    <w:t>总计</w:t>
                  </w:r>
                </w:p>
              </w:tc>
              <w:tc>
                <w:tcPr>
                  <w:tcW w:w="5245" w:type="dxa"/>
                  <w:gridSpan w:val="2"/>
                  <w:vAlign w:val="center"/>
                </w:tcPr>
                <w:p>
                  <w:pPr>
                    <w:adjustRightInd w:val="0"/>
                    <w:snapToGrid w:val="0"/>
                    <w:jc w:val="center"/>
                    <w:rPr>
                      <w:color w:val="auto"/>
                      <w:kern w:val="0"/>
                      <w:szCs w:val="21"/>
                    </w:rPr>
                  </w:pPr>
                  <w:r>
                    <w:rPr>
                      <w:rFonts w:hint="eastAsia"/>
                      <w:color w:val="auto"/>
                      <w:kern w:val="0"/>
                      <w:szCs w:val="21"/>
                    </w:rPr>
                    <w:t>/</w:t>
                  </w:r>
                </w:p>
              </w:tc>
              <w:tc>
                <w:tcPr>
                  <w:tcW w:w="1984" w:type="dxa"/>
                  <w:vAlign w:val="center"/>
                </w:tcPr>
                <w:p>
                  <w:pPr>
                    <w:adjustRightInd w:val="0"/>
                    <w:snapToGrid w:val="0"/>
                    <w:jc w:val="center"/>
                    <w:rPr>
                      <w:bCs/>
                      <w:color w:val="auto"/>
                      <w:szCs w:val="21"/>
                    </w:rPr>
                  </w:pPr>
                  <w:r>
                    <w:rPr>
                      <w:rFonts w:hint="eastAsia"/>
                      <w:bCs/>
                      <w:color w:val="auto"/>
                      <w:szCs w:val="21"/>
                    </w:rPr>
                    <w:t>130.05</w:t>
                  </w:r>
                </w:p>
              </w:tc>
            </w:tr>
          </w:tbl>
          <w:p>
            <w:pPr>
              <w:adjustRightInd w:val="0"/>
              <w:snapToGrid w:val="0"/>
              <w:rPr>
                <w:bCs/>
                <w:szCs w:val="21"/>
              </w:rPr>
            </w:pPr>
          </w:p>
        </w:tc>
      </w:tr>
    </w:tbl>
    <w:p>
      <w:pPr>
        <w:sectPr>
          <w:pgSz w:w="11907" w:h="16840"/>
          <w:pgMar w:top="1440" w:right="1797" w:bottom="1440" w:left="1797" w:header="851" w:footer="1077" w:gutter="0"/>
          <w:cols w:space="720" w:num="1"/>
          <w:docGrid w:linePitch="312" w:charSpace="0"/>
        </w:sect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六、生态环境保护措施监督检查清单</w:t>
      </w:r>
    </w:p>
    <w:tbl>
      <w:tblPr>
        <w:tblStyle w:val="23"/>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102"/>
        <w:gridCol w:w="1163"/>
        <w:gridCol w:w="2126"/>
        <w:gridCol w:w="1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380" w:type="dxa"/>
            <w:vMerge w:val="restart"/>
            <w:tcBorders>
              <w:tl2br w:val="single" w:color="auto" w:sz="4" w:space="0"/>
            </w:tcBorders>
            <w:vAlign w:val="center"/>
          </w:tcPr>
          <w:p>
            <w:pPr>
              <w:pStyle w:val="18"/>
              <w:adjustRightInd w:val="0"/>
              <w:snapToGrid w:val="0"/>
              <w:spacing w:beforeLines="30" w:beforeAutospacing="0" w:after="0" w:afterAutospacing="0"/>
              <w:ind w:firstLine="630" w:firstLineChars="300"/>
              <w:outlineLvl w:val="0"/>
              <w:rPr>
                <w:rFonts w:ascii="Times New Roman" w:hAnsi="Times New Roman"/>
                <w:kern w:val="2"/>
                <w:sz w:val="21"/>
                <w:szCs w:val="21"/>
              </w:rPr>
            </w:pPr>
            <w:r>
              <w:rPr>
                <w:rFonts w:ascii="Times New Roman"/>
                <w:kern w:val="2"/>
                <w:sz w:val="21"/>
                <w:szCs w:val="21"/>
              </w:rPr>
              <w:t>内容</w:t>
            </w:r>
          </w:p>
          <w:p>
            <w:pPr>
              <w:pStyle w:val="18"/>
              <w:adjustRightInd w:val="0"/>
              <w:snapToGrid w:val="0"/>
              <w:spacing w:before="0" w:beforeAutospacing="0" w:after="0" w:afterAutospacing="0"/>
              <w:outlineLvl w:val="0"/>
              <w:rPr>
                <w:rFonts w:ascii="Times New Roman" w:hAnsi="Times New Roman"/>
                <w:kern w:val="2"/>
                <w:sz w:val="21"/>
                <w:szCs w:val="21"/>
              </w:rPr>
            </w:pPr>
            <w:r>
              <w:rPr>
                <w:rFonts w:ascii="Times New Roman"/>
                <w:kern w:val="2"/>
                <w:sz w:val="21"/>
                <w:szCs w:val="21"/>
              </w:rPr>
              <w:t>要素</w:t>
            </w:r>
          </w:p>
        </w:tc>
        <w:tc>
          <w:tcPr>
            <w:tcW w:w="3265" w:type="dxa"/>
            <w:gridSpan w:val="2"/>
            <w:vAlign w:val="center"/>
          </w:tcPr>
          <w:p>
            <w:pPr>
              <w:pStyle w:val="18"/>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kern w:val="2"/>
                <w:sz w:val="21"/>
                <w:szCs w:val="21"/>
              </w:rPr>
              <w:t>施工期</w:t>
            </w:r>
          </w:p>
        </w:tc>
        <w:tc>
          <w:tcPr>
            <w:tcW w:w="3877" w:type="dxa"/>
            <w:gridSpan w:val="2"/>
            <w:vAlign w:val="center"/>
          </w:tcPr>
          <w:p>
            <w:pPr>
              <w:pStyle w:val="18"/>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380" w:type="dxa"/>
            <w:vMerge w:val="continue"/>
            <w:vAlign w:val="center"/>
          </w:tcPr>
          <w:p>
            <w:pPr>
              <w:pStyle w:val="18"/>
              <w:adjustRightInd w:val="0"/>
              <w:snapToGrid w:val="0"/>
              <w:spacing w:before="0" w:beforeAutospacing="0" w:after="0" w:afterAutospacing="0"/>
              <w:ind w:firstLine="840"/>
              <w:jc w:val="center"/>
              <w:outlineLvl w:val="0"/>
              <w:rPr>
                <w:rFonts w:ascii="Times New Roman" w:hAnsi="Times New Roman"/>
                <w:kern w:val="2"/>
                <w:sz w:val="21"/>
                <w:szCs w:val="21"/>
              </w:rPr>
            </w:pPr>
          </w:p>
        </w:tc>
        <w:tc>
          <w:tcPr>
            <w:tcW w:w="2102" w:type="dxa"/>
            <w:vAlign w:val="center"/>
          </w:tcPr>
          <w:p>
            <w:pPr>
              <w:pStyle w:val="18"/>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kern w:val="2"/>
                <w:sz w:val="21"/>
                <w:szCs w:val="21"/>
              </w:rPr>
              <w:t>环境保护措施</w:t>
            </w:r>
          </w:p>
        </w:tc>
        <w:tc>
          <w:tcPr>
            <w:tcW w:w="1163" w:type="dxa"/>
            <w:vAlign w:val="center"/>
          </w:tcPr>
          <w:p>
            <w:pPr>
              <w:pStyle w:val="18"/>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kern w:val="2"/>
                <w:sz w:val="21"/>
                <w:szCs w:val="21"/>
              </w:rPr>
              <w:t>验收要求</w:t>
            </w:r>
          </w:p>
        </w:tc>
        <w:tc>
          <w:tcPr>
            <w:tcW w:w="2126" w:type="dxa"/>
            <w:vAlign w:val="center"/>
          </w:tcPr>
          <w:p>
            <w:pPr>
              <w:pStyle w:val="18"/>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kern w:val="2"/>
                <w:sz w:val="21"/>
                <w:szCs w:val="21"/>
              </w:rPr>
              <w:t>环境保护措施</w:t>
            </w:r>
          </w:p>
        </w:tc>
        <w:tc>
          <w:tcPr>
            <w:tcW w:w="1751" w:type="dxa"/>
            <w:vAlign w:val="center"/>
          </w:tcPr>
          <w:p>
            <w:pPr>
              <w:pStyle w:val="18"/>
              <w:adjustRightInd w:val="0"/>
              <w:snapToGrid w:val="0"/>
              <w:spacing w:before="0" w:beforeAutospacing="0" w:after="0" w:afterAutospacing="0"/>
              <w:jc w:val="center"/>
              <w:outlineLvl w:val="0"/>
              <w:rPr>
                <w:rFonts w:ascii="Times New Roman" w:hAnsi="Times New Roman"/>
                <w:kern w:val="2"/>
                <w:sz w:val="21"/>
                <w:szCs w:val="21"/>
              </w:rPr>
            </w:pPr>
            <w:r>
              <w:rPr>
                <w:rFonts w:ascii="Times New Roman"/>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陆生生态</w:t>
            </w:r>
          </w:p>
        </w:tc>
        <w:tc>
          <w:tcPr>
            <w:tcW w:w="2102" w:type="dxa"/>
            <w:vAlign w:val="center"/>
          </w:tcPr>
          <w:p>
            <w:pPr>
              <w:jc w:val="center"/>
              <w:rPr>
                <w:szCs w:val="21"/>
              </w:rPr>
            </w:pPr>
            <w:r>
              <w:rPr>
                <w:rFonts w:hAnsi="宋体"/>
                <w:szCs w:val="21"/>
              </w:rPr>
              <w:t>分段施工，每段施工完成后尽快回填恢复植被；合理安排施工进度，施工时尽量避开雨季和大风天；提高施工效率，缩短施工工期；修建临时截洪沟；施工结束后，须及时进行植被恢复工作。</w:t>
            </w:r>
          </w:p>
        </w:tc>
        <w:tc>
          <w:tcPr>
            <w:tcW w:w="1163" w:type="dxa"/>
            <w:vAlign w:val="center"/>
          </w:tcPr>
          <w:p>
            <w:pPr>
              <w:adjustRightInd w:val="0"/>
              <w:snapToGrid w:val="0"/>
              <w:jc w:val="center"/>
              <w:rPr>
                <w:szCs w:val="21"/>
              </w:rPr>
            </w:pPr>
            <w:r>
              <w:rPr>
                <w:rFonts w:hAnsi="宋体"/>
                <w:szCs w:val="21"/>
              </w:rPr>
              <w:t>落实</w:t>
            </w:r>
          </w:p>
        </w:tc>
        <w:tc>
          <w:tcPr>
            <w:tcW w:w="2126" w:type="dxa"/>
            <w:vAlign w:val="center"/>
          </w:tcPr>
          <w:p>
            <w:pPr>
              <w:adjustRightInd w:val="0"/>
              <w:snapToGrid w:val="0"/>
              <w:jc w:val="center"/>
              <w:rPr>
                <w:szCs w:val="21"/>
              </w:rPr>
            </w:pPr>
            <w:r>
              <w:rPr>
                <w:rFonts w:hAnsi="宋体"/>
                <w:kern w:val="0"/>
                <w:szCs w:val="21"/>
              </w:rPr>
              <w:t>沿堆填一区和堆填二区周边布置</w:t>
            </w:r>
            <w:r>
              <w:rPr>
                <w:rFonts w:hAnsi="宋体"/>
                <w:szCs w:val="21"/>
              </w:rPr>
              <w:t>截排水沟，</w:t>
            </w:r>
            <w:r>
              <w:rPr>
                <w:rFonts w:hAnsi="宋体"/>
                <w:kern w:val="0"/>
                <w:szCs w:val="21"/>
              </w:rPr>
              <w:t>截洪沟采用梯形断面，底宽为</w:t>
            </w:r>
            <w:r>
              <w:rPr>
                <w:kern w:val="0"/>
                <w:szCs w:val="21"/>
              </w:rPr>
              <w:t>0.6m</w:t>
            </w:r>
            <w:r>
              <w:rPr>
                <w:rFonts w:hAnsi="宋体"/>
                <w:kern w:val="0"/>
                <w:szCs w:val="21"/>
              </w:rPr>
              <w:t>，上口宽</w:t>
            </w:r>
            <w:r>
              <w:rPr>
                <w:kern w:val="0"/>
                <w:szCs w:val="21"/>
              </w:rPr>
              <w:t>0.8m</w:t>
            </w:r>
            <w:r>
              <w:rPr>
                <w:rFonts w:hAnsi="宋体"/>
                <w:kern w:val="0"/>
                <w:szCs w:val="21"/>
              </w:rPr>
              <w:t>，深度为</w:t>
            </w:r>
            <w:r>
              <w:rPr>
                <w:kern w:val="0"/>
                <w:szCs w:val="21"/>
              </w:rPr>
              <w:t>0.6m</w:t>
            </w:r>
            <w:r>
              <w:rPr>
                <w:rFonts w:hAnsi="宋体"/>
                <w:kern w:val="0"/>
                <w:szCs w:val="21"/>
              </w:rPr>
              <w:t>，两侧截洪沟的纵向坡度不小于</w:t>
            </w:r>
            <w:r>
              <w:rPr>
                <w:kern w:val="0"/>
                <w:szCs w:val="21"/>
              </w:rPr>
              <w:t>1%</w:t>
            </w:r>
          </w:p>
        </w:tc>
        <w:tc>
          <w:tcPr>
            <w:tcW w:w="1751" w:type="dxa"/>
            <w:vAlign w:val="center"/>
          </w:tcPr>
          <w:p>
            <w:pPr>
              <w:adjustRightInd w:val="0"/>
              <w:snapToGrid w:val="0"/>
              <w:jc w:val="center"/>
              <w:rPr>
                <w:szCs w:val="21"/>
              </w:rPr>
            </w:pPr>
            <w:r>
              <w:rPr>
                <w:rFonts w:hAnsi="宋体"/>
                <w:szCs w:val="21"/>
              </w:rPr>
              <w:t>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1380" w:type="dxa"/>
            <w:vAlign w:val="center"/>
          </w:tcPr>
          <w:p>
            <w:pPr>
              <w:adjustRightInd w:val="0"/>
              <w:snapToGrid w:val="0"/>
              <w:jc w:val="center"/>
              <w:rPr>
                <w:szCs w:val="21"/>
              </w:rPr>
            </w:pPr>
            <w:r>
              <w:rPr>
                <w:rFonts w:hAnsi="宋体"/>
                <w:szCs w:val="21"/>
              </w:rPr>
              <w:t>水生生态</w:t>
            </w:r>
          </w:p>
        </w:tc>
        <w:tc>
          <w:tcPr>
            <w:tcW w:w="2102" w:type="dxa"/>
            <w:vAlign w:val="center"/>
          </w:tcPr>
          <w:p>
            <w:pPr>
              <w:adjustRightInd w:val="0"/>
              <w:snapToGrid w:val="0"/>
              <w:jc w:val="center"/>
              <w:rPr>
                <w:szCs w:val="21"/>
              </w:rPr>
            </w:pPr>
            <w:r>
              <w:rPr>
                <w:szCs w:val="21"/>
              </w:rPr>
              <w:t>/</w:t>
            </w:r>
          </w:p>
        </w:tc>
        <w:tc>
          <w:tcPr>
            <w:tcW w:w="1163" w:type="dxa"/>
            <w:vAlign w:val="center"/>
          </w:tcPr>
          <w:p>
            <w:pPr>
              <w:adjustRightInd w:val="0"/>
              <w:snapToGrid w:val="0"/>
              <w:jc w:val="center"/>
              <w:rPr>
                <w:szCs w:val="21"/>
              </w:rPr>
            </w:pPr>
            <w:r>
              <w:rPr>
                <w:szCs w:val="21"/>
              </w:rPr>
              <w:t>/</w:t>
            </w:r>
          </w:p>
        </w:tc>
        <w:tc>
          <w:tcPr>
            <w:tcW w:w="2126" w:type="dxa"/>
            <w:vAlign w:val="center"/>
          </w:tcPr>
          <w:p>
            <w:pPr>
              <w:adjustRightInd w:val="0"/>
              <w:snapToGrid w:val="0"/>
              <w:jc w:val="center"/>
              <w:rPr>
                <w:szCs w:val="21"/>
              </w:rPr>
            </w:pPr>
            <w:r>
              <w:rPr>
                <w:szCs w:val="21"/>
              </w:rPr>
              <w:t>/</w:t>
            </w:r>
          </w:p>
        </w:tc>
        <w:tc>
          <w:tcPr>
            <w:tcW w:w="1751"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380" w:type="dxa"/>
            <w:vAlign w:val="center"/>
          </w:tcPr>
          <w:p>
            <w:pPr>
              <w:adjustRightInd w:val="0"/>
              <w:snapToGrid w:val="0"/>
              <w:jc w:val="center"/>
              <w:rPr>
                <w:szCs w:val="21"/>
              </w:rPr>
            </w:pPr>
            <w:r>
              <w:rPr>
                <w:rFonts w:hAnsi="宋体"/>
                <w:szCs w:val="21"/>
              </w:rPr>
              <w:t>地表水环境</w:t>
            </w:r>
          </w:p>
        </w:tc>
        <w:tc>
          <w:tcPr>
            <w:tcW w:w="2102" w:type="dxa"/>
            <w:vAlign w:val="center"/>
          </w:tcPr>
          <w:p>
            <w:pPr>
              <w:adjustRightInd w:val="0"/>
              <w:snapToGrid w:val="0"/>
              <w:jc w:val="center"/>
              <w:rPr>
                <w:szCs w:val="21"/>
              </w:rPr>
            </w:pPr>
            <w:r>
              <w:rPr>
                <w:rFonts w:hAnsi="宋体"/>
                <w:szCs w:val="21"/>
              </w:rPr>
              <w:t>施工废水设临时沉淀池</w:t>
            </w:r>
          </w:p>
        </w:tc>
        <w:tc>
          <w:tcPr>
            <w:tcW w:w="1163" w:type="dxa"/>
            <w:vAlign w:val="center"/>
          </w:tcPr>
          <w:p>
            <w:pPr>
              <w:adjustRightInd w:val="0"/>
              <w:snapToGrid w:val="0"/>
              <w:jc w:val="center"/>
              <w:rPr>
                <w:szCs w:val="21"/>
              </w:rPr>
            </w:pPr>
            <w:r>
              <w:rPr>
                <w:rFonts w:hAnsi="宋体"/>
                <w:szCs w:val="21"/>
              </w:rPr>
              <w:t>不外排</w:t>
            </w:r>
          </w:p>
        </w:tc>
        <w:tc>
          <w:tcPr>
            <w:tcW w:w="2126" w:type="dxa"/>
            <w:vAlign w:val="center"/>
          </w:tcPr>
          <w:p>
            <w:pPr>
              <w:snapToGrid w:val="0"/>
              <w:jc w:val="center"/>
              <w:rPr>
                <w:szCs w:val="21"/>
              </w:rPr>
            </w:pPr>
            <w:r>
              <w:rPr>
                <w:rFonts w:hAnsi="宋体"/>
                <w:szCs w:val="21"/>
              </w:rPr>
              <w:t>生活污水设化粪池；渗出水设置导排管和三级沉淀池；洗车废水设置三级沉淀池</w:t>
            </w:r>
          </w:p>
        </w:tc>
        <w:tc>
          <w:tcPr>
            <w:tcW w:w="1751" w:type="dxa"/>
            <w:vAlign w:val="center"/>
          </w:tcPr>
          <w:p>
            <w:pPr>
              <w:adjustRightInd w:val="0"/>
              <w:snapToGrid w:val="0"/>
              <w:jc w:val="center"/>
              <w:rPr>
                <w:szCs w:val="21"/>
              </w:rPr>
            </w:pPr>
            <w:r>
              <w:rPr>
                <w:rFonts w:hAnsi="宋体"/>
                <w:szCs w:val="21"/>
              </w:rPr>
              <w:t>生活污水经化粪池处理后定期委托清掏；渗出水和洗车废水</w:t>
            </w:r>
            <w:r>
              <w:rPr>
                <w:rFonts w:hint="eastAsia" w:hAnsi="宋体"/>
                <w:szCs w:val="21"/>
                <w:lang w:eastAsia="zh-CN"/>
              </w:rPr>
              <w:t>，</w:t>
            </w:r>
            <w:r>
              <w:rPr>
                <w:rFonts w:hAnsi="宋体"/>
                <w:szCs w:val="21"/>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地下水及土壤环境</w:t>
            </w:r>
          </w:p>
        </w:tc>
        <w:tc>
          <w:tcPr>
            <w:tcW w:w="2102" w:type="dxa"/>
            <w:vAlign w:val="center"/>
          </w:tcPr>
          <w:p>
            <w:pPr>
              <w:adjustRightInd w:val="0"/>
              <w:snapToGrid w:val="0"/>
              <w:jc w:val="center"/>
              <w:rPr>
                <w:szCs w:val="21"/>
              </w:rPr>
            </w:pPr>
            <w:r>
              <w:rPr>
                <w:szCs w:val="21"/>
              </w:rPr>
              <w:t>/</w:t>
            </w:r>
          </w:p>
        </w:tc>
        <w:tc>
          <w:tcPr>
            <w:tcW w:w="1163" w:type="dxa"/>
            <w:vAlign w:val="center"/>
          </w:tcPr>
          <w:p>
            <w:pPr>
              <w:adjustRightInd w:val="0"/>
              <w:snapToGrid w:val="0"/>
              <w:jc w:val="center"/>
              <w:rPr>
                <w:szCs w:val="21"/>
              </w:rPr>
            </w:pPr>
            <w:r>
              <w:rPr>
                <w:szCs w:val="21"/>
              </w:rPr>
              <w:t>/</w:t>
            </w:r>
          </w:p>
        </w:tc>
        <w:tc>
          <w:tcPr>
            <w:tcW w:w="2126" w:type="dxa"/>
            <w:vAlign w:val="center"/>
          </w:tcPr>
          <w:p>
            <w:pPr>
              <w:adjustRightInd w:val="0"/>
              <w:snapToGrid w:val="0"/>
              <w:jc w:val="center"/>
              <w:rPr>
                <w:szCs w:val="21"/>
              </w:rPr>
            </w:pPr>
            <w:r>
              <w:rPr>
                <w:szCs w:val="21"/>
              </w:rPr>
              <w:t>/</w:t>
            </w:r>
          </w:p>
        </w:tc>
        <w:tc>
          <w:tcPr>
            <w:tcW w:w="1751"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声环境</w:t>
            </w:r>
          </w:p>
        </w:tc>
        <w:tc>
          <w:tcPr>
            <w:tcW w:w="2102" w:type="dxa"/>
            <w:vAlign w:val="center"/>
          </w:tcPr>
          <w:p>
            <w:pPr>
              <w:adjustRightInd w:val="0"/>
              <w:snapToGrid w:val="0"/>
              <w:jc w:val="center"/>
              <w:rPr>
                <w:szCs w:val="21"/>
              </w:rPr>
            </w:pPr>
            <w:r>
              <w:rPr>
                <w:rFonts w:hAnsi="宋体"/>
                <w:szCs w:val="21"/>
              </w:rPr>
              <w:t>低噪声的施工机械；合理安排施工场地；合理安排施工作业方案；合理安排施工时间</w:t>
            </w:r>
          </w:p>
        </w:tc>
        <w:tc>
          <w:tcPr>
            <w:tcW w:w="1163" w:type="dxa"/>
            <w:vAlign w:val="center"/>
          </w:tcPr>
          <w:p>
            <w:pPr>
              <w:adjustRightInd w:val="0"/>
              <w:snapToGrid w:val="0"/>
              <w:jc w:val="center"/>
              <w:rPr>
                <w:szCs w:val="21"/>
              </w:rPr>
            </w:pPr>
            <w:r>
              <w:rPr>
                <w:rFonts w:hAnsi="宋体"/>
                <w:szCs w:val="21"/>
              </w:rPr>
              <w:t>《建筑施工场界环境噪声排放标准》（</w:t>
            </w:r>
            <w:r>
              <w:rPr>
                <w:szCs w:val="21"/>
              </w:rPr>
              <w:t>GB12523-20</w:t>
            </w:r>
          </w:p>
          <w:p>
            <w:pPr>
              <w:adjustRightInd w:val="0"/>
              <w:snapToGrid w:val="0"/>
              <w:jc w:val="center"/>
              <w:rPr>
                <w:szCs w:val="21"/>
              </w:rPr>
            </w:pPr>
            <w:r>
              <w:rPr>
                <w:szCs w:val="21"/>
              </w:rPr>
              <w:t>11</w:t>
            </w:r>
            <w:r>
              <w:rPr>
                <w:rFonts w:hAnsi="宋体"/>
                <w:szCs w:val="21"/>
              </w:rPr>
              <w:t>）</w:t>
            </w:r>
          </w:p>
        </w:tc>
        <w:tc>
          <w:tcPr>
            <w:tcW w:w="2126" w:type="dxa"/>
            <w:vAlign w:val="center"/>
          </w:tcPr>
          <w:p>
            <w:pPr>
              <w:adjustRightInd w:val="0"/>
              <w:snapToGrid w:val="0"/>
              <w:jc w:val="center"/>
              <w:rPr>
                <w:szCs w:val="21"/>
              </w:rPr>
            </w:pPr>
            <w:r>
              <w:rPr>
                <w:rFonts w:hAnsi="宋体"/>
                <w:szCs w:val="21"/>
              </w:rPr>
              <w:t>减振，选用低</w:t>
            </w:r>
          </w:p>
          <w:p>
            <w:pPr>
              <w:adjustRightInd w:val="0"/>
              <w:snapToGrid w:val="0"/>
              <w:jc w:val="center"/>
              <w:rPr>
                <w:szCs w:val="21"/>
              </w:rPr>
            </w:pPr>
            <w:r>
              <w:rPr>
                <w:rFonts w:hAnsi="宋体"/>
                <w:szCs w:val="21"/>
              </w:rPr>
              <w:t>噪声设备</w:t>
            </w:r>
          </w:p>
        </w:tc>
        <w:tc>
          <w:tcPr>
            <w:tcW w:w="1751" w:type="dxa"/>
            <w:vAlign w:val="center"/>
          </w:tcPr>
          <w:p>
            <w:pPr>
              <w:adjustRightInd w:val="0"/>
              <w:snapToGrid w:val="0"/>
              <w:jc w:val="center"/>
              <w:rPr>
                <w:szCs w:val="21"/>
              </w:rPr>
            </w:pPr>
            <w:r>
              <w:rPr>
                <w:rFonts w:hAnsi="宋体"/>
                <w:szCs w:val="21"/>
              </w:rPr>
              <w:t>满足《工业企</w:t>
            </w:r>
          </w:p>
          <w:p>
            <w:pPr>
              <w:adjustRightInd w:val="0"/>
              <w:snapToGrid w:val="0"/>
              <w:jc w:val="center"/>
              <w:rPr>
                <w:szCs w:val="21"/>
              </w:rPr>
            </w:pPr>
            <w:r>
              <w:rPr>
                <w:rFonts w:hAnsi="宋体"/>
                <w:szCs w:val="21"/>
              </w:rPr>
              <w:t>业厂界环境噪</w:t>
            </w:r>
          </w:p>
          <w:p>
            <w:pPr>
              <w:adjustRightInd w:val="0"/>
              <w:snapToGrid w:val="0"/>
              <w:jc w:val="center"/>
              <w:rPr>
                <w:szCs w:val="21"/>
              </w:rPr>
            </w:pPr>
            <w:r>
              <w:rPr>
                <w:rFonts w:hAnsi="宋体"/>
                <w:szCs w:val="21"/>
              </w:rPr>
              <w:t>声排放标准》（</w:t>
            </w:r>
            <w:r>
              <w:rPr>
                <w:szCs w:val="21"/>
              </w:rPr>
              <w:t>GB12348-2</w:t>
            </w:r>
          </w:p>
          <w:p>
            <w:pPr>
              <w:adjustRightInd w:val="0"/>
              <w:snapToGrid w:val="0"/>
              <w:jc w:val="center"/>
              <w:rPr>
                <w:szCs w:val="21"/>
              </w:rPr>
            </w:pPr>
            <w:r>
              <w:rPr>
                <w:szCs w:val="21"/>
              </w:rPr>
              <w:t>008</w:t>
            </w:r>
            <w:r>
              <w:rPr>
                <w:rFonts w:hAnsi="宋体"/>
                <w:szCs w:val="21"/>
              </w:rPr>
              <w:t>）</w:t>
            </w:r>
            <w:r>
              <w:rPr>
                <w:szCs w:val="21"/>
              </w:rPr>
              <w:t>2</w:t>
            </w:r>
            <w:r>
              <w:rPr>
                <w:rFonts w:hAnsi="宋体"/>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380" w:type="dxa"/>
            <w:vAlign w:val="center"/>
          </w:tcPr>
          <w:p>
            <w:pPr>
              <w:adjustRightInd w:val="0"/>
              <w:snapToGrid w:val="0"/>
              <w:jc w:val="center"/>
              <w:rPr>
                <w:szCs w:val="21"/>
              </w:rPr>
            </w:pPr>
            <w:r>
              <w:rPr>
                <w:rFonts w:hAnsi="宋体"/>
                <w:szCs w:val="21"/>
              </w:rPr>
              <w:t>振动</w:t>
            </w:r>
          </w:p>
        </w:tc>
        <w:tc>
          <w:tcPr>
            <w:tcW w:w="2102" w:type="dxa"/>
            <w:vAlign w:val="center"/>
          </w:tcPr>
          <w:p>
            <w:pPr>
              <w:adjustRightInd w:val="0"/>
              <w:snapToGrid w:val="0"/>
              <w:jc w:val="center"/>
              <w:rPr>
                <w:szCs w:val="21"/>
              </w:rPr>
            </w:pPr>
            <w:r>
              <w:rPr>
                <w:szCs w:val="21"/>
              </w:rPr>
              <w:t>/</w:t>
            </w:r>
          </w:p>
        </w:tc>
        <w:tc>
          <w:tcPr>
            <w:tcW w:w="1163" w:type="dxa"/>
            <w:vAlign w:val="center"/>
          </w:tcPr>
          <w:p>
            <w:pPr>
              <w:adjustRightInd w:val="0"/>
              <w:snapToGrid w:val="0"/>
              <w:jc w:val="center"/>
              <w:rPr>
                <w:szCs w:val="21"/>
              </w:rPr>
            </w:pPr>
            <w:r>
              <w:rPr>
                <w:szCs w:val="21"/>
              </w:rPr>
              <w:t>/</w:t>
            </w:r>
          </w:p>
        </w:tc>
        <w:tc>
          <w:tcPr>
            <w:tcW w:w="2126" w:type="dxa"/>
            <w:vAlign w:val="center"/>
          </w:tcPr>
          <w:p>
            <w:pPr>
              <w:adjustRightInd w:val="0"/>
              <w:snapToGrid w:val="0"/>
              <w:jc w:val="center"/>
              <w:rPr>
                <w:szCs w:val="21"/>
              </w:rPr>
            </w:pPr>
            <w:r>
              <w:rPr>
                <w:szCs w:val="21"/>
              </w:rPr>
              <w:t>/</w:t>
            </w:r>
          </w:p>
        </w:tc>
        <w:tc>
          <w:tcPr>
            <w:tcW w:w="1751"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大气环境</w:t>
            </w:r>
          </w:p>
        </w:tc>
        <w:tc>
          <w:tcPr>
            <w:tcW w:w="2102" w:type="dxa"/>
            <w:vAlign w:val="center"/>
          </w:tcPr>
          <w:p>
            <w:pPr>
              <w:adjustRightInd w:val="0"/>
              <w:snapToGrid w:val="0"/>
              <w:jc w:val="center"/>
              <w:rPr>
                <w:szCs w:val="21"/>
              </w:rPr>
            </w:pPr>
            <w:r>
              <w:rPr>
                <w:rFonts w:hAnsi="宋体"/>
                <w:szCs w:val="21"/>
              </w:rPr>
              <w:t>洒水、覆盖、硬化、冲洗、绿化、围挡、密闭运输</w:t>
            </w:r>
          </w:p>
        </w:tc>
        <w:tc>
          <w:tcPr>
            <w:tcW w:w="1163" w:type="dxa"/>
            <w:vAlign w:val="center"/>
          </w:tcPr>
          <w:p>
            <w:pPr>
              <w:adjustRightInd w:val="0"/>
              <w:snapToGrid w:val="0"/>
              <w:jc w:val="center"/>
              <w:rPr>
                <w:szCs w:val="21"/>
              </w:rPr>
            </w:pPr>
            <w:r>
              <w:rPr>
                <w:rFonts w:hAnsi="宋体"/>
                <w:szCs w:val="21"/>
              </w:rPr>
              <w:t>满足《施工厂界扬尘排放限值》（</w:t>
            </w:r>
            <w:r>
              <w:rPr>
                <w:szCs w:val="21"/>
              </w:rPr>
              <w:t>DB61/1078</w:t>
            </w:r>
          </w:p>
          <w:p>
            <w:pPr>
              <w:adjustRightInd w:val="0"/>
              <w:snapToGrid w:val="0"/>
              <w:jc w:val="center"/>
              <w:rPr>
                <w:szCs w:val="21"/>
              </w:rPr>
            </w:pPr>
            <w:r>
              <w:rPr>
                <w:szCs w:val="21"/>
              </w:rPr>
              <w:t>-2017</w:t>
            </w:r>
            <w:r>
              <w:rPr>
                <w:rFonts w:hAnsi="宋体"/>
                <w:szCs w:val="21"/>
              </w:rPr>
              <w:t>）</w:t>
            </w:r>
          </w:p>
        </w:tc>
        <w:tc>
          <w:tcPr>
            <w:tcW w:w="2126" w:type="dxa"/>
            <w:vAlign w:val="center"/>
          </w:tcPr>
          <w:p>
            <w:pPr>
              <w:adjustRightInd w:val="0"/>
              <w:snapToGrid w:val="0"/>
              <w:jc w:val="center"/>
              <w:rPr>
                <w:szCs w:val="21"/>
              </w:rPr>
            </w:pPr>
            <w:r>
              <w:rPr>
                <w:rFonts w:hAnsi="宋体"/>
                <w:szCs w:val="21"/>
              </w:rPr>
              <w:t>三面防风抑尘网、</w:t>
            </w:r>
            <w:r>
              <w:rPr>
                <w:rFonts w:hAnsi="宋体"/>
                <w:kern w:val="0"/>
                <w:szCs w:val="21"/>
              </w:rPr>
              <w:t>覆盖、</w:t>
            </w:r>
            <w:r>
              <w:rPr>
                <w:rFonts w:hAnsi="宋体"/>
                <w:szCs w:val="21"/>
              </w:rPr>
              <w:t>洒水降尘</w:t>
            </w:r>
          </w:p>
        </w:tc>
        <w:tc>
          <w:tcPr>
            <w:tcW w:w="1751" w:type="dxa"/>
            <w:vAlign w:val="center"/>
          </w:tcPr>
          <w:p>
            <w:pPr>
              <w:adjustRightInd w:val="0"/>
              <w:snapToGrid w:val="0"/>
              <w:jc w:val="center"/>
              <w:rPr>
                <w:szCs w:val="21"/>
              </w:rPr>
            </w:pPr>
            <w:r>
              <w:rPr>
                <w:rFonts w:hAnsi="宋体"/>
                <w:szCs w:val="21"/>
              </w:rPr>
              <w:t>满足《大气污</w:t>
            </w:r>
          </w:p>
          <w:p>
            <w:pPr>
              <w:adjustRightInd w:val="0"/>
              <w:snapToGrid w:val="0"/>
              <w:jc w:val="center"/>
              <w:rPr>
                <w:szCs w:val="21"/>
              </w:rPr>
            </w:pPr>
            <w:r>
              <w:rPr>
                <w:rFonts w:hAnsi="宋体"/>
                <w:szCs w:val="21"/>
              </w:rPr>
              <w:t>染物综合排放</w:t>
            </w:r>
          </w:p>
          <w:p>
            <w:pPr>
              <w:adjustRightInd w:val="0"/>
              <w:snapToGrid w:val="0"/>
              <w:jc w:val="center"/>
              <w:rPr>
                <w:szCs w:val="21"/>
              </w:rPr>
            </w:pPr>
            <w:r>
              <w:rPr>
                <w:rFonts w:hAnsi="宋体"/>
                <w:szCs w:val="21"/>
              </w:rPr>
              <w:t>标准》</w:t>
            </w:r>
          </w:p>
          <w:p>
            <w:pPr>
              <w:adjustRightInd w:val="0"/>
              <w:snapToGrid w:val="0"/>
              <w:jc w:val="center"/>
              <w:rPr>
                <w:szCs w:val="21"/>
              </w:rPr>
            </w:pPr>
            <w:r>
              <w:rPr>
                <w:rFonts w:hAnsi="宋体"/>
                <w:szCs w:val="21"/>
              </w:rPr>
              <w:t>（</w:t>
            </w:r>
            <w:r>
              <w:rPr>
                <w:szCs w:val="21"/>
              </w:rPr>
              <w:t>GB16297-1</w:t>
            </w:r>
          </w:p>
          <w:p>
            <w:pPr>
              <w:adjustRightInd w:val="0"/>
              <w:snapToGrid w:val="0"/>
              <w:jc w:val="center"/>
              <w:rPr>
                <w:szCs w:val="21"/>
              </w:rPr>
            </w:pPr>
            <w:r>
              <w:rPr>
                <w:szCs w:val="21"/>
              </w:rPr>
              <w:t>996</w:t>
            </w:r>
            <w:r>
              <w:rPr>
                <w:rFonts w:hAnsi="宋体"/>
                <w:szCs w:val="21"/>
              </w:rPr>
              <w:t>）无组织排</w:t>
            </w:r>
          </w:p>
          <w:p>
            <w:pPr>
              <w:adjustRightInd w:val="0"/>
              <w:snapToGrid w:val="0"/>
              <w:jc w:val="center"/>
              <w:rPr>
                <w:szCs w:val="21"/>
              </w:rPr>
            </w:pPr>
            <w:r>
              <w:rPr>
                <w:rFonts w:hAnsi="宋体"/>
                <w:szCs w:val="21"/>
              </w:rPr>
              <w:t>放的要求。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固体废物</w:t>
            </w:r>
          </w:p>
        </w:tc>
        <w:tc>
          <w:tcPr>
            <w:tcW w:w="2102" w:type="dxa"/>
            <w:vAlign w:val="center"/>
          </w:tcPr>
          <w:p>
            <w:pPr>
              <w:adjustRightInd w:val="0"/>
              <w:snapToGrid w:val="0"/>
              <w:jc w:val="center"/>
              <w:rPr>
                <w:szCs w:val="21"/>
              </w:rPr>
            </w:pPr>
            <w:r>
              <w:rPr>
                <w:rFonts w:hAnsi="宋体"/>
                <w:szCs w:val="21"/>
              </w:rPr>
              <w:t>生活垃圾经分类、统一收集后，定期清运至当地环卫部门指定地点；建筑垃圾临时堆放，待本堆填场建成后，堆填至本</w:t>
            </w:r>
            <w:r>
              <w:rPr>
                <w:rFonts w:hint="eastAsia" w:hAnsi="宋体"/>
                <w:szCs w:val="21"/>
                <w:lang w:eastAsia="zh-CN"/>
              </w:rPr>
              <w:t>工程</w:t>
            </w:r>
            <w:r>
              <w:rPr>
                <w:rFonts w:hAnsi="宋体"/>
                <w:szCs w:val="21"/>
              </w:rPr>
              <w:t>建筑垃圾堆填二区。</w:t>
            </w:r>
          </w:p>
        </w:tc>
        <w:tc>
          <w:tcPr>
            <w:tcW w:w="1163" w:type="dxa"/>
            <w:vAlign w:val="center"/>
          </w:tcPr>
          <w:p>
            <w:pPr>
              <w:adjustRightInd w:val="0"/>
              <w:snapToGrid w:val="0"/>
              <w:jc w:val="center"/>
              <w:rPr>
                <w:szCs w:val="21"/>
              </w:rPr>
            </w:pPr>
            <w:r>
              <w:rPr>
                <w:szCs w:val="21"/>
              </w:rPr>
              <w:t>/</w:t>
            </w:r>
          </w:p>
        </w:tc>
        <w:tc>
          <w:tcPr>
            <w:tcW w:w="2126" w:type="dxa"/>
            <w:vAlign w:val="center"/>
          </w:tcPr>
          <w:p>
            <w:pPr>
              <w:jc w:val="center"/>
              <w:rPr>
                <w:szCs w:val="21"/>
              </w:rPr>
            </w:pPr>
            <w:r>
              <w:rPr>
                <w:rFonts w:hAnsi="宋体"/>
                <w:szCs w:val="21"/>
              </w:rPr>
              <w:t>生活垃圾统一收集后定期运至环卫部门指定地点处置；</w:t>
            </w:r>
          </w:p>
          <w:p>
            <w:pPr>
              <w:jc w:val="center"/>
              <w:rPr>
                <w:szCs w:val="21"/>
              </w:rPr>
            </w:pPr>
            <w:r>
              <w:rPr>
                <w:rFonts w:hAnsi="宋体"/>
                <w:szCs w:val="21"/>
              </w:rPr>
              <w:t>沉淀池产生污泥经晒干处理后回填到本</w:t>
            </w:r>
            <w:r>
              <w:rPr>
                <w:rFonts w:hint="eastAsia" w:hAnsi="宋体"/>
                <w:szCs w:val="21"/>
                <w:lang w:eastAsia="zh-CN"/>
              </w:rPr>
              <w:t>工程</w:t>
            </w:r>
            <w:r>
              <w:rPr>
                <w:rFonts w:hAnsi="宋体"/>
                <w:szCs w:val="21"/>
              </w:rPr>
              <w:t>堆填区进行堆填；废机油暂存于危废暂存间，委托有资质单位处置</w:t>
            </w:r>
          </w:p>
        </w:tc>
        <w:tc>
          <w:tcPr>
            <w:tcW w:w="1751" w:type="dxa"/>
            <w:vAlign w:val="center"/>
          </w:tcPr>
          <w:p>
            <w:pPr>
              <w:adjustRightInd w:val="0"/>
              <w:snapToGrid w:val="0"/>
              <w:jc w:val="center"/>
              <w:rPr>
                <w:szCs w:val="21"/>
              </w:rPr>
            </w:pPr>
            <w:r>
              <w:rPr>
                <w:rFonts w:hAnsi="宋体"/>
                <w:szCs w:val="21"/>
              </w:rPr>
              <w:t>落实，废机油处置满足《危险废物贮存污染控制标准》（</w:t>
            </w:r>
            <w:r>
              <w:rPr>
                <w:szCs w:val="21"/>
              </w:rPr>
              <w:t>GB18597-</w:t>
            </w:r>
          </w:p>
          <w:p>
            <w:pPr>
              <w:adjustRightInd w:val="0"/>
              <w:snapToGrid w:val="0"/>
              <w:jc w:val="center"/>
              <w:rPr>
                <w:szCs w:val="21"/>
              </w:rPr>
            </w:pPr>
            <w:r>
              <w:rPr>
                <w:szCs w:val="21"/>
              </w:rPr>
              <w:t>2001</w:t>
            </w:r>
            <w:r>
              <w:rPr>
                <w:rFonts w:hAnsi="宋体"/>
                <w:szCs w:val="21"/>
              </w:rPr>
              <w:t>）及修改</w:t>
            </w:r>
          </w:p>
          <w:p>
            <w:pPr>
              <w:adjustRightInd w:val="0"/>
              <w:snapToGrid w:val="0"/>
              <w:jc w:val="center"/>
              <w:rPr>
                <w:szCs w:val="21"/>
              </w:rPr>
            </w:pPr>
            <w:r>
              <w:rPr>
                <w:rFonts w:hAnsi="宋体"/>
                <w:szCs w:val="21"/>
              </w:rPr>
              <w:t>单中有关规定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电磁环境</w:t>
            </w:r>
          </w:p>
        </w:tc>
        <w:tc>
          <w:tcPr>
            <w:tcW w:w="2102" w:type="dxa"/>
            <w:vAlign w:val="center"/>
          </w:tcPr>
          <w:p>
            <w:pPr>
              <w:adjustRightInd w:val="0"/>
              <w:snapToGrid w:val="0"/>
              <w:jc w:val="center"/>
              <w:rPr>
                <w:szCs w:val="21"/>
              </w:rPr>
            </w:pPr>
            <w:r>
              <w:rPr>
                <w:szCs w:val="21"/>
              </w:rPr>
              <w:t>/</w:t>
            </w:r>
          </w:p>
        </w:tc>
        <w:tc>
          <w:tcPr>
            <w:tcW w:w="1163" w:type="dxa"/>
            <w:vAlign w:val="center"/>
          </w:tcPr>
          <w:p>
            <w:pPr>
              <w:adjustRightInd w:val="0"/>
              <w:snapToGrid w:val="0"/>
              <w:jc w:val="center"/>
              <w:rPr>
                <w:szCs w:val="21"/>
              </w:rPr>
            </w:pPr>
            <w:r>
              <w:rPr>
                <w:szCs w:val="21"/>
              </w:rPr>
              <w:t>/</w:t>
            </w:r>
          </w:p>
        </w:tc>
        <w:tc>
          <w:tcPr>
            <w:tcW w:w="2126" w:type="dxa"/>
            <w:vAlign w:val="center"/>
          </w:tcPr>
          <w:p>
            <w:pPr>
              <w:adjustRightInd w:val="0"/>
              <w:snapToGrid w:val="0"/>
              <w:jc w:val="center"/>
              <w:rPr>
                <w:szCs w:val="21"/>
              </w:rPr>
            </w:pPr>
            <w:r>
              <w:rPr>
                <w:szCs w:val="21"/>
              </w:rPr>
              <w:t>/</w:t>
            </w:r>
          </w:p>
        </w:tc>
        <w:tc>
          <w:tcPr>
            <w:tcW w:w="1751"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环境风险</w:t>
            </w:r>
          </w:p>
        </w:tc>
        <w:tc>
          <w:tcPr>
            <w:tcW w:w="2102" w:type="dxa"/>
            <w:vAlign w:val="center"/>
          </w:tcPr>
          <w:p>
            <w:pPr>
              <w:adjustRightInd w:val="0"/>
              <w:snapToGrid w:val="0"/>
              <w:jc w:val="center"/>
              <w:rPr>
                <w:szCs w:val="21"/>
              </w:rPr>
            </w:pPr>
            <w:r>
              <w:rPr>
                <w:szCs w:val="21"/>
              </w:rPr>
              <w:t>/</w:t>
            </w:r>
          </w:p>
        </w:tc>
        <w:tc>
          <w:tcPr>
            <w:tcW w:w="1163" w:type="dxa"/>
            <w:vAlign w:val="center"/>
          </w:tcPr>
          <w:p>
            <w:pPr>
              <w:adjustRightInd w:val="0"/>
              <w:snapToGrid w:val="0"/>
              <w:jc w:val="center"/>
              <w:rPr>
                <w:szCs w:val="21"/>
              </w:rPr>
            </w:pPr>
            <w:r>
              <w:rPr>
                <w:szCs w:val="21"/>
              </w:rPr>
              <w:t>/</w:t>
            </w:r>
          </w:p>
        </w:tc>
        <w:tc>
          <w:tcPr>
            <w:tcW w:w="2126" w:type="dxa"/>
            <w:vAlign w:val="center"/>
          </w:tcPr>
          <w:p>
            <w:pPr>
              <w:adjustRightInd w:val="0"/>
              <w:snapToGrid w:val="0"/>
              <w:jc w:val="center"/>
              <w:rPr>
                <w:szCs w:val="21"/>
              </w:rPr>
            </w:pPr>
            <w:r>
              <w:rPr>
                <w:szCs w:val="21"/>
              </w:rPr>
              <w:t>/</w:t>
            </w:r>
          </w:p>
        </w:tc>
        <w:tc>
          <w:tcPr>
            <w:tcW w:w="1751" w:type="dxa"/>
            <w:vAlign w:val="center"/>
          </w:tcPr>
          <w:p>
            <w:pPr>
              <w:adjustRightInd w:val="0"/>
              <w:snapToGrid w:val="0"/>
              <w:jc w:val="center"/>
              <w:rPr>
                <w:szCs w:val="21"/>
              </w:rPr>
            </w:pP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0" w:type="dxa"/>
            <w:vAlign w:val="center"/>
          </w:tcPr>
          <w:p>
            <w:pPr>
              <w:adjustRightInd w:val="0"/>
              <w:snapToGrid w:val="0"/>
              <w:jc w:val="center"/>
              <w:rPr>
                <w:szCs w:val="21"/>
              </w:rPr>
            </w:pPr>
            <w:r>
              <w:rPr>
                <w:rFonts w:hAnsi="宋体"/>
                <w:szCs w:val="21"/>
              </w:rPr>
              <w:t>环境监测</w:t>
            </w:r>
          </w:p>
        </w:tc>
        <w:tc>
          <w:tcPr>
            <w:tcW w:w="714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lang w:eastAsia="zh-CN"/>
              </w:rPr>
            </w:pPr>
            <w:r>
              <w:rPr>
                <w:rFonts w:hint="eastAsia"/>
                <w:lang w:eastAsia="zh-CN"/>
              </w:rPr>
              <w:t>本工程监测计划见下表。</w:t>
            </w:r>
          </w:p>
          <w:p>
            <w:pPr>
              <w:pStyle w:val="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6-1本工程监测计划</w:t>
            </w:r>
          </w:p>
          <w:tbl>
            <w:tblPr>
              <w:tblStyle w:val="24"/>
              <w:tblW w:w="6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2254"/>
              <w:gridCol w:w="2085"/>
              <w:gridCol w:w="70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时期</w:t>
                  </w: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监测因子</w:t>
                  </w:r>
                </w:p>
              </w:tc>
              <w:tc>
                <w:tcPr>
                  <w:tcW w:w="208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监测点位</w:t>
                  </w: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监测频次</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eastAsia="zh-CN"/>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restar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运营期</w:t>
                  </w: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rPr>
                    <w:t>TSP</w:t>
                  </w:r>
                </w:p>
              </w:tc>
              <w:tc>
                <w:tcPr>
                  <w:tcW w:w="208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厂界上风向1个对照点，下风向设3个监控点</w:t>
                  </w: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1次/年</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满足《大气污染物综合排放标准》（GB16297-1996）无组织排放的要求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pH、总硬度、溶解性总固体、</w:t>
                  </w:r>
                  <w:r>
                    <w:rPr>
                      <w:rFonts w:hint="default" w:ascii="Times New Roman" w:hAnsi="Times New Roman" w:eastAsia="宋体" w:cs="Times New Roman"/>
                      <w:snapToGrid w:val="0"/>
                      <w:color w:val="auto"/>
                      <w:kern w:val="0"/>
                      <w:sz w:val="21"/>
                      <w:szCs w:val="21"/>
                    </w:rPr>
                    <w:t>硫酸盐、</w:t>
                  </w:r>
                  <w:r>
                    <w:rPr>
                      <w:rFonts w:hint="default" w:ascii="Times New Roman" w:hAnsi="Times New Roman" w:eastAsia="宋体" w:cs="Times New Roman"/>
                      <w:color w:val="auto"/>
                      <w:sz w:val="21"/>
                      <w:szCs w:val="21"/>
                    </w:rPr>
                    <w:t>氯化物、铁、锰、挥发性酚类、耗氧量、硝酸盐(以N计)、亚硝酸盐(以N计)</w:t>
                  </w:r>
                  <w:r>
                    <w:rPr>
                      <w:rFonts w:hint="default" w:ascii="Times New Roman" w:hAnsi="Times New Roman" w:eastAsia="宋体" w:cs="Times New Roman"/>
                      <w:snapToGrid w:val="0"/>
                      <w:color w:val="auto"/>
                      <w:kern w:val="0"/>
                      <w:sz w:val="21"/>
                      <w:szCs w:val="21"/>
                    </w:rPr>
                    <w:t>、</w:t>
                  </w:r>
                  <w:r>
                    <w:rPr>
                      <w:rFonts w:hint="default" w:ascii="Times New Roman" w:hAnsi="Times New Roman" w:eastAsia="宋体" w:cs="Times New Roman"/>
                      <w:color w:val="auto"/>
                      <w:sz w:val="21"/>
                      <w:szCs w:val="21"/>
                    </w:rPr>
                    <w:t>氨氮、氟化物、氰化物、</w:t>
                  </w:r>
                  <w:r>
                    <w:rPr>
                      <w:rFonts w:hint="default" w:ascii="Times New Roman" w:hAnsi="Times New Roman" w:eastAsia="宋体" w:cs="Times New Roman"/>
                      <w:snapToGrid w:val="0"/>
                      <w:color w:val="auto"/>
                      <w:kern w:val="0"/>
                      <w:sz w:val="21"/>
                      <w:szCs w:val="21"/>
                    </w:rPr>
                    <w:t>汞、砷、镉、六价铬、铅、总大肠菌群</w:t>
                  </w:r>
                  <w:r>
                    <w:rPr>
                      <w:rFonts w:hint="default" w:ascii="Times New Roman" w:hAnsi="Times New Roman" w:eastAsia="宋体" w:cs="Times New Roman"/>
                      <w:color w:val="auto"/>
                      <w:sz w:val="21"/>
                      <w:szCs w:val="21"/>
                    </w:rPr>
                    <w:t>数、菌落总数</w:t>
                  </w:r>
                </w:p>
              </w:tc>
              <w:tc>
                <w:tcPr>
                  <w:tcW w:w="208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堆填一区上游背景监测井、1座场地内地下水污染监测井、堆填二区设地下水上游背景监测井、1座场地内地下水污染监测井和</w:t>
                  </w:r>
                  <w:r>
                    <w:rPr>
                      <w:rFonts w:hint="default" w:ascii="Times New Roman" w:hAnsi="Times New Roman" w:eastAsia="宋体" w:cs="Times New Roman"/>
                      <w:color w:val="auto"/>
                      <w:sz w:val="21"/>
                      <w:szCs w:val="21"/>
                    </w:rPr>
                    <w:t>椒术洼组村井；</w:t>
                  </w:r>
                </w:p>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1次/年</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满足《地下水质量标准》（GB/T14848-2017）的要求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等效连续A声级</w:t>
                  </w:r>
                </w:p>
              </w:tc>
              <w:tc>
                <w:tcPr>
                  <w:tcW w:w="208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东南西北场界</w:t>
                  </w: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eastAsia="zh-CN"/>
                    </w:rPr>
                    <w:t>季度</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满足《工业企业厂界环境噪声排放标准》（GB12348-2008）2类标准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等效连续A声级</w:t>
                  </w:r>
                </w:p>
              </w:tc>
              <w:tc>
                <w:tcPr>
                  <w:tcW w:w="208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椒树洼组</w:t>
                  </w: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w:t>
                  </w:r>
                  <w:r>
                    <w:rPr>
                      <w:rFonts w:hint="default" w:ascii="Times New Roman" w:hAnsi="Times New Roman" w:eastAsia="宋体" w:cs="Times New Roman"/>
                      <w:color w:val="auto"/>
                      <w:sz w:val="21"/>
                      <w:szCs w:val="21"/>
                      <w:lang w:eastAsia="zh-CN"/>
                    </w:rPr>
                    <w:t>季度</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restart"/>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封场期</w:t>
                  </w: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pH、总硬度、溶解性总固体、</w:t>
                  </w:r>
                  <w:r>
                    <w:rPr>
                      <w:rFonts w:hint="default" w:ascii="Times New Roman" w:hAnsi="Times New Roman" w:eastAsia="宋体" w:cs="Times New Roman"/>
                      <w:snapToGrid w:val="0"/>
                      <w:color w:val="auto"/>
                      <w:kern w:val="0"/>
                      <w:sz w:val="21"/>
                      <w:szCs w:val="21"/>
                    </w:rPr>
                    <w:t>硫酸盐、</w:t>
                  </w:r>
                  <w:r>
                    <w:rPr>
                      <w:rFonts w:hint="default" w:ascii="Times New Roman" w:hAnsi="Times New Roman" w:eastAsia="宋体" w:cs="Times New Roman"/>
                      <w:color w:val="auto"/>
                      <w:sz w:val="21"/>
                      <w:szCs w:val="21"/>
                    </w:rPr>
                    <w:t>氯化物、铁、锰、挥发性酚类、耗氧量、硝酸盐(以N计)、亚硝酸盐(以N计)</w:t>
                  </w:r>
                  <w:r>
                    <w:rPr>
                      <w:rFonts w:hint="default" w:ascii="Times New Roman" w:hAnsi="Times New Roman" w:eastAsia="宋体" w:cs="Times New Roman"/>
                      <w:snapToGrid w:val="0"/>
                      <w:color w:val="auto"/>
                      <w:kern w:val="0"/>
                      <w:sz w:val="21"/>
                      <w:szCs w:val="21"/>
                    </w:rPr>
                    <w:t>、</w:t>
                  </w:r>
                  <w:r>
                    <w:rPr>
                      <w:rFonts w:hint="default" w:ascii="Times New Roman" w:hAnsi="Times New Roman" w:eastAsia="宋体" w:cs="Times New Roman"/>
                      <w:color w:val="auto"/>
                      <w:sz w:val="21"/>
                      <w:szCs w:val="21"/>
                    </w:rPr>
                    <w:t>氨氮、氟化物、氰化物、</w:t>
                  </w:r>
                  <w:r>
                    <w:rPr>
                      <w:rFonts w:hint="default" w:ascii="Times New Roman" w:hAnsi="Times New Roman" w:eastAsia="宋体" w:cs="Times New Roman"/>
                      <w:snapToGrid w:val="0"/>
                      <w:color w:val="auto"/>
                      <w:kern w:val="0"/>
                      <w:sz w:val="21"/>
                      <w:szCs w:val="21"/>
                    </w:rPr>
                    <w:t>汞、砷、镉、六价铬、铅、总大肠菌群</w:t>
                  </w:r>
                  <w:r>
                    <w:rPr>
                      <w:rFonts w:hint="default" w:ascii="Times New Roman" w:hAnsi="Times New Roman" w:eastAsia="宋体" w:cs="Times New Roman"/>
                      <w:color w:val="auto"/>
                      <w:sz w:val="21"/>
                      <w:szCs w:val="21"/>
                    </w:rPr>
                    <w:t>数、菌落总数</w:t>
                  </w:r>
                </w:p>
              </w:tc>
              <w:tc>
                <w:tcPr>
                  <w:tcW w:w="208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rPr>
                    <w:t>堆填一区上游背景监测井、1座场地内地下水污染监测井、堆填二区设地下水上游背景监测井、1座场地内地下水污染监测井和</w:t>
                  </w:r>
                  <w:r>
                    <w:rPr>
                      <w:rFonts w:hint="default" w:ascii="Times New Roman" w:hAnsi="Times New Roman" w:eastAsia="宋体" w:cs="Times New Roman"/>
                      <w:color w:val="auto"/>
                      <w:sz w:val="21"/>
                      <w:szCs w:val="21"/>
                    </w:rPr>
                    <w:t>椒术洼组村井</w:t>
                  </w: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1次/年</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满足《地下水质量标准》（GB/T14848-2017）的要求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225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Cs/>
                      <w:color w:val="auto"/>
                      <w:sz w:val="21"/>
                      <w:szCs w:val="21"/>
                    </w:rPr>
                    <w:t>地面沉降，</w:t>
                  </w:r>
                </w:p>
              </w:tc>
              <w:tc>
                <w:tcPr>
                  <w:tcW w:w="208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Cs/>
                      <w:color w:val="auto"/>
                      <w:sz w:val="21"/>
                      <w:szCs w:val="21"/>
                    </w:rPr>
                    <w:t>堆体的平台上设置2点，顶面设置4点。</w:t>
                  </w:r>
                </w:p>
              </w:tc>
              <w:tc>
                <w:tcPr>
                  <w:tcW w:w="705"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1次/年</w:t>
                  </w:r>
                </w:p>
              </w:tc>
              <w:tc>
                <w:tcPr>
                  <w:tcW w:w="1424" w:type="dxa"/>
                  <w:vAlign w:val="center"/>
                </w:tcPr>
                <w:p>
                  <w:pPr>
                    <w:pStyle w:val="2"/>
                    <w:keepNext w:val="0"/>
                    <w:keepLines w:val="0"/>
                    <w:pageBreakBefore w:val="0"/>
                    <w:widowControl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bl>
          <w:p>
            <w:pPr>
              <w:pStyle w:val="2"/>
              <w:rPr>
                <w:rFonts w:hint="default" w:hAnsi="宋体"/>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0" w:type="dxa"/>
            <w:vAlign w:val="center"/>
          </w:tcPr>
          <w:p>
            <w:pPr>
              <w:adjustRightInd w:val="0"/>
              <w:snapToGrid w:val="0"/>
              <w:jc w:val="center"/>
              <w:rPr>
                <w:szCs w:val="21"/>
              </w:rPr>
            </w:pPr>
            <w:r>
              <w:rPr>
                <w:rFonts w:hAnsi="宋体"/>
                <w:szCs w:val="21"/>
              </w:rPr>
              <w:t>其他</w:t>
            </w:r>
          </w:p>
        </w:tc>
        <w:tc>
          <w:tcPr>
            <w:tcW w:w="2102" w:type="dxa"/>
            <w:vAlign w:val="center"/>
          </w:tcPr>
          <w:p>
            <w:pPr>
              <w:adjustRightInd w:val="0"/>
              <w:snapToGrid w:val="0"/>
              <w:jc w:val="center"/>
              <w:rPr>
                <w:szCs w:val="21"/>
              </w:rPr>
            </w:pPr>
            <w:r>
              <w:rPr>
                <w:szCs w:val="21"/>
              </w:rPr>
              <w:t>/</w:t>
            </w:r>
          </w:p>
        </w:tc>
        <w:tc>
          <w:tcPr>
            <w:tcW w:w="1163" w:type="dxa"/>
            <w:vAlign w:val="center"/>
          </w:tcPr>
          <w:p>
            <w:pPr>
              <w:adjustRightInd w:val="0"/>
              <w:snapToGrid w:val="0"/>
              <w:jc w:val="center"/>
              <w:rPr>
                <w:szCs w:val="21"/>
              </w:rPr>
            </w:pPr>
            <w:r>
              <w:rPr>
                <w:szCs w:val="21"/>
              </w:rPr>
              <w:t>/</w:t>
            </w:r>
          </w:p>
        </w:tc>
        <w:tc>
          <w:tcPr>
            <w:tcW w:w="2126" w:type="dxa"/>
            <w:vAlign w:val="center"/>
          </w:tcPr>
          <w:p>
            <w:pPr>
              <w:adjustRightInd w:val="0"/>
              <w:snapToGrid w:val="0"/>
              <w:jc w:val="center"/>
              <w:rPr>
                <w:szCs w:val="21"/>
              </w:rPr>
            </w:pPr>
            <w:r>
              <w:rPr>
                <w:szCs w:val="21"/>
              </w:rPr>
              <w:t>/</w:t>
            </w:r>
          </w:p>
        </w:tc>
        <w:tc>
          <w:tcPr>
            <w:tcW w:w="1751" w:type="dxa"/>
            <w:vAlign w:val="center"/>
          </w:tcPr>
          <w:p>
            <w:pPr>
              <w:adjustRightInd w:val="0"/>
              <w:snapToGrid w:val="0"/>
              <w:jc w:val="center"/>
              <w:rPr>
                <w:szCs w:val="21"/>
              </w:rPr>
            </w:pPr>
            <w:r>
              <w:rPr>
                <w:szCs w:val="21"/>
              </w:rPr>
              <w:t>/</w:t>
            </w:r>
          </w:p>
        </w:tc>
      </w:tr>
    </w:tbl>
    <w:p>
      <w:pPr>
        <w:pStyle w:val="18"/>
        <w:jc w:val="center"/>
        <w:outlineLvl w:val="0"/>
        <w:rPr>
          <w:rFonts w:ascii="Times New Roman" w:hAnsi="Times New Roman" w:eastAsia="黑体"/>
          <w:snapToGrid w:val="0"/>
          <w:sz w:val="30"/>
          <w:szCs w:val="30"/>
        </w:rPr>
      </w:pPr>
    </w:p>
    <w:p>
      <w:pPr>
        <w:pStyle w:val="18"/>
        <w:spacing w:before="0" w:beforeAutospacing="0" w:line="14" w:lineRule="auto"/>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br w:type="page"/>
      </w:r>
    </w:p>
    <w:p>
      <w:pPr>
        <w:pStyle w:val="18"/>
        <w:spacing w:beforeLines="80" w:beforeAutospacing="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七、结论</w:t>
      </w:r>
    </w:p>
    <w:tbl>
      <w:tblPr>
        <w:tblStyle w:val="23"/>
        <w:tblW w:w="92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49" w:hRule="atLeast"/>
          <w:jc w:val="center"/>
        </w:trPr>
        <w:tc>
          <w:tcPr>
            <w:tcW w:w="9289" w:type="dxa"/>
            <w:vAlign w:val="center"/>
          </w:tcPr>
          <w:p>
            <w:pPr>
              <w:spacing w:line="360" w:lineRule="auto"/>
              <w:ind w:firstLine="482" w:firstLineChars="200"/>
              <w:jc w:val="center"/>
              <w:rPr>
                <w:b/>
                <w:sz w:val="24"/>
                <w:szCs w:val="24"/>
              </w:rPr>
            </w:pPr>
          </w:p>
          <w:p>
            <w:pPr>
              <w:spacing w:line="360" w:lineRule="auto"/>
              <w:ind w:firstLine="480" w:firstLineChars="200"/>
              <w:jc w:val="left"/>
              <w:rPr>
                <w:sz w:val="24"/>
                <w:szCs w:val="24"/>
              </w:rPr>
            </w:pPr>
            <w:r>
              <w:rPr>
                <w:sz w:val="24"/>
                <w:szCs w:val="24"/>
              </w:rPr>
              <w:t>综上所述，</w:t>
            </w:r>
            <w:r>
              <w:rPr>
                <w:rFonts w:hint="eastAsia"/>
                <w:sz w:val="24"/>
                <w:szCs w:val="24"/>
                <w:lang w:eastAsia="zh-CN"/>
              </w:rPr>
              <w:t>本工程</w:t>
            </w:r>
            <w:r>
              <w:rPr>
                <w:sz w:val="24"/>
                <w:szCs w:val="24"/>
              </w:rPr>
              <w:t>的建设符合国家和地方产业政策</w:t>
            </w:r>
            <w:r>
              <w:rPr>
                <w:rFonts w:hint="eastAsia"/>
                <w:sz w:val="24"/>
                <w:szCs w:val="24"/>
              </w:rPr>
              <w:t>，</w:t>
            </w:r>
            <w:r>
              <w:rPr>
                <w:sz w:val="24"/>
                <w:szCs w:val="24"/>
              </w:rPr>
              <w:t>在严格落实</w:t>
            </w:r>
            <w:r>
              <w:rPr>
                <w:rFonts w:hint="eastAsia"/>
                <w:sz w:val="24"/>
                <w:szCs w:val="24"/>
                <w:lang w:eastAsia="zh-CN"/>
              </w:rPr>
              <w:t>工程</w:t>
            </w:r>
            <w:r>
              <w:rPr>
                <w:sz w:val="24"/>
                <w:szCs w:val="24"/>
              </w:rPr>
              <w:t>各项污染防治设施的前提下</w:t>
            </w:r>
            <w:r>
              <w:rPr>
                <w:rFonts w:hint="eastAsia"/>
                <w:sz w:val="24"/>
                <w:szCs w:val="24"/>
              </w:rPr>
              <w:t>，</w:t>
            </w:r>
            <w:r>
              <w:rPr>
                <w:rFonts w:hint="eastAsia"/>
                <w:sz w:val="24"/>
                <w:szCs w:val="24"/>
                <w:lang w:eastAsia="zh-CN"/>
              </w:rPr>
              <w:t>工程</w:t>
            </w:r>
            <w:r>
              <w:rPr>
                <w:rFonts w:hint="eastAsia"/>
                <w:sz w:val="24"/>
                <w:szCs w:val="24"/>
              </w:rPr>
              <w:t>建设期、营运期和封场期</w:t>
            </w:r>
            <w:r>
              <w:rPr>
                <w:sz w:val="24"/>
                <w:szCs w:val="24"/>
              </w:rPr>
              <w:t>各主要污染物均能做到达标排放</w:t>
            </w:r>
            <w:r>
              <w:rPr>
                <w:rFonts w:hint="eastAsia"/>
                <w:sz w:val="24"/>
                <w:szCs w:val="24"/>
              </w:rPr>
              <w:t>和生态环境影响较小，</w:t>
            </w:r>
            <w:r>
              <w:rPr>
                <w:sz w:val="24"/>
                <w:szCs w:val="24"/>
              </w:rPr>
              <w:t>对区域</w:t>
            </w:r>
            <w:r>
              <w:rPr>
                <w:rFonts w:hint="eastAsia"/>
                <w:sz w:val="24"/>
                <w:szCs w:val="24"/>
              </w:rPr>
              <w:t>生态</w:t>
            </w:r>
            <w:r>
              <w:rPr>
                <w:sz w:val="24"/>
                <w:szCs w:val="24"/>
              </w:rPr>
              <w:t>环境质量及敏感保护目标不会产生明显不利影响。因此，从环境影响角度分析，</w:t>
            </w:r>
            <w:r>
              <w:rPr>
                <w:rFonts w:hint="eastAsia"/>
                <w:sz w:val="24"/>
                <w:szCs w:val="24"/>
                <w:lang w:eastAsia="zh-CN"/>
              </w:rPr>
              <w:t>工程</w:t>
            </w:r>
            <w:r>
              <w:rPr>
                <w:sz w:val="24"/>
                <w:szCs w:val="24"/>
              </w:rPr>
              <w:t>建设是可行的。</w:t>
            </w:r>
          </w:p>
          <w:p>
            <w:pPr>
              <w:spacing w:line="360" w:lineRule="auto"/>
              <w:ind w:firstLine="420" w:firstLineChars="200"/>
              <w:jc w:val="center"/>
              <w:outlineLvl w:val="1"/>
              <w:rPr>
                <w:szCs w:val="21"/>
              </w:rPr>
            </w:pPr>
          </w:p>
        </w:tc>
      </w:tr>
    </w:tbl>
    <w:p/>
    <w:p>
      <w:pPr>
        <w:pStyle w:val="18"/>
        <w:adjustRightInd w:val="0"/>
        <w:snapToGrid w:val="0"/>
        <w:spacing w:before="0" w:beforeAutospacing="0" w:after="0" w:afterAutospacing="0" w:line="648"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br w:type="page"/>
      </w:r>
      <w:r>
        <w:rPr>
          <w:rFonts w:ascii="Times New Roman" w:hAnsi="Times New Roman" w:eastAsia="黑体"/>
          <w:snapToGrid w:val="0"/>
          <w:sz w:val="32"/>
          <w:szCs w:val="32"/>
        </w:rPr>
        <w:t>附表</w:t>
      </w:r>
    </w:p>
    <w:p>
      <w:pPr>
        <w:pStyle w:val="18"/>
        <w:adjustRightInd w:val="0"/>
        <w:snapToGrid w:val="0"/>
        <w:spacing w:before="0" w:beforeAutospacing="0" w:after="0" w:afterAutospacing="0" w:line="552" w:lineRule="auto"/>
        <w:jc w:val="center"/>
        <w:rPr>
          <w:rFonts w:ascii="Times New Roman" w:hAnsi="Times New Roman" w:eastAsia="方正小标宋_GBK"/>
          <w:snapToGrid w:val="0"/>
          <w:sz w:val="38"/>
          <w:szCs w:val="38"/>
        </w:rPr>
      </w:pPr>
      <w:r>
        <w:rPr>
          <w:rFonts w:ascii="Times New Roman" w:hAnsi="Times New Roman" w:eastAsia="方正小标宋_GBK"/>
          <w:snapToGrid w:val="0"/>
          <w:sz w:val="38"/>
          <w:szCs w:val="38"/>
        </w:rPr>
        <w:t>编制单位和编制人员情况表</w:t>
      </w:r>
    </w:p>
    <w:tbl>
      <w:tblPr>
        <w:tblStyle w:val="23"/>
        <w:tblW w:w="883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68"/>
        <w:gridCol w:w="1814"/>
        <w:gridCol w:w="2126"/>
        <w:gridCol w:w="1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项目编号</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建设项目名称</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建设项目类别</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环境影响评价文件类型</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35" w:type="dxa"/>
            <w:gridSpan w:val="5"/>
            <w:vAlign w:val="center"/>
          </w:tcPr>
          <w:p>
            <w:pPr>
              <w:pStyle w:val="18"/>
              <w:widowControl w:val="0"/>
              <w:adjustRightInd w:val="0"/>
              <w:snapToGrid w:val="0"/>
              <w:spacing w:before="0" w:beforeAutospacing="0" w:after="0" w:afterAutospacing="0"/>
              <w:jc w:val="both"/>
              <w:rPr>
                <w:rFonts w:ascii="Times New Roman" w:hAnsi="Times New Roman" w:eastAsia="黑体"/>
                <w:kern w:val="2"/>
                <w:sz w:val="21"/>
                <w:szCs w:val="21"/>
              </w:rPr>
            </w:pPr>
            <w:r>
              <w:rPr>
                <w:rFonts w:ascii="Times New Roman" w:hAnsi="Times New Roman" w:eastAsia="黑体"/>
                <w:kern w:val="2"/>
                <w:sz w:val="21"/>
                <w:szCs w:val="21"/>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单位名称（盖章）</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统一社会信用代码</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法定代表人（签章）</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主要负责人（签字）</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直接负责的主管人员（签字）</w:t>
            </w:r>
          </w:p>
        </w:tc>
        <w:tc>
          <w:tcPr>
            <w:tcW w:w="5266" w:type="dxa"/>
            <w:gridSpan w:val="3"/>
            <w:vAlign w:val="center"/>
          </w:tcPr>
          <w:p>
            <w:pPr>
              <w:pStyle w:val="18"/>
              <w:widowControl w:val="0"/>
              <w:adjustRightInd w:val="0"/>
              <w:snapToGrid w:val="0"/>
              <w:spacing w:before="0" w:beforeAutospacing="0" w:after="0" w:afterAutospacing="0"/>
              <w:jc w:val="both"/>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35" w:type="dxa"/>
            <w:gridSpan w:val="5"/>
            <w:vAlign w:val="center"/>
          </w:tcPr>
          <w:p>
            <w:pPr>
              <w:pStyle w:val="18"/>
              <w:widowControl w:val="0"/>
              <w:adjustRightInd w:val="0"/>
              <w:snapToGrid w:val="0"/>
              <w:spacing w:before="0" w:beforeAutospacing="0" w:after="0" w:afterAutospacing="0"/>
              <w:jc w:val="both"/>
              <w:rPr>
                <w:rFonts w:ascii="Times New Roman" w:hAnsi="Times New Roman" w:eastAsia="黑体"/>
                <w:b/>
                <w:kern w:val="2"/>
                <w:sz w:val="21"/>
                <w:szCs w:val="21"/>
              </w:rPr>
            </w:pPr>
            <w:r>
              <w:rPr>
                <w:rFonts w:ascii="Times New Roman" w:hAnsi="Times New Roman" w:eastAsia="黑体"/>
                <w:kern w:val="2"/>
                <w:sz w:val="21"/>
                <w:szCs w:val="21"/>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单位名称（盖章）</w:t>
            </w:r>
          </w:p>
        </w:tc>
        <w:tc>
          <w:tcPr>
            <w:tcW w:w="5266" w:type="dxa"/>
            <w:gridSpan w:val="3"/>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569"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统一社会信用代码</w:t>
            </w:r>
          </w:p>
        </w:tc>
        <w:tc>
          <w:tcPr>
            <w:tcW w:w="5266" w:type="dxa"/>
            <w:gridSpan w:val="3"/>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35" w:type="dxa"/>
            <w:gridSpan w:val="5"/>
            <w:vAlign w:val="center"/>
          </w:tcPr>
          <w:p>
            <w:pPr>
              <w:pStyle w:val="18"/>
              <w:widowControl w:val="0"/>
              <w:adjustRightInd w:val="0"/>
              <w:snapToGrid w:val="0"/>
              <w:spacing w:before="0" w:beforeAutospacing="0" w:after="0" w:afterAutospacing="0"/>
              <w:rPr>
                <w:rFonts w:ascii="Times New Roman" w:hAnsi="Times New Roman" w:eastAsia="黑体"/>
                <w:kern w:val="2"/>
                <w:sz w:val="21"/>
                <w:szCs w:val="21"/>
              </w:rPr>
            </w:pPr>
            <w:r>
              <w:rPr>
                <w:rFonts w:ascii="Times New Roman" w:hAnsi="Times New Roman" w:eastAsia="黑体"/>
                <w:kern w:val="2"/>
                <w:sz w:val="21"/>
                <w:szCs w:val="21"/>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35" w:type="dxa"/>
            <w:gridSpan w:val="5"/>
            <w:vAlign w:val="center"/>
          </w:tcPr>
          <w:p>
            <w:pPr>
              <w:pStyle w:val="18"/>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kern w:val="2"/>
                <w:sz w:val="21"/>
                <w:szCs w:val="21"/>
              </w:rPr>
              <w:t>1.编制主持人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姓名</w:t>
            </w: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职业资格证书管理号</w:t>
            </w: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信用编号</w:t>
            </w: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35" w:type="dxa"/>
            <w:gridSpan w:val="5"/>
            <w:vAlign w:val="center"/>
          </w:tcPr>
          <w:p>
            <w:pPr>
              <w:pStyle w:val="18"/>
              <w:widowControl w:val="0"/>
              <w:adjustRightInd w:val="0"/>
              <w:snapToGrid w:val="0"/>
              <w:spacing w:before="0" w:beforeAutospacing="0" w:after="0" w:afterAutospacing="0"/>
              <w:rPr>
                <w:rFonts w:ascii="Times New Roman" w:hAnsi="Times New Roman"/>
                <w:kern w:val="2"/>
                <w:sz w:val="21"/>
                <w:szCs w:val="21"/>
              </w:rPr>
            </w:pPr>
            <w:r>
              <w:rPr>
                <w:rFonts w:ascii="Times New Roman" w:hAnsi="Times New Roman"/>
                <w:kern w:val="2"/>
                <w:sz w:val="21"/>
                <w:szCs w:val="21"/>
              </w:rPr>
              <w:t>2.主要编制人员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姓名</w:t>
            </w: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主要编写内容</w:t>
            </w: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信用编号</w:t>
            </w: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301"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4082" w:type="dxa"/>
            <w:gridSpan w:val="2"/>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21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c>
          <w:tcPr>
            <w:tcW w:w="1326" w:type="dxa"/>
            <w:vAlign w:val="center"/>
          </w:tcPr>
          <w:p>
            <w:pPr>
              <w:pStyle w:val="18"/>
              <w:widowControl w:val="0"/>
              <w:adjustRightInd w:val="0"/>
              <w:snapToGrid w:val="0"/>
              <w:spacing w:before="0" w:beforeAutospacing="0" w:after="0" w:afterAutospacing="0"/>
              <w:jc w:val="center"/>
              <w:rPr>
                <w:rFonts w:ascii="Times New Roman" w:hAnsi="Times New Roman"/>
                <w:kern w:val="2"/>
                <w:sz w:val="21"/>
                <w:szCs w:val="21"/>
              </w:rPr>
            </w:pPr>
          </w:p>
        </w:tc>
      </w:tr>
    </w:tbl>
    <w:p>
      <w:pPr>
        <w:adjustRightInd w:val="0"/>
        <w:snapToGrid w:val="0"/>
        <w:spacing w:beforeLines="80"/>
        <w:rPr>
          <w:szCs w:val="21"/>
        </w:rPr>
      </w:pPr>
      <w:r>
        <w:rPr>
          <w:szCs w:val="21"/>
        </w:rPr>
        <w:t>注：该表由环境影响评价信用平台自动生成</w:t>
      </w:r>
    </w:p>
    <w:p>
      <w:pPr>
        <w:widowControl/>
        <w:adjustRightInd w:val="0"/>
        <w:snapToGrid w:val="0"/>
        <w:spacing w:beforeLines="80"/>
        <w:jc w:val="left"/>
      </w:pPr>
    </w:p>
    <w:sectPr>
      <w:pgSz w:w="11906" w:h="16838"/>
      <w:pgMar w:top="1440" w:right="1800" w:bottom="1440" w:left="1800"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30</w:t>
    </w:r>
    <w:r>
      <w:rPr>
        <w:lang w:val="zh-CN"/>
      </w:rPr>
      <w:fldChar w:fldCharType="end"/>
    </w:r>
  </w:p>
  <w:p>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E31A3"/>
    <w:multiLevelType w:val="singleLevel"/>
    <w:tmpl w:val="B22E31A3"/>
    <w:lvl w:ilvl="0" w:tentative="0">
      <w:start w:val="1"/>
      <w:numFmt w:val="chineseCounting"/>
      <w:suff w:val="nothing"/>
      <w:lvlText w:val="%1、"/>
      <w:lvlJc w:val="left"/>
      <w:rPr>
        <w:rFonts w:hint="eastAsia"/>
      </w:rPr>
    </w:lvl>
  </w:abstractNum>
  <w:abstractNum w:abstractNumId="1">
    <w:nsid w:val="08794A53"/>
    <w:multiLevelType w:val="multilevel"/>
    <w:tmpl w:val="08794A53"/>
    <w:lvl w:ilvl="0" w:tentative="0">
      <w:start w:val="1"/>
      <w:numFmt w:val="japaneseCounting"/>
      <w:lvlText w:val="%1、"/>
      <w:lvlJc w:val="left"/>
      <w:pPr>
        <w:ind w:left="872" w:hanging="450"/>
      </w:pPr>
      <w:rPr>
        <w:rFonts w:hint="default" w:hAnsi="宋体"/>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31886AA5"/>
    <w:multiLevelType w:val="multilevel"/>
    <w:tmpl w:val="31886AA5"/>
    <w:lvl w:ilvl="0" w:tentative="0">
      <w:start w:val="1"/>
      <w:numFmt w:val="japaneseCounting"/>
      <w:lvlText w:val="%1、"/>
      <w:lvlJc w:val="left"/>
      <w:pPr>
        <w:ind w:left="870" w:hanging="450"/>
      </w:pPr>
      <w:rPr>
        <w:rFonts w:hint="default"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863A70A"/>
    <w:multiLevelType w:val="singleLevel"/>
    <w:tmpl w:val="4863A70A"/>
    <w:lvl w:ilvl="0" w:tentative="0">
      <w:start w:val="2"/>
      <w:numFmt w:val="decimal"/>
      <w:suff w:val="nothing"/>
      <w:lvlText w:val="（%1）"/>
      <w:lvlJc w:val="left"/>
    </w:lvl>
  </w:abstractNum>
  <w:abstractNum w:abstractNumId="4">
    <w:nsid w:val="540665B7"/>
    <w:multiLevelType w:val="singleLevel"/>
    <w:tmpl w:val="540665B7"/>
    <w:lvl w:ilvl="0" w:tentative="0">
      <w:start w:val="3"/>
      <w:numFmt w:val="decimal"/>
      <w:suff w:val="nothing"/>
      <w:lvlText w:val="（%1）"/>
      <w:lvlJc w:val="left"/>
      <w:rPr>
        <w:rFonts w:hint="default"/>
        <w:color w:val="FF0000"/>
        <w:sz w:val="24"/>
        <w:szCs w:val="24"/>
      </w:rPr>
    </w:lvl>
  </w:abstractNum>
  <w:abstractNum w:abstractNumId="5">
    <w:nsid w:val="676708C2"/>
    <w:multiLevelType w:val="singleLevel"/>
    <w:tmpl w:val="676708C2"/>
    <w:lvl w:ilvl="0" w:tentative="0">
      <w:start w:val="1"/>
      <w:numFmt w:val="decimal"/>
      <w:suff w:val="nothing"/>
      <w:lvlText w:val="%1、"/>
      <w:lvlJc w:val="left"/>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trackedChanges" w:enforcement="0"/>
  <w:defaultTabStop w:val="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0F7"/>
    <w:rsid w:val="00003CBF"/>
    <w:rsid w:val="00003CD8"/>
    <w:rsid w:val="00014965"/>
    <w:rsid w:val="0001523A"/>
    <w:rsid w:val="00016ECB"/>
    <w:rsid w:val="000269F6"/>
    <w:rsid w:val="00031939"/>
    <w:rsid w:val="00031E21"/>
    <w:rsid w:val="00032D25"/>
    <w:rsid w:val="00033DBE"/>
    <w:rsid w:val="00042163"/>
    <w:rsid w:val="0005219D"/>
    <w:rsid w:val="0005568F"/>
    <w:rsid w:val="000570E0"/>
    <w:rsid w:val="0006153D"/>
    <w:rsid w:val="00061549"/>
    <w:rsid w:val="00061B1F"/>
    <w:rsid w:val="0006265F"/>
    <w:rsid w:val="0006514B"/>
    <w:rsid w:val="000664DB"/>
    <w:rsid w:val="0006686E"/>
    <w:rsid w:val="0007127D"/>
    <w:rsid w:val="00071AE5"/>
    <w:rsid w:val="00074783"/>
    <w:rsid w:val="0007656D"/>
    <w:rsid w:val="000801E0"/>
    <w:rsid w:val="00082A29"/>
    <w:rsid w:val="0008331D"/>
    <w:rsid w:val="00083C18"/>
    <w:rsid w:val="00085929"/>
    <w:rsid w:val="00091819"/>
    <w:rsid w:val="00092899"/>
    <w:rsid w:val="000A0CC4"/>
    <w:rsid w:val="000A178E"/>
    <w:rsid w:val="000A27CC"/>
    <w:rsid w:val="000A428D"/>
    <w:rsid w:val="000A557E"/>
    <w:rsid w:val="000B058F"/>
    <w:rsid w:val="000B537D"/>
    <w:rsid w:val="000B693F"/>
    <w:rsid w:val="000C09AC"/>
    <w:rsid w:val="000C0A63"/>
    <w:rsid w:val="000C39C2"/>
    <w:rsid w:val="000C3BBD"/>
    <w:rsid w:val="000C437E"/>
    <w:rsid w:val="000C5F4D"/>
    <w:rsid w:val="000C78AB"/>
    <w:rsid w:val="000D14A2"/>
    <w:rsid w:val="000D3272"/>
    <w:rsid w:val="000E4154"/>
    <w:rsid w:val="000E4433"/>
    <w:rsid w:val="000E5F16"/>
    <w:rsid w:val="000E6BEB"/>
    <w:rsid w:val="000F4452"/>
    <w:rsid w:val="000F6DA1"/>
    <w:rsid w:val="000F701B"/>
    <w:rsid w:val="001056A0"/>
    <w:rsid w:val="00115279"/>
    <w:rsid w:val="00117459"/>
    <w:rsid w:val="0011749A"/>
    <w:rsid w:val="00127A68"/>
    <w:rsid w:val="00131C74"/>
    <w:rsid w:val="00135ACD"/>
    <w:rsid w:val="001360CA"/>
    <w:rsid w:val="00140B13"/>
    <w:rsid w:val="00141B68"/>
    <w:rsid w:val="00144CC5"/>
    <w:rsid w:val="001466DA"/>
    <w:rsid w:val="00154DE1"/>
    <w:rsid w:val="00155B40"/>
    <w:rsid w:val="00157435"/>
    <w:rsid w:val="00163EEA"/>
    <w:rsid w:val="00167A07"/>
    <w:rsid w:val="00167A97"/>
    <w:rsid w:val="00170363"/>
    <w:rsid w:val="0017046A"/>
    <w:rsid w:val="001704A3"/>
    <w:rsid w:val="001716A2"/>
    <w:rsid w:val="0017359B"/>
    <w:rsid w:val="0017504D"/>
    <w:rsid w:val="00176178"/>
    <w:rsid w:val="00177422"/>
    <w:rsid w:val="00177C06"/>
    <w:rsid w:val="001821E3"/>
    <w:rsid w:val="00184296"/>
    <w:rsid w:val="00184F10"/>
    <w:rsid w:val="00185546"/>
    <w:rsid w:val="0019146B"/>
    <w:rsid w:val="00194398"/>
    <w:rsid w:val="00194EA5"/>
    <w:rsid w:val="00196FF3"/>
    <w:rsid w:val="00197F1E"/>
    <w:rsid w:val="001A29A5"/>
    <w:rsid w:val="001A6574"/>
    <w:rsid w:val="001A7D2A"/>
    <w:rsid w:val="001B574C"/>
    <w:rsid w:val="001C0AF9"/>
    <w:rsid w:val="001C155A"/>
    <w:rsid w:val="001C48C0"/>
    <w:rsid w:val="001D2256"/>
    <w:rsid w:val="001D337A"/>
    <w:rsid w:val="001D6726"/>
    <w:rsid w:val="001E21FF"/>
    <w:rsid w:val="001E664E"/>
    <w:rsid w:val="001F3347"/>
    <w:rsid w:val="001F335D"/>
    <w:rsid w:val="001F4440"/>
    <w:rsid w:val="001F5A26"/>
    <w:rsid w:val="001F69E4"/>
    <w:rsid w:val="001F7D06"/>
    <w:rsid w:val="002036DD"/>
    <w:rsid w:val="00206A65"/>
    <w:rsid w:val="00212D31"/>
    <w:rsid w:val="002130C7"/>
    <w:rsid w:val="002142CC"/>
    <w:rsid w:val="002208BC"/>
    <w:rsid w:val="00220FC5"/>
    <w:rsid w:val="002218A8"/>
    <w:rsid w:val="0022306D"/>
    <w:rsid w:val="00226574"/>
    <w:rsid w:val="002278EC"/>
    <w:rsid w:val="002357C7"/>
    <w:rsid w:val="002367C4"/>
    <w:rsid w:val="00236AF8"/>
    <w:rsid w:val="0024058F"/>
    <w:rsid w:val="0024336C"/>
    <w:rsid w:val="002502EB"/>
    <w:rsid w:val="00250C84"/>
    <w:rsid w:val="002524FC"/>
    <w:rsid w:val="0025302D"/>
    <w:rsid w:val="0025531F"/>
    <w:rsid w:val="0025679E"/>
    <w:rsid w:val="0025735D"/>
    <w:rsid w:val="00260C68"/>
    <w:rsid w:val="00260F01"/>
    <w:rsid w:val="002637A8"/>
    <w:rsid w:val="002648B0"/>
    <w:rsid w:val="00264ADB"/>
    <w:rsid w:val="00266A5C"/>
    <w:rsid w:val="00275271"/>
    <w:rsid w:val="0027535E"/>
    <w:rsid w:val="00275AA6"/>
    <w:rsid w:val="0027787B"/>
    <w:rsid w:val="00277E44"/>
    <w:rsid w:val="00277F0B"/>
    <w:rsid w:val="002807D5"/>
    <w:rsid w:val="00282CCD"/>
    <w:rsid w:val="0028439F"/>
    <w:rsid w:val="00285CFF"/>
    <w:rsid w:val="002926BF"/>
    <w:rsid w:val="002A168C"/>
    <w:rsid w:val="002A2C48"/>
    <w:rsid w:val="002A3533"/>
    <w:rsid w:val="002A3EED"/>
    <w:rsid w:val="002A4A39"/>
    <w:rsid w:val="002A5A17"/>
    <w:rsid w:val="002A6425"/>
    <w:rsid w:val="002B49E2"/>
    <w:rsid w:val="002B7B00"/>
    <w:rsid w:val="002B7C44"/>
    <w:rsid w:val="002C1388"/>
    <w:rsid w:val="002C3C6A"/>
    <w:rsid w:val="002C7A4D"/>
    <w:rsid w:val="002D42DB"/>
    <w:rsid w:val="002D6CB5"/>
    <w:rsid w:val="002E1F3A"/>
    <w:rsid w:val="002E298A"/>
    <w:rsid w:val="002F02A4"/>
    <w:rsid w:val="002F272B"/>
    <w:rsid w:val="002F4FF3"/>
    <w:rsid w:val="002F6911"/>
    <w:rsid w:val="002F7050"/>
    <w:rsid w:val="002F7C6D"/>
    <w:rsid w:val="003027E4"/>
    <w:rsid w:val="0030332C"/>
    <w:rsid w:val="00311382"/>
    <w:rsid w:val="00312296"/>
    <w:rsid w:val="0031340E"/>
    <w:rsid w:val="00316464"/>
    <w:rsid w:val="0032073A"/>
    <w:rsid w:val="00321D8E"/>
    <w:rsid w:val="00322254"/>
    <w:rsid w:val="00327D47"/>
    <w:rsid w:val="00327FB4"/>
    <w:rsid w:val="00332B25"/>
    <w:rsid w:val="00334996"/>
    <w:rsid w:val="00336969"/>
    <w:rsid w:val="00336C52"/>
    <w:rsid w:val="00337A3A"/>
    <w:rsid w:val="00340749"/>
    <w:rsid w:val="00341B3E"/>
    <w:rsid w:val="00341B42"/>
    <w:rsid w:val="00343EBD"/>
    <w:rsid w:val="00345154"/>
    <w:rsid w:val="0034560E"/>
    <w:rsid w:val="003458BE"/>
    <w:rsid w:val="00350523"/>
    <w:rsid w:val="00352975"/>
    <w:rsid w:val="00353F8E"/>
    <w:rsid w:val="003556C3"/>
    <w:rsid w:val="00356868"/>
    <w:rsid w:val="003620E5"/>
    <w:rsid w:val="00364126"/>
    <w:rsid w:val="0036485B"/>
    <w:rsid w:val="00365D73"/>
    <w:rsid w:val="003704A1"/>
    <w:rsid w:val="00370CED"/>
    <w:rsid w:val="00371E93"/>
    <w:rsid w:val="0037225D"/>
    <w:rsid w:val="00372677"/>
    <w:rsid w:val="003734E4"/>
    <w:rsid w:val="00373B0D"/>
    <w:rsid w:val="00376988"/>
    <w:rsid w:val="00381A72"/>
    <w:rsid w:val="0038362E"/>
    <w:rsid w:val="00385E2A"/>
    <w:rsid w:val="003927E9"/>
    <w:rsid w:val="003A1948"/>
    <w:rsid w:val="003A4C6B"/>
    <w:rsid w:val="003A71C4"/>
    <w:rsid w:val="003A729D"/>
    <w:rsid w:val="003B0307"/>
    <w:rsid w:val="003B152A"/>
    <w:rsid w:val="003B1694"/>
    <w:rsid w:val="003B3392"/>
    <w:rsid w:val="003B545B"/>
    <w:rsid w:val="003B61FB"/>
    <w:rsid w:val="003C0BA6"/>
    <w:rsid w:val="003C613B"/>
    <w:rsid w:val="003C7DA7"/>
    <w:rsid w:val="003D026F"/>
    <w:rsid w:val="003D3EE9"/>
    <w:rsid w:val="003E5348"/>
    <w:rsid w:val="003E7681"/>
    <w:rsid w:val="003F0809"/>
    <w:rsid w:val="003F3027"/>
    <w:rsid w:val="003F611C"/>
    <w:rsid w:val="003F755C"/>
    <w:rsid w:val="00405193"/>
    <w:rsid w:val="00406F01"/>
    <w:rsid w:val="0041012C"/>
    <w:rsid w:val="00411B36"/>
    <w:rsid w:val="004121D7"/>
    <w:rsid w:val="00416D50"/>
    <w:rsid w:val="00417772"/>
    <w:rsid w:val="00420E6A"/>
    <w:rsid w:val="00424A18"/>
    <w:rsid w:val="00433CA9"/>
    <w:rsid w:val="00433EC8"/>
    <w:rsid w:val="0043521D"/>
    <w:rsid w:val="00442024"/>
    <w:rsid w:val="0044254C"/>
    <w:rsid w:val="00443DBA"/>
    <w:rsid w:val="00443F6A"/>
    <w:rsid w:val="00446E66"/>
    <w:rsid w:val="00450A17"/>
    <w:rsid w:val="00466321"/>
    <w:rsid w:val="004672AF"/>
    <w:rsid w:val="00471CE4"/>
    <w:rsid w:val="004727B0"/>
    <w:rsid w:val="00480247"/>
    <w:rsid w:val="0048081D"/>
    <w:rsid w:val="0048117E"/>
    <w:rsid w:val="004855F6"/>
    <w:rsid w:val="00486F0C"/>
    <w:rsid w:val="00492398"/>
    <w:rsid w:val="00494670"/>
    <w:rsid w:val="004955B1"/>
    <w:rsid w:val="004A0EB4"/>
    <w:rsid w:val="004A1136"/>
    <w:rsid w:val="004A3823"/>
    <w:rsid w:val="004A59BB"/>
    <w:rsid w:val="004B05E1"/>
    <w:rsid w:val="004B43A3"/>
    <w:rsid w:val="004B4BCE"/>
    <w:rsid w:val="004B4C49"/>
    <w:rsid w:val="004B4F2B"/>
    <w:rsid w:val="004B52A3"/>
    <w:rsid w:val="004B58A5"/>
    <w:rsid w:val="004B63D9"/>
    <w:rsid w:val="004B6B37"/>
    <w:rsid w:val="004C0882"/>
    <w:rsid w:val="004C55BE"/>
    <w:rsid w:val="004D2050"/>
    <w:rsid w:val="004E5B30"/>
    <w:rsid w:val="004F0779"/>
    <w:rsid w:val="004F1230"/>
    <w:rsid w:val="004F1303"/>
    <w:rsid w:val="004F173F"/>
    <w:rsid w:val="004F177C"/>
    <w:rsid w:val="004F2DCE"/>
    <w:rsid w:val="004F7767"/>
    <w:rsid w:val="005007FF"/>
    <w:rsid w:val="005039CB"/>
    <w:rsid w:val="0050558F"/>
    <w:rsid w:val="005057E0"/>
    <w:rsid w:val="00506286"/>
    <w:rsid w:val="00510813"/>
    <w:rsid w:val="00511DE0"/>
    <w:rsid w:val="0051399D"/>
    <w:rsid w:val="00515695"/>
    <w:rsid w:val="0051619E"/>
    <w:rsid w:val="00516C23"/>
    <w:rsid w:val="00517F02"/>
    <w:rsid w:val="00523B2F"/>
    <w:rsid w:val="00524547"/>
    <w:rsid w:val="005258A2"/>
    <w:rsid w:val="00530CFD"/>
    <w:rsid w:val="00530F7C"/>
    <w:rsid w:val="00533DE2"/>
    <w:rsid w:val="00534567"/>
    <w:rsid w:val="00534F43"/>
    <w:rsid w:val="00535A84"/>
    <w:rsid w:val="00535BAC"/>
    <w:rsid w:val="00536889"/>
    <w:rsid w:val="00537361"/>
    <w:rsid w:val="005377EE"/>
    <w:rsid w:val="00542E07"/>
    <w:rsid w:val="005436AB"/>
    <w:rsid w:val="00554A7B"/>
    <w:rsid w:val="0055572C"/>
    <w:rsid w:val="00555E0D"/>
    <w:rsid w:val="0056064F"/>
    <w:rsid w:val="00561B84"/>
    <w:rsid w:val="00570437"/>
    <w:rsid w:val="00571D98"/>
    <w:rsid w:val="005720AE"/>
    <w:rsid w:val="0057717C"/>
    <w:rsid w:val="0058030D"/>
    <w:rsid w:val="00582045"/>
    <w:rsid w:val="00583EB9"/>
    <w:rsid w:val="005854F4"/>
    <w:rsid w:val="00586D2C"/>
    <w:rsid w:val="00590AE3"/>
    <w:rsid w:val="005918F1"/>
    <w:rsid w:val="00593FA2"/>
    <w:rsid w:val="005A06B7"/>
    <w:rsid w:val="005A1759"/>
    <w:rsid w:val="005B07F6"/>
    <w:rsid w:val="005B585D"/>
    <w:rsid w:val="005C3BC9"/>
    <w:rsid w:val="005D0369"/>
    <w:rsid w:val="005D2977"/>
    <w:rsid w:val="005D53FE"/>
    <w:rsid w:val="005D6067"/>
    <w:rsid w:val="005D7A0F"/>
    <w:rsid w:val="005E0438"/>
    <w:rsid w:val="005E1791"/>
    <w:rsid w:val="005E2CE6"/>
    <w:rsid w:val="005E6324"/>
    <w:rsid w:val="005F1C18"/>
    <w:rsid w:val="005F228B"/>
    <w:rsid w:val="005F29CD"/>
    <w:rsid w:val="005F4B39"/>
    <w:rsid w:val="005F4DFB"/>
    <w:rsid w:val="005F6CC0"/>
    <w:rsid w:val="00603E5B"/>
    <w:rsid w:val="00604BC8"/>
    <w:rsid w:val="00613AF6"/>
    <w:rsid w:val="00614C47"/>
    <w:rsid w:val="00615B4C"/>
    <w:rsid w:val="00615B5D"/>
    <w:rsid w:val="00620463"/>
    <w:rsid w:val="0062146F"/>
    <w:rsid w:val="0062193C"/>
    <w:rsid w:val="00626A0B"/>
    <w:rsid w:val="00626EC1"/>
    <w:rsid w:val="006343AF"/>
    <w:rsid w:val="0063634A"/>
    <w:rsid w:val="0064250D"/>
    <w:rsid w:val="006535EB"/>
    <w:rsid w:val="00663016"/>
    <w:rsid w:val="00674605"/>
    <w:rsid w:val="006748B8"/>
    <w:rsid w:val="00681A26"/>
    <w:rsid w:val="0068535B"/>
    <w:rsid w:val="0068736E"/>
    <w:rsid w:val="00691891"/>
    <w:rsid w:val="0069290A"/>
    <w:rsid w:val="006960B5"/>
    <w:rsid w:val="00697032"/>
    <w:rsid w:val="006975AC"/>
    <w:rsid w:val="006A15FB"/>
    <w:rsid w:val="006A72BF"/>
    <w:rsid w:val="006B2F04"/>
    <w:rsid w:val="006B332A"/>
    <w:rsid w:val="006B33BD"/>
    <w:rsid w:val="006C3F75"/>
    <w:rsid w:val="006C4A7F"/>
    <w:rsid w:val="006C4F16"/>
    <w:rsid w:val="006D170E"/>
    <w:rsid w:val="006D7FD2"/>
    <w:rsid w:val="006E06AF"/>
    <w:rsid w:val="006E5DCA"/>
    <w:rsid w:val="006F1789"/>
    <w:rsid w:val="00706C5D"/>
    <w:rsid w:val="007070E1"/>
    <w:rsid w:val="007118E6"/>
    <w:rsid w:val="00715AA2"/>
    <w:rsid w:val="007225C9"/>
    <w:rsid w:val="007231CC"/>
    <w:rsid w:val="007239AC"/>
    <w:rsid w:val="00730EAB"/>
    <w:rsid w:val="00735756"/>
    <w:rsid w:val="00735CD7"/>
    <w:rsid w:val="007442E9"/>
    <w:rsid w:val="00747013"/>
    <w:rsid w:val="00752415"/>
    <w:rsid w:val="00752427"/>
    <w:rsid w:val="00754034"/>
    <w:rsid w:val="00754BF1"/>
    <w:rsid w:val="00755A30"/>
    <w:rsid w:val="00755E1C"/>
    <w:rsid w:val="00756556"/>
    <w:rsid w:val="00757B0C"/>
    <w:rsid w:val="0076132B"/>
    <w:rsid w:val="0076151D"/>
    <w:rsid w:val="007623AE"/>
    <w:rsid w:val="007627EE"/>
    <w:rsid w:val="007633D7"/>
    <w:rsid w:val="007669CD"/>
    <w:rsid w:val="00770B19"/>
    <w:rsid w:val="00774FA0"/>
    <w:rsid w:val="00776620"/>
    <w:rsid w:val="00777621"/>
    <w:rsid w:val="00777B6D"/>
    <w:rsid w:val="00781BC1"/>
    <w:rsid w:val="00781C2C"/>
    <w:rsid w:val="00784855"/>
    <w:rsid w:val="00784F39"/>
    <w:rsid w:val="0078545C"/>
    <w:rsid w:val="00786E29"/>
    <w:rsid w:val="007906C4"/>
    <w:rsid w:val="007940EA"/>
    <w:rsid w:val="007960A6"/>
    <w:rsid w:val="007967E8"/>
    <w:rsid w:val="007A63F2"/>
    <w:rsid w:val="007B6153"/>
    <w:rsid w:val="007B68DE"/>
    <w:rsid w:val="007C1857"/>
    <w:rsid w:val="007C1A55"/>
    <w:rsid w:val="007C514F"/>
    <w:rsid w:val="007C5AE6"/>
    <w:rsid w:val="007D0F95"/>
    <w:rsid w:val="007D7ECB"/>
    <w:rsid w:val="007E25A1"/>
    <w:rsid w:val="007E4BD2"/>
    <w:rsid w:val="007E5DE2"/>
    <w:rsid w:val="007E7145"/>
    <w:rsid w:val="007F3916"/>
    <w:rsid w:val="007F6401"/>
    <w:rsid w:val="00801179"/>
    <w:rsid w:val="008011E7"/>
    <w:rsid w:val="00802479"/>
    <w:rsid w:val="00802899"/>
    <w:rsid w:val="00805372"/>
    <w:rsid w:val="008058A9"/>
    <w:rsid w:val="00805B7B"/>
    <w:rsid w:val="0081293E"/>
    <w:rsid w:val="008148AD"/>
    <w:rsid w:val="00814FFB"/>
    <w:rsid w:val="00815450"/>
    <w:rsid w:val="008204F4"/>
    <w:rsid w:val="00820568"/>
    <w:rsid w:val="0082420E"/>
    <w:rsid w:val="00824F4A"/>
    <w:rsid w:val="008275B3"/>
    <w:rsid w:val="00831A80"/>
    <w:rsid w:val="00831EA2"/>
    <w:rsid w:val="008330E8"/>
    <w:rsid w:val="008332C8"/>
    <w:rsid w:val="00833743"/>
    <w:rsid w:val="008340A4"/>
    <w:rsid w:val="00834837"/>
    <w:rsid w:val="00836799"/>
    <w:rsid w:val="00837028"/>
    <w:rsid w:val="00837131"/>
    <w:rsid w:val="00845F57"/>
    <w:rsid w:val="00847A64"/>
    <w:rsid w:val="00850B07"/>
    <w:rsid w:val="00851F1E"/>
    <w:rsid w:val="008521E0"/>
    <w:rsid w:val="008525B0"/>
    <w:rsid w:val="00853CB3"/>
    <w:rsid w:val="00855B1F"/>
    <w:rsid w:val="00862539"/>
    <w:rsid w:val="00866216"/>
    <w:rsid w:val="00867CBC"/>
    <w:rsid w:val="00876C30"/>
    <w:rsid w:val="00877017"/>
    <w:rsid w:val="008773C0"/>
    <w:rsid w:val="00877608"/>
    <w:rsid w:val="00880364"/>
    <w:rsid w:val="00882324"/>
    <w:rsid w:val="00886C4C"/>
    <w:rsid w:val="0088711C"/>
    <w:rsid w:val="00891447"/>
    <w:rsid w:val="008926A5"/>
    <w:rsid w:val="00892ECF"/>
    <w:rsid w:val="00892F06"/>
    <w:rsid w:val="00893756"/>
    <w:rsid w:val="00894285"/>
    <w:rsid w:val="008A378C"/>
    <w:rsid w:val="008A40AE"/>
    <w:rsid w:val="008A4E19"/>
    <w:rsid w:val="008A67C5"/>
    <w:rsid w:val="008B01D0"/>
    <w:rsid w:val="008B22E1"/>
    <w:rsid w:val="008B392C"/>
    <w:rsid w:val="008B3C78"/>
    <w:rsid w:val="008B402E"/>
    <w:rsid w:val="008B4AE9"/>
    <w:rsid w:val="008B719C"/>
    <w:rsid w:val="008B76E8"/>
    <w:rsid w:val="008C254B"/>
    <w:rsid w:val="008C30AD"/>
    <w:rsid w:val="008D068E"/>
    <w:rsid w:val="008D0F7A"/>
    <w:rsid w:val="008D63BE"/>
    <w:rsid w:val="008E0CFF"/>
    <w:rsid w:val="008E3361"/>
    <w:rsid w:val="008E5D6B"/>
    <w:rsid w:val="008E689B"/>
    <w:rsid w:val="008E6A6C"/>
    <w:rsid w:val="008E76F0"/>
    <w:rsid w:val="008F15FE"/>
    <w:rsid w:val="008F2A94"/>
    <w:rsid w:val="008F5187"/>
    <w:rsid w:val="008F709C"/>
    <w:rsid w:val="0090312B"/>
    <w:rsid w:val="00904961"/>
    <w:rsid w:val="009142E8"/>
    <w:rsid w:val="0091736D"/>
    <w:rsid w:val="00931001"/>
    <w:rsid w:val="00931863"/>
    <w:rsid w:val="00933524"/>
    <w:rsid w:val="009347D7"/>
    <w:rsid w:val="0094221C"/>
    <w:rsid w:val="0094278D"/>
    <w:rsid w:val="00943073"/>
    <w:rsid w:val="0095308A"/>
    <w:rsid w:val="00955AEE"/>
    <w:rsid w:val="00955B7D"/>
    <w:rsid w:val="00956F14"/>
    <w:rsid w:val="009620FD"/>
    <w:rsid w:val="0096247A"/>
    <w:rsid w:val="00963D36"/>
    <w:rsid w:val="00964918"/>
    <w:rsid w:val="00965F4B"/>
    <w:rsid w:val="00970F8A"/>
    <w:rsid w:val="00971FB5"/>
    <w:rsid w:val="00972D2A"/>
    <w:rsid w:val="00975CC5"/>
    <w:rsid w:val="00976328"/>
    <w:rsid w:val="00976B4E"/>
    <w:rsid w:val="00981712"/>
    <w:rsid w:val="00984458"/>
    <w:rsid w:val="00984DB5"/>
    <w:rsid w:val="00984F2C"/>
    <w:rsid w:val="00985283"/>
    <w:rsid w:val="00986E0B"/>
    <w:rsid w:val="00987322"/>
    <w:rsid w:val="00996AFE"/>
    <w:rsid w:val="00997D56"/>
    <w:rsid w:val="009A0F3B"/>
    <w:rsid w:val="009A72C7"/>
    <w:rsid w:val="009A798B"/>
    <w:rsid w:val="009B0897"/>
    <w:rsid w:val="009B0935"/>
    <w:rsid w:val="009B4BA6"/>
    <w:rsid w:val="009B610F"/>
    <w:rsid w:val="009C06EC"/>
    <w:rsid w:val="009C1D9A"/>
    <w:rsid w:val="009C25DE"/>
    <w:rsid w:val="009D0852"/>
    <w:rsid w:val="009D0C4E"/>
    <w:rsid w:val="009D1FBF"/>
    <w:rsid w:val="009D6F03"/>
    <w:rsid w:val="009D715A"/>
    <w:rsid w:val="009E00A7"/>
    <w:rsid w:val="009E399C"/>
    <w:rsid w:val="009E43C1"/>
    <w:rsid w:val="009E63D8"/>
    <w:rsid w:val="009E67E5"/>
    <w:rsid w:val="009E7E95"/>
    <w:rsid w:val="009F116F"/>
    <w:rsid w:val="009F14B0"/>
    <w:rsid w:val="009F329E"/>
    <w:rsid w:val="009F7ED3"/>
    <w:rsid w:val="009F7F9D"/>
    <w:rsid w:val="00A03607"/>
    <w:rsid w:val="00A03F52"/>
    <w:rsid w:val="00A04313"/>
    <w:rsid w:val="00A047FF"/>
    <w:rsid w:val="00A04FEF"/>
    <w:rsid w:val="00A05D46"/>
    <w:rsid w:val="00A122CD"/>
    <w:rsid w:val="00A12A32"/>
    <w:rsid w:val="00A14248"/>
    <w:rsid w:val="00A14947"/>
    <w:rsid w:val="00A21C39"/>
    <w:rsid w:val="00A23DC5"/>
    <w:rsid w:val="00A31231"/>
    <w:rsid w:val="00A34028"/>
    <w:rsid w:val="00A35568"/>
    <w:rsid w:val="00A36B5D"/>
    <w:rsid w:val="00A37056"/>
    <w:rsid w:val="00A407F9"/>
    <w:rsid w:val="00A428C3"/>
    <w:rsid w:val="00A4358F"/>
    <w:rsid w:val="00A46F67"/>
    <w:rsid w:val="00A47907"/>
    <w:rsid w:val="00A54AA1"/>
    <w:rsid w:val="00A568FF"/>
    <w:rsid w:val="00A61496"/>
    <w:rsid w:val="00A61833"/>
    <w:rsid w:val="00A61FCE"/>
    <w:rsid w:val="00A624C6"/>
    <w:rsid w:val="00A63CEC"/>
    <w:rsid w:val="00A67A62"/>
    <w:rsid w:val="00A7031E"/>
    <w:rsid w:val="00A7066C"/>
    <w:rsid w:val="00A7091B"/>
    <w:rsid w:val="00A72212"/>
    <w:rsid w:val="00A728B1"/>
    <w:rsid w:val="00A763DE"/>
    <w:rsid w:val="00A803D6"/>
    <w:rsid w:val="00A81282"/>
    <w:rsid w:val="00A8713F"/>
    <w:rsid w:val="00A91167"/>
    <w:rsid w:val="00A9171C"/>
    <w:rsid w:val="00A91EFE"/>
    <w:rsid w:val="00A92FFD"/>
    <w:rsid w:val="00A93381"/>
    <w:rsid w:val="00A9424C"/>
    <w:rsid w:val="00A95975"/>
    <w:rsid w:val="00A9708D"/>
    <w:rsid w:val="00AA2A6C"/>
    <w:rsid w:val="00AA2C17"/>
    <w:rsid w:val="00AA4172"/>
    <w:rsid w:val="00AA694E"/>
    <w:rsid w:val="00AA6CB0"/>
    <w:rsid w:val="00AB0EC8"/>
    <w:rsid w:val="00AB1914"/>
    <w:rsid w:val="00AB5330"/>
    <w:rsid w:val="00AB7747"/>
    <w:rsid w:val="00AC2532"/>
    <w:rsid w:val="00AC6D0F"/>
    <w:rsid w:val="00AD1507"/>
    <w:rsid w:val="00AD457A"/>
    <w:rsid w:val="00AD5A70"/>
    <w:rsid w:val="00AD738B"/>
    <w:rsid w:val="00AE1BF4"/>
    <w:rsid w:val="00AE5D97"/>
    <w:rsid w:val="00AE6794"/>
    <w:rsid w:val="00AF4091"/>
    <w:rsid w:val="00B01110"/>
    <w:rsid w:val="00B02262"/>
    <w:rsid w:val="00B0327C"/>
    <w:rsid w:val="00B03CEC"/>
    <w:rsid w:val="00B0743E"/>
    <w:rsid w:val="00B1209F"/>
    <w:rsid w:val="00B12AD0"/>
    <w:rsid w:val="00B24F30"/>
    <w:rsid w:val="00B3068B"/>
    <w:rsid w:val="00B31ABF"/>
    <w:rsid w:val="00B335AE"/>
    <w:rsid w:val="00B37CE1"/>
    <w:rsid w:val="00B40ACF"/>
    <w:rsid w:val="00B445BD"/>
    <w:rsid w:val="00B46BAA"/>
    <w:rsid w:val="00B501E4"/>
    <w:rsid w:val="00B50B5F"/>
    <w:rsid w:val="00B54128"/>
    <w:rsid w:val="00B55826"/>
    <w:rsid w:val="00B60426"/>
    <w:rsid w:val="00B622DD"/>
    <w:rsid w:val="00B63522"/>
    <w:rsid w:val="00B652DE"/>
    <w:rsid w:val="00B71671"/>
    <w:rsid w:val="00B725A8"/>
    <w:rsid w:val="00B76F1D"/>
    <w:rsid w:val="00B81541"/>
    <w:rsid w:val="00B82A4C"/>
    <w:rsid w:val="00B92A19"/>
    <w:rsid w:val="00B9318D"/>
    <w:rsid w:val="00B9544C"/>
    <w:rsid w:val="00B97DCB"/>
    <w:rsid w:val="00B97E2B"/>
    <w:rsid w:val="00BA29E9"/>
    <w:rsid w:val="00BA3BF2"/>
    <w:rsid w:val="00BB05D2"/>
    <w:rsid w:val="00BB2B0D"/>
    <w:rsid w:val="00BB3618"/>
    <w:rsid w:val="00BC0C9E"/>
    <w:rsid w:val="00BC264D"/>
    <w:rsid w:val="00BC32DC"/>
    <w:rsid w:val="00BC3F30"/>
    <w:rsid w:val="00BC619C"/>
    <w:rsid w:val="00BD1B51"/>
    <w:rsid w:val="00BD47F6"/>
    <w:rsid w:val="00BD7C25"/>
    <w:rsid w:val="00BE1C68"/>
    <w:rsid w:val="00BE312D"/>
    <w:rsid w:val="00BE3FCA"/>
    <w:rsid w:val="00BF4D39"/>
    <w:rsid w:val="00BF53CD"/>
    <w:rsid w:val="00C05719"/>
    <w:rsid w:val="00C10578"/>
    <w:rsid w:val="00C14C43"/>
    <w:rsid w:val="00C1538B"/>
    <w:rsid w:val="00C16885"/>
    <w:rsid w:val="00C17D62"/>
    <w:rsid w:val="00C21FDC"/>
    <w:rsid w:val="00C24EE7"/>
    <w:rsid w:val="00C2596A"/>
    <w:rsid w:val="00C271BE"/>
    <w:rsid w:val="00C27425"/>
    <w:rsid w:val="00C328FE"/>
    <w:rsid w:val="00C32FCD"/>
    <w:rsid w:val="00C33A05"/>
    <w:rsid w:val="00C34417"/>
    <w:rsid w:val="00C42500"/>
    <w:rsid w:val="00C4409D"/>
    <w:rsid w:val="00C455BE"/>
    <w:rsid w:val="00C46B12"/>
    <w:rsid w:val="00C47E13"/>
    <w:rsid w:val="00C51E5F"/>
    <w:rsid w:val="00C51FE0"/>
    <w:rsid w:val="00C61E4B"/>
    <w:rsid w:val="00C62E3A"/>
    <w:rsid w:val="00C64503"/>
    <w:rsid w:val="00C64A1F"/>
    <w:rsid w:val="00C64BFF"/>
    <w:rsid w:val="00C66109"/>
    <w:rsid w:val="00C71E4E"/>
    <w:rsid w:val="00C71EC0"/>
    <w:rsid w:val="00C763C9"/>
    <w:rsid w:val="00C80057"/>
    <w:rsid w:val="00C82C79"/>
    <w:rsid w:val="00C84753"/>
    <w:rsid w:val="00C9054F"/>
    <w:rsid w:val="00C91611"/>
    <w:rsid w:val="00C921A3"/>
    <w:rsid w:val="00C94B86"/>
    <w:rsid w:val="00C951C4"/>
    <w:rsid w:val="00CA0A36"/>
    <w:rsid w:val="00CA2224"/>
    <w:rsid w:val="00CA3585"/>
    <w:rsid w:val="00CA3D5A"/>
    <w:rsid w:val="00CA4C7C"/>
    <w:rsid w:val="00CB0183"/>
    <w:rsid w:val="00CB1EA3"/>
    <w:rsid w:val="00CB552C"/>
    <w:rsid w:val="00CB6A9E"/>
    <w:rsid w:val="00CB6E05"/>
    <w:rsid w:val="00CB71FA"/>
    <w:rsid w:val="00CC6181"/>
    <w:rsid w:val="00CD0348"/>
    <w:rsid w:val="00CD26B5"/>
    <w:rsid w:val="00CD28B7"/>
    <w:rsid w:val="00CD2BCD"/>
    <w:rsid w:val="00CD36AA"/>
    <w:rsid w:val="00CD3791"/>
    <w:rsid w:val="00CD3C36"/>
    <w:rsid w:val="00CD65B0"/>
    <w:rsid w:val="00CE02CD"/>
    <w:rsid w:val="00CE10E9"/>
    <w:rsid w:val="00CE6415"/>
    <w:rsid w:val="00CF4FCA"/>
    <w:rsid w:val="00CF6CBD"/>
    <w:rsid w:val="00CF7BEE"/>
    <w:rsid w:val="00D0072E"/>
    <w:rsid w:val="00D06292"/>
    <w:rsid w:val="00D124CD"/>
    <w:rsid w:val="00D1323C"/>
    <w:rsid w:val="00D15727"/>
    <w:rsid w:val="00D16332"/>
    <w:rsid w:val="00D223B4"/>
    <w:rsid w:val="00D24972"/>
    <w:rsid w:val="00D2515E"/>
    <w:rsid w:val="00D3084C"/>
    <w:rsid w:val="00D308ED"/>
    <w:rsid w:val="00D37331"/>
    <w:rsid w:val="00D418D3"/>
    <w:rsid w:val="00D45401"/>
    <w:rsid w:val="00D4746F"/>
    <w:rsid w:val="00D51C43"/>
    <w:rsid w:val="00D54FFB"/>
    <w:rsid w:val="00D550FB"/>
    <w:rsid w:val="00D56178"/>
    <w:rsid w:val="00D56CF0"/>
    <w:rsid w:val="00D56F5C"/>
    <w:rsid w:val="00D57AF7"/>
    <w:rsid w:val="00D704B1"/>
    <w:rsid w:val="00D70B63"/>
    <w:rsid w:val="00D72B92"/>
    <w:rsid w:val="00D72ED4"/>
    <w:rsid w:val="00D73F61"/>
    <w:rsid w:val="00D754C0"/>
    <w:rsid w:val="00D76E7C"/>
    <w:rsid w:val="00D776A2"/>
    <w:rsid w:val="00D801C4"/>
    <w:rsid w:val="00D80E5A"/>
    <w:rsid w:val="00D81D04"/>
    <w:rsid w:val="00D85E37"/>
    <w:rsid w:val="00D90836"/>
    <w:rsid w:val="00D95896"/>
    <w:rsid w:val="00D95CC6"/>
    <w:rsid w:val="00D97DC0"/>
    <w:rsid w:val="00DA2DA3"/>
    <w:rsid w:val="00DA3122"/>
    <w:rsid w:val="00DA63EF"/>
    <w:rsid w:val="00DA6615"/>
    <w:rsid w:val="00DA76AE"/>
    <w:rsid w:val="00DB181E"/>
    <w:rsid w:val="00DB1C7A"/>
    <w:rsid w:val="00DB2983"/>
    <w:rsid w:val="00DB343D"/>
    <w:rsid w:val="00DB5579"/>
    <w:rsid w:val="00DB5CFE"/>
    <w:rsid w:val="00DC1777"/>
    <w:rsid w:val="00DC2A60"/>
    <w:rsid w:val="00DC53C6"/>
    <w:rsid w:val="00DC72A6"/>
    <w:rsid w:val="00DC732C"/>
    <w:rsid w:val="00DC7628"/>
    <w:rsid w:val="00DD03F6"/>
    <w:rsid w:val="00DD2113"/>
    <w:rsid w:val="00DD265E"/>
    <w:rsid w:val="00DD4159"/>
    <w:rsid w:val="00DE1C3D"/>
    <w:rsid w:val="00DE1D06"/>
    <w:rsid w:val="00DE5613"/>
    <w:rsid w:val="00DE6CFC"/>
    <w:rsid w:val="00DF1930"/>
    <w:rsid w:val="00DF1955"/>
    <w:rsid w:val="00DF3EE2"/>
    <w:rsid w:val="00DF514A"/>
    <w:rsid w:val="00DF593D"/>
    <w:rsid w:val="00DF59B6"/>
    <w:rsid w:val="00DF7359"/>
    <w:rsid w:val="00E0358D"/>
    <w:rsid w:val="00E0495A"/>
    <w:rsid w:val="00E06327"/>
    <w:rsid w:val="00E1450E"/>
    <w:rsid w:val="00E1562D"/>
    <w:rsid w:val="00E15B9A"/>
    <w:rsid w:val="00E2064B"/>
    <w:rsid w:val="00E25239"/>
    <w:rsid w:val="00E265B1"/>
    <w:rsid w:val="00E275B0"/>
    <w:rsid w:val="00E412D0"/>
    <w:rsid w:val="00E455AD"/>
    <w:rsid w:val="00E47CDB"/>
    <w:rsid w:val="00E51338"/>
    <w:rsid w:val="00E52507"/>
    <w:rsid w:val="00E566BC"/>
    <w:rsid w:val="00E60982"/>
    <w:rsid w:val="00E60C8D"/>
    <w:rsid w:val="00E6162F"/>
    <w:rsid w:val="00E6311B"/>
    <w:rsid w:val="00E64BB9"/>
    <w:rsid w:val="00E65D97"/>
    <w:rsid w:val="00E67EFD"/>
    <w:rsid w:val="00E702DC"/>
    <w:rsid w:val="00E71FFB"/>
    <w:rsid w:val="00E76D1D"/>
    <w:rsid w:val="00E806F8"/>
    <w:rsid w:val="00E87752"/>
    <w:rsid w:val="00E8793B"/>
    <w:rsid w:val="00E90F81"/>
    <w:rsid w:val="00E91A6D"/>
    <w:rsid w:val="00E9242D"/>
    <w:rsid w:val="00EA0CC2"/>
    <w:rsid w:val="00EA3C68"/>
    <w:rsid w:val="00EA6344"/>
    <w:rsid w:val="00EB041C"/>
    <w:rsid w:val="00EB42B6"/>
    <w:rsid w:val="00EB4CB2"/>
    <w:rsid w:val="00EB503F"/>
    <w:rsid w:val="00EC5874"/>
    <w:rsid w:val="00EC69C0"/>
    <w:rsid w:val="00ED192D"/>
    <w:rsid w:val="00ED30B4"/>
    <w:rsid w:val="00ED31F5"/>
    <w:rsid w:val="00ED7E55"/>
    <w:rsid w:val="00EF2759"/>
    <w:rsid w:val="00EF2C05"/>
    <w:rsid w:val="00EF3778"/>
    <w:rsid w:val="00EF45EB"/>
    <w:rsid w:val="00EF4EDA"/>
    <w:rsid w:val="00EF5099"/>
    <w:rsid w:val="00EF5E33"/>
    <w:rsid w:val="00EF7BE5"/>
    <w:rsid w:val="00F00075"/>
    <w:rsid w:val="00F07011"/>
    <w:rsid w:val="00F07051"/>
    <w:rsid w:val="00F07822"/>
    <w:rsid w:val="00F15C95"/>
    <w:rsid w:val="00F15ED9"/>
    <w:rsid w:val="00F22985"/>
    <w:rsid w:val="00F23DBF"/>
    <w:rsid w:val="00F241AB"/>
    <w:rsid w:val="00F269C0"/>
    <w:rsid w:val="00F31382"/>
    <w:rsid w:val="00F35829"/>
    <w:rsid w:val="00F37B09"/>
    <w:rsid w:val="00F42868"/>
    <w:rsid w:val="00F465A7"/>
    <w:rsid w:val="00F50B7C"/>
    <w:rsid w:val="00F51BF4"/>
    <w:rsid w:val="00F5202D"/>
    <w:rsid w:val="00F52CF6"/>
    <w:rsid w:val="00F54496"/>
    <w:rsid w:val="00F54BD5"/>
    <w:rsid w:val="00F55A2C"/>
    <w:rsid w:val="00F55FFD"/>
    <w:rsid w:val="00F57D9A"/>
    <w:rsid w:val="00F61097"/>
    <w:rsid w:val="00F61339"/>
    <w:rsid w:val="00F71C19"/>
    <w:rsid w:val="00F738BF"/>
    <w:rsid w:val="00F74345"/>
    <w:rsid w:val="00F74441"/>
    <w:rsid w:val="00F757DB"/>
    <w:rsid w:val="00F77F30"/>
    <w:rsid w:val="00F810C6"/>
    <w:rsid w:val="00F81D58"/>
    <w:rsid w:val="00F82589"/>
    <w:rsid w:val="00F82B19"/>
    <w:rsid w:val="00F86A77"/>
    <w:rsid w:val="00F90AA7"/>
    <w:rsid w:val="00F9212D"/>
    <w:rsid w:val="00FA301A"/>
    <w:rsid w:val="00FA406A"/>
    <w:rsid w:val="00FA5CB6"/>
    <w:rsid w:val="00FA79A9"/>
    <w:rsid w:val="00FC3050"/>
    <w:rsid w:val="00FC585D"/>
    <w:rsid w:val="00FC66AC"/>
    <w:rsid w:val="00FC6E7C"/>
    <w:rsid w:val="00FD0C7E"/>
    <w:rsid w:val="00FD18F4"/>
    <w:rsid w:val="00FD207B"/>
    <w:rsid w:val="00FD37A0"/>
    <w:rsid w:val="00FD6FF0"/>
    <w:rsid w:val="00FD74B4"/>
    <w:rsid w:val="00FE2D8A"/>
    <w:rsid w:val="00FE3959"/>
    <w:rsid w:val="00FE6BD7"/>
    <w:rsid w:val="00FF1B0B"/>
    <w:rsid w:val="00FF6FCE"/>
    <w:rsid w:val="00FF7518"/>
    <w:rsid w:val="00FF785B"/>
    <w:rsid w:val="00FF7DC1"/>
    <w:rsid w:val="00FF7FD8"/>
    <w:rsid w:val="01E77651"/>
    <w:rsid w:val="027D655A"/>
    <w:rsid w:val="03870D2D"/>
    <w:rsid w:val="052479A3"/>
    <w:rsid w:val="05742AC8"/>
    <w:rsid w:val="06352F05"/>
    <w:rsid w:val="063E7D85"/>
    <w:rsid w:val="070875E0"/>
    <w:rsid w:val="07293586"/>
    <w:rsid w:val="07295285"/>
    <w:rsid w:val="07770C56"/>
    <w:rsid w:val="092217DD"/>
    <w:rsid w:val="093A7294"/>
    <w:rsid w:val="0A0B565A"/>
    <w:rsid w:val="0A183860"/>
    <w:rsid w:val="0A55094B"/>
    <w:rsid w:val="0A622217"/>
    <w:rsid w:val="0AC80387"/>
    <w:rsid w:val="0BD27BF6"/>
    <w:rsid w:val="0C0D374F"/>
    <w:rsid w:val="0C952205"/>
    <w:rsid w:val="0CB8043A"/>
    <w:rsid w:val="0DE74261"/>
    <w:rsid w:val="0E110D06"/>
    <w:rsid w:val="0F13775A"/>
    <w:rsid w:val="0F9A112B"/>
    <w:rsid w:val="0FEF3CEB"/>
    <w:rsid w:val="106D2F64"/>
    <w:rsid w:val="10B63710"/>
    <w:rsid w:val="111C2F7A"/>
    <w:rsid w:val="113013DE"/>
    <w:rsid w:val="122B06C2"/>
    <w:rsid w:val="13065ADA"/>
    <w:rsid w:val="13951726"/>
    <w:rsid w:val="14396509"/>
    <w:rsid w:val="1447165C"/>
    <w:rsid w:val="1598112F"/>
    <w:rsid w:val="164F03B8"/>
    <w:rsid w:val="16C56935"/>
    <w:rsid w:val="17735226"/>
    <w:rsid w:val="181B747A"/>
    <w:rsid w:val="1A1C66C0"/>
    <w:rsid w:val="1A42393B"/>
    <w:rsid w:val="1B046F80"/>
    <w:rsid w:val="1B3267B5"/>
    <w:rsid w:val="1BC25DC8"/>
    <w:rsid w:val="1C5E7925"/>
    <w:rsid w:val="1C887FC8"/>
    <w:rsid w:val="1D5F6196"/>
    <w:rsid w:val="1D6132A5"/>
    <w:rsid w:val="1D8E56D5"/>
    <w:rsid w:val="1E7A43DA"/>
    <w:rsid w:val="1EB277FE"/>
    <w:rsid w:val="1FE7539E"/>
    <w:rsid w:val="20963CB8"/>
    <w:rsid w:val="209659A8"/>
    <w:rsid w:val="20B07FB6"/>
    <w:rsid w:val="213B74B1"/>
    <w:rsid w:val="215A2310"/>
    <w:rsid w:val="21B1685E"/>
    <w:rsid w:val="21DE318A"/>
    <w:rsid w:val="21EF5B80"/>
    <w:rsid w:val="220258D3"/>
    <w:rsid w:val="22576990"/>
    <w:rsid w:val="227510C1"/>
    <w:rsid w:val="229C4EAB"/>
    <w:rsid w:val="237E38E9"/>
    <w:rsid w:val="23C02C96"/>
    <w:rsid w:val="23E34029"/>
    <w:rsid w:val="252D53FE"/>
    <w:rsid w:val="254C787F"/>
    <w:rsid w:val="25EC2D81"/>
    <w:rsid w:val="264528BD"/>
    <w:rsid w:val="26F16CD8"/>
    <w:rsid w:val="27D15DD1"/>
    <w:rsid w:val="28A21A12"/>
    <w:rsid w:val="28A76295"/>
    <w:rsid w:val="29206EB8"/>
    <w:rsid w:val="29E325E0"/>
    <w:rsid w:val="2A452503"/>
    <w:rsid w:val="2BA936A8"/>
    <w:rsid w:val="2C315A5A"/>
    <w:rsid w:val="2D9E56F5"/>
    <w:rsid w:val="2E667F96"/>
    <w:rsid w:val="2E8226AB"/>
    <w:rsid w:val="2F832C79"/>
    <w:rsid w:val="2FEF2D58"/>
    <w:rsid w:val="30580BC9"/>
    <w:rsid w:val="311E2ED7"/>
    <w:rsid w:val="315C449C"/>
    <w:rsid w:val="318777BE"/>
    <w:rsid w:val="31B82709"/>
    <w:rsid w:val="32400B34"/>
    <w:rsid w:val="329E6876"/>
    <w:rsid w:val="33D934D4"/>
    <w:rsid w:val="33FE2F6A"/>
    <w:rsid w:val="34A6383D"/>
    <w:rsid w:val="36074A7F"/>
    <w:rsid w:val="36923549"/>
    <w:rsid w:val="36B75FBF"/>
    <w:rsid w:val="36FB4891"/>
    <w:rsid w:val="382C753E"/>
    <w:rsid w:val="38F12CD3"/>
    <w:rsid w:val="38F94775"/>
    <w:rsid w:val="392971ED"/>
    <w:rsid w:val="398E4F73"/>
    <w:rsid w:val="3A2C5B1E"/>
    <w:rsid w:val="3B3763D1"/>
    <w:rsid w:val="3BEF6DE9"/>
    <w:rsid w:val="3CDA245A"/>
    <w:rsid w:val="3CEE0A37"/>
    <w:rsid w:val="3DE6695F"/>
    <w:rsid w:val="3F660E74"/>
    <w:rsid w:val="407A6407"/>
    <w:rsid w:val="423A3BCC"/>
    <w:rsid w:val="4282055D"/>
    <w:rsid w:val="433A6FE6"/>
    <w:rsid w:val="4350713C"/>
    <w:rsid w:val="436653E0"/>
    <w:rsid w:val="44CD14E0"/>
    <w:rsid w:val="458946E9"/>
    <w:rsid w:val="45B3450A"/>
    <w:rsid w:val="46D955A7"/>
    <w:rsid w:val="47133957"/>
    <w:rsid w:val="4779329E"/>
    <w:rsid w:val="47A07E0C"/>
    <w:rsid w:val="4870272E"/>
    <w:rsid w:val="49DC7715"/>
    <w:rsid w:val="4A023139"/>
    <w:rsid w:val="4A7B576F"/>
    <w:rsid w:val="4C4A0649"/>
    <w:rsid w:val="4CE470D3"/>
    <w:rsid w:val="4DEC4FB0"/>
    <w:rsid w:val="4E075D8A"/>
    <w:rsid w:val="4FC62A8C"/>
    <w:rsid w:val="4FE20F0D"/>
    <w:rsid w:val="50504C4B"/>
    <w:rsid w:val="50631ED3"/>
    <w:rsid w:val="509C6E7C"/>
    <w:rsid w:val="5162104E"/>
    <w:rsid w:val="53A039CC"/>
    <w:rsid w:val="53A1505A"/>
    <w:rsid w:val="53CD3C54"/>
    <w:rsid w:val="54063E08"/>
    <w:rsid w:val="54340073"/>
    <w:rsid w:val="543437E8"/>
    <w:rsid w:val="559B174B"/>
    <w:rsid w:val="55CE0CF4"/>
    <w:rsid w:val="56B22A9C"/>
    <w:rsid w:val="57B72A76"/>
    <w:rsid w:val="5A3A532A"/>
    <w:rsid w:val="5A3C747D"/>
    <w:rsid w:val="5ABE2233"/>
    <w:rsid w:val="5B276D18"/>
    <w:rsid w:val="5BDF5D95"/>
    <w:rsid w:val="5DF87A0F"/>
    <w:rsid w:val="5ED95D3D"/>
    <w:rsid w:val="5F1A2B43"/>
    <w:rsid w:val="5F273788"/>
    <w:rsid w:val="5FB837BB"/>
    <w:rsid w:val="604D6DD8"/>
    <w:rsid w:val="62364782"/>
    <w:rsid w:val="62C61BE6"/>
    <w:rsid w:val="634D63B1"/>
    <w:rsid w:val="63D40BE9"/>
    <w:rsid w:val="63E0211F"/>
    <w:rsid w:val="65373578"/>
    <w:rsid w:val="673F2C7A"/>
    <w:rsid w:val="680D7DA7"/>
    <w:rsid w:val="681F6961"/>
    <w:rsid w:val="68610A2F"/>
    <w:rsid w:val="68805514"/>
    <w:rsid w:val="694E2071"/>
    <w:rsid w:val="697A3B33"/>
    <w:rsid w:val="699E2456"/>
    <w:rsid w:val="6A3A21E4"/>
    <w:rsid w:val="6AD22960"/>
    <w:rsid w:val="6AF61DC7"/>
    <w:rsid w:val="6B322639"/>
    <w:rsid w:val="6B3747D0"/>
    <w:rsid w:val="6C636C38"/>
    <w:rsid w:val="6CAB78C1"/>
    <w:rsid w:val="6DB34098"/>
    <w:rsid w:val="6DB545B6"/>
    <w:rsid w:val="6E4375A0"/>
    <w:rsid w:val="6E514CED"/>
    <w:rsid w:val="6E79491A"/>
    <w:rsid w:val="6EB563D5"/>
    <w:rsid w:val="6F225983"/>
    <w:rsid w:val="6F8F4B26"/>
    <w:rsid w:val="6FFC5590"/>
    <w:rsid w:val="7029602C"/>
    <w:rsid w:val="70301DA3"/>
    <w:rsid w:val="706D1DD0"/>
    <w:rsid w:val="70856B87"/>
    <w:rsid w:val="70D527EE"/>
    <w:rsid w:val="715B5300"/>
    <w:rsid w:val="715F4BD7"/>
    <w:rsid w:val="71D27F8A"/>
    <w:rsid w:val="71F744C6"/>
    <w:rsid w:val="71F960CF"/>
    <w:rsid w:val="731F5D5E"/>
    <w:rsid w:val="741E793C"/>
    <w:rsid w:val="754B020B"/>
    <w:rsid w:val="758D75E2"/>
    <w:rsid w:val="77762421"/>
    <w:rsid w:val="780F09F4"/>
    <w:rsid w:val="789C4F47"/>
    <w:rsid w:val="78A90480"/>
    <w:rsid w:val="7908018B"/>
    <w:rsid w:val="79811327"/>
    <w:rsid w:val="7A364017"/>
    <w:rsid w:val="7A8265E1"/>
    <w:rsid w:val="7B686D42"/>
    <w:rsid w:val="7B841746"/>
    <w:rsid w:val="7D0239FF"/>
    <w:rsid w:val="7D582394"/>
    <w:rsid w:val="7D5E40CD"/>
    <w:rsid w:val="7D693BED"/>
    <w:rsid w:val="7D815865"/>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subject"/>
    <w:basedOn w:val="6"/>
    <w:next w:val="6"/>
    <w:link w:val="37"/>
    <w:semiHidden/>
    <w:qFormat/>
    <w:uiPriority w:val="0"/>
    <w:rPr>
      <w:b/>
      <w:bCs/>
    </w:rPr>
  </w:style>
  <w:style w:type="paragraph" w:styleId="6">
    <w:name w:val="annotation text"/>
    <w:basedOn w:val="1"/>
    <w:link w:val="27"/>
    <w:semiHidden/>
    <w:qFormat/>
    <w:uiPriority w:val="0"/>
    <w:pPr>
      <w:jc w:val="left"/>
    </w:pPr>
    <w:rPr>
      <w:kern w:val="0"/>
      <w:sz w:val="24"/>
      <w:szCs w:val="20"/>
    </w:rPr>
  </w:style>
  <w:style w:type="paragraph" w:styleId="7">
    <w:name w:val="Normal Indent"/>
    <w:basedOn w:val="1"/>
    <w:link w:val="25"/>
    <w:qFormat/>
    <w:uiPriority w:val="0"/>
    <w:pPr>
      <w:adjustRightInd w:val="0"/>
      <w:spacing w:line="360" w:lineRule="auto"/>
      <w:ind w:firstLine="420"/>
      <w:textAlignment w:val="baseline"/>
    </w:pPr>
    <w:rPr>
      <w:kern w:val="0"/>
      <w:sz w:val="28"/>
      <w:szCs w:val="20"/>
    </w:rPr>
  </w:style>
  <w:style w:type="paragraph" w:styleId="8">
    <w:name w:val="Document Map"/>
    <w:basedOn w:val="1"/>
    <w:link w:val="26"/>
    <w:qFormat/>
    <w:uiPriority w:val="0"/>
    <w:rPr>
      <w:rFonts w:ascii="宋体"/>
      <w:sz w:val="18"/>
      <w:szCs w:val="18"/>
    </w:rPr>
  </w:style>
  <w:style w:type="paragraph" w:styleId="9">
    <w:name w:val="Body Text"/>
    <w:basedOn w:val="1"/>
    <w:link w:val="28"/>
    <w:qFormat/>
    <w:uiPriority w:val="0"/>
    <w:pPr>
      <w:widowControl/>
      <w:snapToGrid w:val="0"/>
      <w:spacing w:before="60" w:after="160" w:line="259" w:lineRule="auto"/>
      <w:ind w:right="113"/>
    </w:pPr>
    <w:rPr>
      <w:kern w:val="0"/>
      <w:sz w:val="18"/>
      <w:szCs w:val="20"/>
    </w:rPr>
  </w:style>
  <w:style w:type="paragraph" w:styleId="10">
    <w:name w:val="Body Text Indent"/>
    <w:basedOn w:val="1"/>
    <w:link w:val="29"/>
    <w:semiHidden/>
    <w:qFormat/>
    <w:uiPriority w:val="0"/>
    <w:pPr>
      <w:spacing w:after="120"/>
      <w:ind w:left="420" w:leftChars="200"/>
    </w:pPr>
  </w:style>
  <w:style w:type="paragraph" w:styleId="11">
    <w:name w:val="Plain Text"/>
    <w:basedOn w:val="1"/>
    <w:link w:val="30"/>
    <w:qFormat/>
    <w:uiPriority w:val="0"/>
    <w:pPr>
      <w:spacing w:line="500" w:lineRule="exact"/>
      <w:ind w:firstLine="200" w:firstLineChars="200"/>
      <w:jc w:val="left"/>
    </w:pPr>
    <w:rPr>
      <w:rFonts w:ascii="宋体" w:hAnsi="Courier New"/>
      <w:kern w:val="0"/>
      <w:sz w:val="20"/>
      <w:szCs w:val="20"/>
    </w:rPr>
  </w:style>
  <w:style w:type="paragraph" w:styleId="12">
    <w:name w:val="Date"/>
    <w:basedOn w:val="1"/>
    <w:next w:val="1"/>
    <w:link w:val="31"/>
    <w:qFormat/>
    <w:uiPriority w:val="0"/>
    <w:pPr>
      <w:ind w:left="100" w:leftChars="2500"/>
    </w:pPr>
    <w:rPr>
      <w:kern w:val="0"/>
      <w:sz w:val="24"/>
      <w:szCs w:val="20"/>
    </w:rPr>
  </w:style>
  <w:style w:type="paragraph" w:styleId="13">
    <w:name w:val="Balloon Text"/>
    <w:basedOn w:val="1"/>
    <w:link w:val="32"/>
    <w:semiHidden/>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Body Text First Indent 2"/>
    <w:basedOn w:val="10"/>
    <w:link w:val="38"/>
    <w:qFormat/>
    <w:uiPriority w:val="0"/>
    <w:pPr>
      <w:ind w:firstLine="420" w:firstLineChars="200"/>
    </w:p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5"/>
    <w:qFormat/>
    <w:locked/>
    <w:uiPriority w:val="0"/>
    <w:pPr>
      <w:spacing w:before="240" w:after="60" w:line="312" w:lineRule="auto"/>
      <w:jc w:val="center"/>
      <w:outlineLvl w:val="1"/>
    </w:pPr>
    <w:rPr>
      <w:rFonts w:ascii="Cambria" w:hAnsi="Cambria"/>
      <w:b/>
      <w:bCs/>
      <w:kern w:val="28"/>
      <w:sz w:val="32"/>
      <w:szCs w:val="32"/>
    </w:rPr>
  </w:style>
  <w:style w:type="paragraph" w:styleId="18">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character" w:styleId="20">
    <w:name w:val="page number"/>
    <w:basedOn w:val="19"/>
    <w:qFormat/>
    <w:uiPriority w:val="0"/>
  </w:style>
  <w:style w:type="character" w:styleId="21">
    <w:name w:val="Emphasis"/>
    <w:qFormat/>
    <w:locked/>
    <w:uiPriority w:val="0"/>
    <w:rPr>
      <w:b/>
      <w:sz w:val="21"/>
      <w:szCs w:val="21"/>
    </w:rPr>
  </w:style>
  <w:style w:type="character" w:styleId="22">
    <w:name w:val="annotation reference"/>
    <w:basedOn w:val="19"/>
    <w:semiHidden/>
    <w:qFormat/>
    <w:uiPriority w:val="0"/>
    <w:rPr>
      <w:sz w:val="21"/>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正文缩进 Char"/>
    <w:link w:val="7"/>
    <w:qFormat/>
    <w:uiPriority w:val="0"/>
    <w:rPr>
      <w:sz w:val="28"/>
    </w:rPr>
  </w:style>
  <w:style w:type="character" w:customStyle="1" w:styleId="26">
    <w:name w:val="文档结构图 Char"/>
    <w:basedOn w:val="19"/>
    <w:link w:val="8"/>
    <w:qFormat/>
    <w:uiPriority w:val="0"/>
    <w:rPr>
      <w:rFonts w:ascii="宋体"/>
      <w:kern w:val="2"/>
      <w:sz w:val="18"/>
      <w:szCs w:val="18"/>
    </w:rPr>
  </w:style>
  <w:style w:type="character" w:customStyle="1" w:styleId="27">
    <w:name w:val="批注文字 Char"/>
    <w:link w:val="6"/>
    <w:qFormat/>
    <w:locked/>
    <w:uiPriority w:val="0"/>
    <w:rPr>
      <w:rFonts w:ascii="Times New Roman" w:hAnsi="Times New Roman" w:eastAsia="宋体"/>
      <w:sz w:val="24"/>
    </w:rPr>
  </w:style>
  <w:style w:type="character" w:customStyle="1" w:styleId="28">
    <w:name w:val="正文文本 Char"/>
    <w:link w:val="9"/>
    <w:qFormat/>
    <w:locked/>
    <w:uiPriority w:val="0"/>
    <w:rPr>
      <w:sz w:val="18"/>
    </w:rPr>
  </w:style>
  <w:style w:type="character" w:customStyle="1" w:styleId="29">
    <w:name w:val="正文文本缩进 Char"/>
    <w:basedOn w:val="19"/>
    <w:link w:val="10"/>
    <w:semiHidden/>
    <w:qFormat/>
    <w:locked/>
    <w:uiPriority w:val="0"/>
    <w:rPr>
      <w:rFonts w:ascii="Times New Roman" w:hAnsi="Times New Roman" w:eastAsia="宋体" w:cs="Times New Roman"/>
      <w:sz w:val="24"/>
      <w:szCs w:val="24"/>
    </w:rPr>
  </w:style>
  <w:style w:type="character" w:customStyle="1" w:styleId="30">
    <w:name w:val="纯文本 Char1"/>
    <w:basedOn w:val="19"/>
    <w:link w:val="11"/>
    <w:qFormat/>
    <w:uiPriority w:val="0"/>
    <w:rPr>
      <w:rFonts w:ascii="宋体" w:hAnsi="Courier New" w:cs="Courier New"/>
      <w:kern w:val="2"/>
      <w:sz w:val="21"/>
      <w:szCs w:val="21"/>
    </w:rPr>
  </w:style>
  <w:style w:type="character" w:customStyle="1" w:styleId="31">
    <w:name w:val="日期 Char"/>
    <w:link w:val="12"/>
    <w:qFormat/>
    <w:locked/>
    <w:uiPriority w:val="0"/>
    <w:rPr>
      <w:rFonts w:ascii="Times New Roman" w:hAnsi="Times New Roman" w:eastAsia="宋体"/>
      <w:sz w:val="24"/>
    </w:rPr>
  </w:style>
  <w:style w:type="character" w:customStyle="1" w:styleId="32">
    <w:name w:val="批注框文本 Char"/>
    <w:basedOn w:val="19"/>
    <w:link w:val="13"/>
    <w:semiHidden/>
    <w:qFormat/>
    <w:locked/>
    <w:uiPriority w:val="0"/>
    <w:rPr>
      <w:rFonts w:ascii="Times New Roman" w:hAnsi="Times New Roman" w:eastAsia="宋体" w:cs="Times New Roman"/>
      <w:sz w:val="18"/>
      <w:szCs w:val="18"/>
    </w:rPr>
  </w:style>
  <w:style w:type="character" w:customStyle="1" w:styleId="33">
    <w:name w:val="页脚 Char"/>
    <w:basedOn w:val="19"/>
    <w:link w:val="14"/>
    <w:qFormat/>
    <w:locked/>
    <w:uiPriority w:val="99"/>
    <w:rPr>
      <w:rFonts w:cs="Times New Roman"/>
      <w:sz w:val="18"/>
      <w:szCs w:val="18"/>
    </w:rPr>
  </w:style>
  <w:style w:type="character" w:customStyle="1" w:styleId="34">
    <w:name w:val="页眉 Char"/>
    <w:basedOn w:val="19"/>
    <w:link w:val="16"/>
    <w:qFormat/>
    <w:locked/>
    <w:uiPriority w:val="0"/>
    <w:rPr>
      <w:rFonts w:cs="Times New Roman"/>
      <w:sz w:val="18"/>
      <w:szCs w:val="18"/>
    </w:rPr>
  </w:style>
  <w:style w:type="character" w:customStyle="1" w:styleId="35">
    <w:name w:val="副标题 Char"/>
    <w:basedOn w:val="19"/>
    <w:link w:val="17"/>
    <w:qFormat/>
    <w:uiPriority w:val="0"/>
    <w:rPr>
      <w:rFonts w:ascii="Cambria" w:hAnsi="Cambria" w:cs="Times New Roman"/>
      <w:b/>
      <w:bCs/>
      <w:kern w:val="28"/>
      <w:sz w:val="32"/>
      <w:szCs w:val="32"/>
    </w:rPr>
  </w:style>
  <w:style w:type="character" w:customStyle="1" w:styleId="36">
    <w:name w:val="普通(网站) Char1"/>
    <w:link w:val="18"/>
    <w:qFormat/>
    <w:locked/>
    <w:uiPriority w:val="0"/>
    <w:rPr>
      <w:rFonts w:ascii="宋体" w:hAnsi="宋体" w:eastAsia="宋体"/>
      <w:sz w:val="24"/>
    </w:rPr>
  </w:style>
  <w:style w:type="character" w:customStyle="1" w:styleId="37">
    <w:name w:val="批注主题 Char"/>
    <w:basedOn w:val="27"/>
    <w:link w:val="5"/>
    <w:semiHidden/>
    <w:qFormat/>
    <w:locked/>
    <w:uiPriority w:val="0"/>
    <w:rPr>
      <w:rFonts w:cs="Times New Roman"/>
      <w:b/>
      <w:bCs/>
      <w:kern w:val="2"/>
      <w:szCs w:val="24"/>
    </w:rPr>
  </w:style>
  <w:style w:type="character" w:customStyle="1" w:styleId="38">
    <w:name w:val="正文首行缩进 2 Char"/>
    <w:basedOn w:val="29"/>
    <w:link w:val="15"/>
    <w:qFormat/>
    <w:uiPriority w:val="0"/>
    <w:rPr>
      <w:kern w:val="2"/>
      <w:sz w:val="21"/>
    </w:rPr>
  </w:style>
  <w:style w:type="character" w:customStyle="1" w:styleId="39">
    <w:name w:val="日期 字符"/>
    <w:basedOn w:val="19"/>
    <w:semiHidden/>
    <w:qFormat/>
    <w:uiPriority w:val="0"/>
    <w:rPr>
      <w:rFonts w:ascii="Times New Roman" w:hAnsi="Times New Roman" w:eastAsia="宋体" w:cs="Times New Roman"/>
      <w:sz w:val="24"/>
      <w:szCs w:val="24"/>
    </w:rPr>
  </w:style>
  <w:style w:type="character" w:customStyle="1" w:styleId="40">
    <w:name w:val="正文文本 字符1"/>
    <w:basedOn w:val="19"/>
    <w:semiHidden/>
    <w:qFormat/>
    <w:uiPriority w:val="0"/>
    <w:rPr>
      <w:rFonts w:ascii="Times New Roman" w:hAnsi="Times New Roman" w:eastAsia="宋体" w:cs="Times New Roman"/>
      <w:sz w:val="24"/>
      <w:szCs w:val="24"/>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2">
    <w:name w:val="表格 Char"/>
    <w:link w:val="43"/>
    <w:qFormat/>
    <w:locked/>
    <w:uiPriority w:val="0"/>
    <w:rPr>
      <w:rFonts w:ascii="宋体"/>
      <w:sz w:val="21"/>
    </w:rPr>
  </w:style>
  <w:style w:type="paragraph" w:customStyle="1" w:styleId="43">
    <w:name w:val="表格"/>
    <w:basedOn w:val="1"/>
    <w:next w:val="1"/>
    <w:link w:val="42"/>
    <w:qFormat/>
    <w:uiPriority w:val="0"/>
    <w:pPr>
      <w:adjustRightInd w:val="0"/>
      <w:snapToGrid w:val="0"/>
      <w:spacing w:beforeLines="10" w:afterLines="10" w:line="259" w:lineRule="auto"/>
      <w:jc w:val="center"/>
    </w:pPr>
    <w:rPr>
      <w:rFonts w:ascii="宋体"/>
      <w:kern w:val="0"/>
      <w:szCs w:val="20"/>
    </w:rPr>
  </w:style>
  <w:style w:type="character" w:customStyle="1" w:styleId="44">
    <w:name w:val="批注文字 字符1"/>
    <w:basedOn w:val="19"/>
    <w:semiHidden/>
    <w:qFormat/>
    <w:uiPriority w:val="0"/>
    <w:rPr>
      <w:rFonts w:ascii="Times New Roman" w:hAnsi="Times New Roman" w:eastAsia="宋体" w:cs="Times New Roman"/>
      <w:sz w:val="24"/>
      <w:szCs w:val="24"/>
    </w:rPr>
  </w:style>
  <w:style w:type="character" w:customStyle="1" w:styleId="45">
    <w:name w:val="普通(网站) Char"/>
    <w:qFormat/>
    <w:locked/>
    <w:uiPriority w:val="0"/>
    <w:rPr>
      <w:rFonts w:ascii="宋体" w:hAnsi="宋体" w:eastAsia="宋体"/>
      <w:sz w:val="24"/>
    </w:rPr>
  </w:style>
  <w:style w:type="paragraph" w:customStyle="1" w:styleId="46">
    <w:name w:val="无间隔表格内"/>
    <w:basedOn w:val="1"/>
    <w:qFormat/>
    <w:uiPriority w:val="0"/>
    <w:pPr>
      <w:snapToGrid w:val="0"/>
      <w:jc w:val="center"/>
    </w:pPr>
  </w:style>
  <w:style w:type="paragraph" w:styleId="47">
    <w:name w:val="List Paragraph"/>
    <w:basedOn w:val="1"/>
    <w:qFormat/>
    <w:uiPriority w:val="34"/>
    <w:pPr>
      <w:spacing w:line="500" w:lineRule="exact"/>
      <w:ind w:firstLine="420" w:firstLineChars="200"/>
      <w:jc w:val="left"/>
    </w:pPr>
    <w:rPr>
      <w:rFonts w:ascii="宋体" w:hAnsi="宋体"/>
      <w:sz w:val="24"/>
      <w:szCs w:val="20"/>
    </w:rPr>
  </w:style>
  <w:style w:type="character" w:customStyle="1" w:styleId="48">
    <w:name w:val="书表格内 Char"/>
    <w:link w:val="49"/>
    <w:qFormat/>
    <w:uiPriority w:val="0"/>
    <w:rPr>
      <w:rFonts w:ascii="宋体" w:hAnsi="宋体"/>
      <w:kern w:val="2"/>
      <w:sz w:val="21"/>
      <w:szCs w:val="21"/>
    </w:rPr>
  </w:style>
  <w:style w:type="paragraph" w:customStyle="1" w:styleId="49">
    <w:name w:val="书表格内"/>
    <w:basedOn w:val="1"/>
    <w:link w:val="48"/>
    <w:qFormat/>
    <w:uiPriority w:val="0"/>
    <w:pPr>
      <w:framePr w:hSpace="180" w:wrap="around" w:vAnchor="text" w:hAnchor="text" w:xAlign="center" w:y="1"/>
      <w:spacing w:line="240" w:lineRule="exact"/>
      <w:jc w:val="center"/>
    </w:pPr>
    <w:rPr>
      <w:rFonts w:ascii="宋体" w:hAnsi="宋体"/>
      <w:szCs w:val="21"/>
    </w:rPr>
  </w:style>
  <w:style w:type="paragraph" w:customStyle="1" w:styleId="50">
    <w:name w:val="中等深浅底纹 1 - 着色 11"/>
    <w:basedOn w:val="1"/>
    <w:qFormat/>
    <w:uiPriority w:val="1"/>
    <w:pPr>
      <w:tabs>
        <w:tab w:val="left" w:pos="0"/>
      </w:tabs>
      <w:spacing w:line="240" w:lineRule="atLeast"/>
      <w:ind w:firstLine="200" w:firstLineChars="200"/>
      <w:jc w:val="center"/>
    </w:pPr>
    <w:rPr>
      <w:rFonts w:ascii="宋体" w:hAnsi="宋体"/>
      <w:bCs/>
      <w:kern w:val="0"/>
      <w:szCs w:val="21"/>
    </w:rPr>
  </w:style>
  <w:style w:type="paragraph" w:customStyle="1" w:styleId="51">
    <w:name w:val="无 间 隔"/>
    <w:basedOn w:val="1"/>
    <w:qFormat/>
    <w:uiPriority w:val="0"/>
    <w:pPr>
      <w:autoSpaceDE w:val="0"/>
      <w:autoSpaceDN w:val="0"/>
      <w:adjustRightInd w:val="0"/>
      <w:jc w:val="center"/>
    </w:pPr>
    <w:rPr>
      <w:bCs/>
      <w:color w:val="000000"/>
      <w:kern w:val="0"/>
      <w:szCs w:val="21"/>
    </w:rPr>
  </w:style>
  <w:style w:type="paragraph" w:customStyle="1" w:styleId="52">
    <w:name w:val="0表格正文"/>
    <w:basedOn w:val="1"/>
    <w:next w:val="1"/>
    <w:qFormat/>
    <w:uiPriority w:val="0"/>
    <w:pPr>
      <w:pBdr>
        <w:top w:val="none" w:color="auto" w:sz="0" w:space="1"/>
        <w:left w:val="none" w:color="auto" w:sz="0" w:space="4"/>
        <w:bottom w:val="none" w:color="auto" w:sz="0" w:space="1"/>
        <w:right w:val="none" w:color="auto" w:sz="0" w:space="4"/>
      </w:pBdr>
      <w:jc w:val="center"/>
    </w:pPr>
    <w:rPr>
      <w:rFonts w:ascii="宋体" w:hAnsi="宋体"/>
      <w:kern w:val="0"/>
      <w:szCs w:val="20"/>
    </w:rPr>
  </w:style>
  <w:style w:type="paragraph" w:customStyle="1" w:styleId="53">
    <w:name w:val="000表格正文"/>
    <w:basedOn w:val="1"/>
    <w:next w:val="1"/>
    <w:qFormat/>
    <w:uiPriority w:val="0"/>
    <w:pPr>
      <w:pBdr>
        <w:top w:val="none" w:color="auto" w:sz="0" w:space="1"/>
        <w:left w:val="none" w:color="auto" w:sz="0" w:space="4"/>
        <w:bottom w:val="none" w:color="auto" w:sz="0" w:space="1"/>
        <w:right w:val="none" w:color="auto" w:sz="0" w:space="4"/>
      </w:pBdr>
      <w:jc w:val="center"/>
    </w:pPr>
    <w:rPr>
      <w:szCs w:val="20"/>
    </w:rPr>
  </w:style>
  <w:style w:type="paragraph" w:customStyle="1" w:styleId="54">
    <w:name w:val="样式 四号 首行缩进:  2 字符"/>
    <w:basedOn w:val="1"/>
    <w:qFormat/>
    <w:uiPriority w:val="0"/>
    <w:pPr>
      <w:spacing w:line="480" w:lineRule="atLeast"/>
      <w:ind w:firstLine="200" w:firstLineChars="200"/>
      <w:jc w:val="left"/>
    </w:pPr>
    <w:rPr>
      <w:rFonts w:ascii="宋体" w:hAnsi="宋体"/>
      <w:sz w:val="24"/>
      <w:szCs w:val="20"/>
    </w:rPr>
  </w:style>
  <w:style w:type="character" w:customStyle="1" w:styleId="55">
    <w:name w:val="纯文本 Char"/>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6554</Words>
  <Characters>37360</Characters>
  <Lines>311</Lines>
  <Paragraphs>87</Paragraphs>
  <TotalTime>4</TotalTime>
  <ScaleCrop>false</ScaleCrop>
  <LinksUpToDate>false</LinksUpToDate>
  <CharactersWithSpaces>43827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2021-07-09T08:02:00Z</dcterms:created>
  <dc:creator>lhj</dc:creator>
  <cp:lastModifiedBy>消失...</cp:lastModifiedBy>
  <cp:lastPrinted>2020-12-24T01:50:00Z</cp:lastPrinted>
  <dcterms:modified xsi:type="dcterms:W3CDTF">2021-08-02T10:46:22Z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3A67B56143A648F2A9C27D1CBAEAC830</vt:lpwstr>
  </property>
</Properties>
</file>