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商洛市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生态环境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关于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对</w:t>
      </w:r>
      <w:r>
        <w:rPr>
          <w:rFonts w:hint="eastAsia" w:ascii="方正小标宋简体" w:eastAsia="方正小标宋简体"/>
          <w:sz w:val="36"/>
          <w:szCs w:val="36"/>
        </w:rPr>
        <w:t>商洛比亚迪实业有限公司年产1000MW单晶硅片电池片项目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环境影响报告书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rPr>
          <w:rFonts w:hint="eastAsia" w:ascii="仿宋_GB2312" w:hAnsi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baseline"/>
        <w:rPr>
          <w:rFonts w:hint="eastAsia" w:ascii="仿宋_GB2312" w:eastAsia="仿宋_GB2312" w:cs="仿宋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商洛比亚迪实业有限公司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 xml:space="preserve">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 w:cs="仿宋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你公司《关于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对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&lt;年产1000MW单晶硅片电池片项目环境影响报告书&gt;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进行审批的申请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收悉，经我局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2021年12月17日局务会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研究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，原则同意该环评报告书的结论和建议，具体批复意见如下：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一、该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商洛市高新技术产业开发区商洛比亚迪实业有限公司现有厂区内，对原有多晶硅片电池片生产车间进行改造，拆除原有生产线后新建年产1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W单晶硅片电池片项目生产线。项目总投资46615万元，估算环保投资共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1243.5万元，占投资额的2.67%。评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价表明，该项目符合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eastAsia="zh-CN" w:bidi="ar-SA"/>
        </w:rPr>
        <w:t>相关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规划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eastAsia="zh-CN" w:bidi="ar-SA"/>
        </w:rPr>
        <w:t>和产业政策要求，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在全面落实报告书提出的污染防治措施后，环境不利影响能够得到缓解和控制。因此，我局同意按照报告书中所列建设项目地点、性质、规模及环境保护措施进行建设。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二、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项目建设和运营过程中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必须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  <w:lang w:eastAsia="zh-CN"/>
        </w:rPr>
        <w:t>认真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落实</w:t>
      </w:r>
      <w:r>
        <w:rPr>
          <w:rFonts w:hint="eastAsia" w:ascii="华文仿宋" w:hAnsi="华文仿宋" w:eastAsia="华文仿宋"/>
          <w:sz w:val="32"/>
          <w:lang w:val="en-US" w:eastAsia="zh-CN"/>
        </w:rPr>
        <w:t>设计及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该报告书中的各项污染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  <w:lang w:eastAsia="zh-CN"/>
        </w:rPr>
        <w:t>防治设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施，</w:t>
      </w:r>
      <w:r>
        <w:rPr>
          <w:rFonts w:hint="eastAsia" w:ascii="华文仿宋" w:hAnsi="华文仿宋" w:eastAsia="华文仿宋"/>
          <w:sz w:val="32"/>
          <w:lang w:val="en-US" w:eastAsia="zh-CN"/>
        </w:rPr>
        <w:t>规范环保设施运行管理，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严格执行环保设施与主体工程同时设计、同时施工、同时投入使用的“三同时”制度，确保各项污染物</w:t>
      </w:r>
      <w:r>
        <w:rPr>
          <w:rFonts w:hint="eastAsia" w:ascii="华文仿宋" w:hAnsi="华文仿宋" w:eastAsia="华文仿宋"/>
          <w:sz w:val="32"/>
          <w:lang w:val="en-US" w:eastAsia="zh-CN"/>
        </w:rPr>
        <w:t>长期稳定</w:t>
      </w:r>
      <w:r>
        <w:rPr>
          <w:rFonts w:hint="eastAsia" w:ascii="华文仿宋" w:hAnsi="华文仿宋" w:eastAsia="华文仿宋"/>
          <w:snapToGrid/>
          <w:color w:val="auto"/>
          <w:kern w:val="2"/>
          <w:sz w:val="32"/>
          <w:szCs w:val="32"/>
        </w:rPr>
        <w:t>达标排放，并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重点做好以下工作：</w:t>
      </w:r>
    </w:p>
    <w:p>
      <w:pPr>
        <w:spacing w:line="62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（一）</w:t>
      </w:r>
      <w:r>
        <w:rPr>
          <w:rFonts w:hint="eastAsia" w:ascii="华文仿宋" w:hAnsi="华文仿宋" w:eastAsia="华文仿宋"/>
          <w:sz w:val="32"/>
          <w:lang w:eastAsia="zh-CN"/>
        </w:rPr>
        <w:t>按环评要求对原有污水处理站进行改造，生产废水经</w:t>
      </w:r>
      <w:r>
        <w:rPr>
          <w:rFonts w:hint="eastAsia" w:ascii="华文仿宋" w:hAnsi="华文仿宋" w:eastAsia="华文仿宋"/>
          <w:sz w:val="32"/>
        </w:rPr>
        <w:t>污水处理</w:t>
      </w:r>
      <w:r>
        <w:rPr>
          <w:rFonts w:hint="eastAsia" w:ascii="华文仿宋" w:hAnsi="华文仿宋" w:eastAsia="华文仿宋"/>
          <w:sz w:val="32"/>
          <w:lang w:eastAsia="zh-CN"/>
        </w:rPr>
        <w:t>设施处理达到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《电池工业污染物排放标准》（GB30484）表2“太阳电池”直接排放标准，如排入</w:t>
      </w:r>
      <w:r>
        <w:rPr>
          <w:rFonts w:hint="eastAsia" w:ascii="华文仿宋" w:hAnsi="华文仿宋" w:eastAsia="华文仿宋"/>
          <w:sz w:val="32"/>
          <w:lang w:eastAsia="zh-CN"/>
        </w:rPr>
        <w:t>园区工业园区污水处理厂进一步处理应达到《电池工业污染物排放标准》（GB30484）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表2“太阳电池”间接排放标准后</w:t>
      </w:r>
      <w:r>
        <w:rPr>
          <w:rFonts w:hint="eastAsia" w:ascii="华文仿宋" w:hAnsi="华文仿宋" w:eastAsia="华文仿宋"/>
          <w:sz w:val="32"/>
          <w:lang w:eastAsia="zh-CN"/>
        </w:rPr>
        <w:t>进入园区工业污水处理厂。</w:t>
      </w:r>
    </w:p>
    <w:p>
      <w:pPr>
        <w:spacing w:line="62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（二）</w:t>
      </w:r>
      <w:r>
        <w:rPr>
          <w:rFonts w:hint="eastAsia" w:ascii="华文仿宋" w:hAnsi="华文仿宋" w:eastAsia="华文仿宋"/>
          <w:sz w:val="32"/>
          <w:lang w:eastAsia="zh-CN"/>
        </w:rPr>
        <w:t>生产车间产生的废气污染物要配套建设废气收集处理设施，经处理后有组织非甲烷总烃排放浓度达到《挥发性有机物排放控制标准》（DB61/T1061）后排放，其它废气污染物浓度达到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《电池工业污染物排放标准》（GB30484）和《恶臭污染物排放标准》（GB14554）</w:t>
      </w:r>
      <w:r>
        <w:rPr>
          <w:rFonts w:hint="eastAsia" w:ascii="华文仿宋" w:hAnsi="华文仿宋" w:eastAsia="华文仿宋"/>
          <w:sz w:val="32"/>
          <w:lang w:eastAsia="zh-CN"/>
        </w:rPr>
        <w:t>后排放。</w:t>
      </w:r>
    </w:p>
    <w:p>
      <w:pPr>
        <w:spacing w:line="62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（三）</w:t>
      </w:r>
      <w:r>
        <w:rPr>
          <w:rFonts w:hint="eastAsia" w:ascii="华文仿宋" w:hAnsi="华文仿宋" w:eastAsia="华文仿宋"/>
          <w:sz w:val="32"/>
          <w:lang w:eastAsia="zh-CN"/>
        </w:rPr>
        <w:t>废边角料、废坩埚等一般固废分类收集，定点堆放后及时由厂家综合回收利用；危险废物严格按照《危险废物贮存污染控制标准》（</w:t>
      </w:r>
      <w:r>
        <w:rPr>
          <w:rFonts w:hint="eastAsia" w:ascii="华文仿宋" w:hAnsi="华文仿宋" w:eastAsia="华文仿宋"/>
          <w:sz w:val="32"/>
          <w:lang w:val="en-US" w:eastAsia="zh-CN"/>
        </w:rPr>
        <w:t>GB18597</w:t>
      </w:r>
      <w:r>
        <w:rPr>
          <w:rFonts w:hint="eastAsia" w:ascii="华文仿宋" w:hAnsi="华文仿宋" w:eastAsia="华文仿宋"/>
          <w:sz w:val="32"/>
          <w:lang w:eastAsia="zh-CN"/>
        </w:rPr>
        <w:t>）的要求进行收集、贮存，不得与一般固废混堆，并</w:t>
      </w:r>
      <w:r>
        <w:rPr>
          <w:rFonts w:hint="eastAsia" w:ascii="华文仿宋" w:hAnsi="华文仿宋" w:eastAsia="华文仿宋"/>
          <w:sz w:val="32"/>
        </w:rPr>
        <w:t>及时交有危险废物处置资质的单位处置。</w:t>
      </w:r>
    </w:p>
    <w:p>
      <w:pPr>
        <w:spacing w:line="62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（四）</w:t>
      </w:r>
      <w:r>
        <w:rPr>
          <w:rFonts w:hint="eastAsia" w:ascii="华文仿宋" w:hAnsi="华文仿宋" w:eastAsia="华文仿宋"/>
          <w:sz w:val="32"/>
          <w:lang w:eastAsia="zh-CN"/>
        </w:rPr>
        <w:t>修改</w:t>
      </w:r>
      <w:r>
        <w:rPr>
          <w:rFonts w:hint="eastAsia" w:ascii="华文仿宋" w:hAnsi="华文仿宋" w:eastAsia="华文仿宋"/>
          <w:sz w:val="32"/>
        </w:rPr>
        <w:t>完善厂区现有的突发环境事件应急预案，</w:t>
      </w:r>
      <w:r>
        <w:rPr>
          <w:rFonts w:hint="eastAsia" w:ascii="华文仿宋" w:hAnsi="华文仿宋" w:eastAsia="华文仿宋"/>
          <w:sz w:val="32"/>
          <w:lang w:eastAsia="zh-CN"/>
        </w:rPr>
        <w:t>储备应急物资，定期进行应急演练和培训，确保事故状态下污染物能得到有效控制</w:t>
      </w:r>
      <w:r>
        <w:rPr>
          <w:rFonts w:hint="eastAsia" w:ascii="华文仿宋" w:hAnsi="华文仿宋" w:eastAsia="华文仿宋"/>
          <w:sz w:val="32"/>
        </w:rPr>
        <w:t>。</w:t>
      </w:r>
    </w:p>
    <w:p>
      <w:pPr>
        <w:spacing w:line="620" w:lineRule="exact"/>
        <w:ind w:left="319" w:leftChars="133" w:firstLine="320" w:firstLineChars="100"/>
        <w:textAlignment w:val="baseline"/>
        <w:rPr>
          <w:rFonts w:hint="eastAsia" w:ascii="华文仿宋" w:hAnsi="华文仿宋" w:eastAsia="华文仿宋"/>
          <w:sz w:val="32"/>
          <w:lang w:eastAsia="zh-CN"/>
        </w:rPr>
      </w:pPr>
      <w:r>
        <w:rPr>
          <w:rFonts w:hint="eastAsia" w:ascii="华文仿宋" w:hAnsi="华文仿宋" w:eastAsia="华文仿宋"/>
          <w:sz w:val="32"/>
          <w:lang w:eastAsia="zh-CN"/>
        </w:rPr>
        <w:t>（五）按照《排污许可管理条例》和相关技术规范要求</w:t>
      </w:r>
    </w:p>
    <w:p>
      <w:pPr>
        <w:spacing w:line="620" w:lineRule="exact"/>
        <w:textAlignment w:val="baseline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eastAsia="zh-CN"/>
        </w:rPr>
        <w:t>重新制定厂区自行监测方案</w:t>
      </w:r>
      <w:r>
        <w:rPr>
          <w:rFonts w:hint="eastAsia" w:ascii="华文仿宋" w:hAnsi="华文仿宋" w:eastAsia="华文仿宋"/>
          <w:sz w:val="32"/>
        </w:rPr>
        <w:t>，定期对厂区周围环境</w:t>
      </w:r>
      <w:r>
        <w:rPr>
          <w:rFonts w:hint="eastAsia" w:ascii="华文仿宋" w:hAnsi="华文仿宋" w:eastAsia="华文仿宋"/>
          <w:sz w:val="32"/>
          <w:lang w:eastAsia="zh-CN"/>
        </w:rPr>
        <w:t>和污染物</w:t>
      </w:r>
      <w:r>
        <w:rPr>
          <w:rFonts w:hint="eastAsia" w:ascii="华文仿宋" w:hAnsi="华文仿宋" w:eastAsia="华文仿宋"/>
          <w:sz w:val="32"/>
        </w:rPr>
        <w:t>进行监测。</w:t>
      </w:r>
      <w:r>
        <w:rPr>
          <w:rFonts w:hint="eastAsia" w:ascii="华文仿宋" w:hAnsi="华文仿宋" w:eastAsia="华文仿宋"/>
          <w:sz w:val="32"/>
          <w:lang w:val="en-US" w:eastAsia="zh-CN"/>
        </w:rPr>
        <w:t xml:space="preserve">   </w:t>
      </w:r>
    </w:p>
    <w:p>
      <w:pPr>
        <w:spacing w:line="620" w:lineRule="exact"/>
        <w:ind w:firstLine="640" w:firstLineChars="200"/>
        <w:textAlignment w:val="baseline"/>
        <w:rPr>
          <w:rFonts w:hint="eastAsia" w:asci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eastAsia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eastAsia="仿宋"/>
          <w:color w:val="auto"/>
          <w:sz w:val="32"/>
          <w:szCs w:val="32"/>
        </w:rPr>
        <w:t>、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建设单位是建设项目选址、建设、运营全过程落实环境保护措施、公开环境信息的主体，应按照《建设项目环境影响评价信息公开机制方案》等要求依法依规公开建设项目环评信息，畅通公众参与和社会监督渠道，保障可能受建设项目环境影响的公众环境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" w:eastAsia="仿宋"/>
          <w:color w:val="FF0000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eastAsia="仿宋"/>
          <w:color w:val="auto"/>
          <w:sz w:val="32"/>
          <w:szCs w:val="32"/>
        </w:rPr>
        <w:t>、按照《建设项目环境保护事中事后监督管理办法（试行）》的要求，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商州区</w:t>
      </w:r>
      <w:r>
        <w:rPr>
          <w:rFonts w:hint="eastAsia" w:ascii="仿宋" w:eastAsia="仿宋"/>
          <w:color w:val="auto"/>
          <w:sz w:val="32"/>
          <w:szCs w:val="32"/>
        </w:rPr>
        <w:t>分局负责该项目的事中事后监督管理，市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生态</w:t>
      </w:r>
      <w:r>
        <w:rPr>
          <w:rFonts w:hint="eastAsia" w:ascii="仿宋" w:eastAsia="仿宋"/>
          <w:color w:val="auto"/>
          <w:sz w:val="32"/>
          <w:szCs w:val="32"/>
        </w:rPr>
        <w:t>环境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综合执法</w:t>
      </w:r>
      <w:r>
        <w:rPr>
          <w:rFonts w:hint="eastAsia" w:ascii="仿宋" w:eastAsia="仿宋"/>
          <w:color w:val="auto"/>
          <w:sz w:val="32"/>
          <w:szCs w:val="32"/>
        </w:rPr>
        <w:t>支队负责对事中事后监督管理工作进行监督和指导。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eastAsia="zh-CN"/>
        </w:rPr>
        <w:t>五、</w:t>
      </w:r>
      <w:r>
        <w:rPr>
          <w:rFonts w:hint="eastAsia" w:ascii="仿宋" w:eastAsia="仿宋"/>
          <w:color w:val="auto"/>
          <w:sz w:val="32"/>
          <w:szCs w:val="32"/>
        </w:rPr>
        <w:t>项目竣工后你公司应当按照《建设项目环境保护验收暂行办法》规定的验收条件和程序，对配套建设的环境保护设施进行验收，并依法向社会公开验收报告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，将验收报告报市区生态环境部门备案</w:t>
      </w:r>
      <w:r>
        <w:rPr>
          <w:rFonts w:hint="eastAsia" w:ascii="仿宋" w:eastAsia="仿宋"/>
          <w:color w:val="auto"/>
          <w:sz w:val="32"/>
          <w:szCs w:val="32"/>
        </w:rPr>
        <w:t>；环境保护设施经验收合格后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方</w:t>
      </w:r>
      <w:r>
        <w:rPr>
          <w:rFonts w:hint="eastAsia" w:ascii="仿宋" w:eastAsia="仿宋"/>
          <w:color w:val="auto"/>
          <w:sz w:val="32"/>
          <w:szCs w:val="32"/>
        </w:rPr>
        <w:t>可投入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生产</w:t>
      </w:r>
      <w:r>
        <w:rPr>
          <w:rFonts w:hint="eastAsia" w:ascii="仿宋" w:eastAsia="仿宋"/>
          <w:color w:val="auto"/>
          <w:sz w:val="32"/>
          <w:szCs w:val="32"/>
        </w:rPr>
        <w:t>，未经验收或者验收不合格的，不得投入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生产</w:t>
      </w:r>
      <w:r>
        <w:rPr>
          <w:rFonts w:hint="eastAsia" w:asci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0" w:firstLineChars="1500"/>
        <w:rPr>
          <w:rFonts w:hint="eastAsia" w:ascii="华文仿宋" w:hAnsi="华文仿宋" w:eastAsia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 xml:space="preserve">商洛市生态环境局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0" w:firstLineChars="15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20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3549"/>
    <w:rsid w:val="19D93A75"/>
    <w:rsid w:val="1D6E15AF"/>
    <w:rsid w:val="595776D6"/>
    <w:rsid w:val="68EE5EEA"/>
    <w:rsid w:val="71FB3549"/>
    <w:rsid w:val="770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qFormat/>
    <w:uiPriority w:val="99"/>
    <w:pPr>
      <w:widowControl/>
      <w:ind w:firstLine="360"/>
      <w:jc w:val="left"/>
    </w:pPr>
    <w:rPr>
      <w:rFonts w:ascii="宋体" w:hAnsi="宋体"/>
      <w:kern w:val="0"/>
      <w:sz w:val="24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napToGrid w:val="0"/>
      <w:kern w:val="0"/>
    </w:rPr>
  </w:style>
  <w:style w:type="paragraph" w:customStyle="1" w:styleId="5">
    <w:name w:val=" Char Char Char Char Char2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2021-12-17T08:07:00Z</dcterms:created>
  <dc:creator> 小黑 </dc:creator>
  <cp:lastModifiedBy> 小黑 </cp:lastModifiedBy>
  <cp:lastPrinted>2021-12-21T09:30:00Z</cp:lastPrinted>
  <dcterms:modified xsi:type="dcterms:W3CDTF">2021-12-23T03:31:08Z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F8974865831447938555207918591A49</vt:lpwstr>
  </property>
</Properties>
</file>