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商洛市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生态环境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baseline"/>
        <w:rPr>
          <w:rFonts w:hint="eastAsia" w:ascii="仿宋" w:hAnsi="仿宋" w:eastAsia="仿宋" w:cs="仿宋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关于对</w:t>
      </w:r>
      <w:r>
        <w:rPr>
          <w:rFonts w:hint="eastAsia" w:ascii="仿宋" w:hAnsi="仿宋" w:eastAsia="仿宋" w:cs="仿宋"/>
          <w:bCs/>
          <w:snapToGrid/>
          <w:color w:val="000000"/>
          <w:kern w:val="2"/>
          <w:sz w:val="32"/>
          <w:szCs w:val="32"/>
          <w:lang w:val="en-US" w:eastAsia="zh-CN" w:bidi="ar-SA"/>
        </w:rPr>
        <w:t>商洛犇犇旺农业发展有限公司肉牛养殖产业园项目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环境影响报告书的批复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napToGrid/>
          <w:color w:val="000000"/>
          <w:kern w:val="2"/>
          <w:sz w:val="32"/>
          <w:szCs w:val="32"/>
          <w:lang w:val="en-US" w:eastAsia="zh-CN" w:bidi="ar-SA"/>
        </w:rPr>
        <w:t>商洛犇犇旺农业发展有限公司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你公司《关于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上报审批肉牛养殖产业园项目环境影响报告书的申请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》和环境影响报告书收悉，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局务会研究，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批复如下：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一、该项目位于</w:t>
      </w:r>
      <w:r>
        <w:rPr>
          <w:rFonts w:hint="eastAsia" w:ascii="仿宋" w:hAnsi="仿宋" w:eastAsia="仿宋" w:cs="仿宋"/>
          <w:i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商洛市山阳县板岩镇，占地面积约49893平方米，估算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总投资8000万元，</w:t>
      </w:r>
      <w:r>
        <w:rPr>
          <w:rFonts w:hint="eastAsia" w:ascii="仿宋" w:hAnsi="仿宋" w:eastAsia="仿宋" w:cs="仿宋"/>
          <w:i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主要建设牛舍、饲料加工车间、有机肥加工车间、污水处理设施、办公楼等，项目建成后年均存栏量约1500头牛，年出栏约700头牛。</w:t>
      </w:r>
      <w:r>
        <w:rPr>
          <w:rFonts w:hint="eastAsia" w:ascii="仿宋_GB2312" w:hAnsi="宋体" w:eastAsia="仿宋_GB2312" w:cs="仿宋"/>
          <w:snapToGrid/>
          <w:color w:val="auto"/>
          <w:kern w:val="2"/>
          <w:sz w:val="32"/>
          <w:szCs w:val="32"/>
          <w:lang w:val="en-US" w:eastAsia="zh-CN" w:bidi="ar-SA"/>
        </w:rPr>
        <w:t>评价表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  <w:t>明，该项目符合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eastAsia="zh-CN" w:bidi="ar-SA"/>
        </w:rPr>
        <w:t>相关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  <w:t>规划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eastAsia="zh-CN" w:bidi="ar-SA"/>
        </w:rPr>
        <w:t>和产业政策要求，</w:t>
      </w:r>
      <w:r>
        <w:rPr>
          <w:rFonts w:hint="eastAsia" w:ascii="仿宋_GB2312" w:eastAsia="仿宋_GB2312" w:cs="仿宋"/>
          <w:snapToGrid/>
          <w:color w:val="auto"/>
          <w:kern w:val="2"/>
          <w:sz w:val="32"/>
          <w:szCs w:val="32"/>
          <w:lang w:bidi="ar-SA"/>
        </w:rPr>
        <w:t>在全面落实报告书提出的污染防治措施后，环境不利影响能够得到缓解和控制。因此，我局同意按照报告书中所列建设项目地点、性质、规模及环境保护措施进行建设。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项目建设和运营过程中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必须认真落实该报告书中的各项污染治理措施，严格执行环保设施与主体工程同时设计、同时施工、同时投入使用的“三同时”制度，确保各项污染物达标排放，并</w:t>
      </w:r>
      <w:r>
        <w:rPr>
          <w:rFonts w:hint="eastAsia" w:ascii="仿宋" w:hAnsi="仿宋" w:eastAsia="仿宋" w:cs="仿宋"/>
          <w:sz w:val="32"/>
          <w:szCs w:val="32"/>
        </w:rPr>
        <w:t>重点做好以下工作：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（一）加强施工期环境管理，严格落实施工期各项环保措施。物料运输和堆放采取覆盖措施，施工场地经常洒水抑尘，施工废水经沉淀后回用，开挖土石方及时回填利用，生活垃圾统一收集后规范处置。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本项目产生的所有废水收集后进入污水处理站处理，处理达标后回用于牛舍冲洗，不得外排。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（三）厂区必须规范建设雨污分流管网系统和初期雨水收集池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牛舍、污水处理站、沼气池等严格按规范采取防渗措施，防止对区域地表水和地下水造成污染。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四）饲料加工和有机肥加工车间产生的粉尘用布袋除尘器处理；及时清理牛舍，定期喷洒除臭剂和吸附剂，有机肥加工车间要建设废气处理设施对恶臭气体收集处理，确保废气污染物达到《恶臭污染物排放标准》（GB14554）二级标准、《畜禽养殖业污染物排放标准》（GB8596）等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（五）优先选用低噪声设备，认真落实隔声、减震等降噪措施，确保厂界噪声满足《工业企业厂界环境噪声排放标准》（GB 12348）中的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2类标准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（六）加强固体废物管理和处置，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粪便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采取干清粪工艺，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日产日清，固液分离后产生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的粪渣、污泥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和沼渣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等进入有机肥加工车间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生产有机肥。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（七）按照《排污许可管理条例》和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《排污许可证申请与核发技术规范-畜禽养殖业》（HJ1029）要求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依法办理排污许可证，制定自行监测方案，定期对场区废水、废气污染物和地下水环境进行监测。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（八）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病死牛尸体和分娩物等按规范安全处置，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医疗废物建设危险废物暂存间暂存，定期交有资质单位规范处置。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卫生防护距离50米范围内应实施绿化，不得新建住宅、办公等场所。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）按照《突发环境事件应急预案管理暂行办法》的要求，制定突发环境事件应急预案并报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山阳县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分局备案，严格落实环评及方案提出的环境风险防范措施。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建设单位是项目建设、运营全过程落实环境保护措施、公开环境信息的主体，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应切实履行粪污收集处理利用和污染防治主体责任，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按照《建设项目环境影响评价信息公开机制方案》相关要求依法依规公开建设项目环评及验收信息，畅通公众参与和社会监督渠道，保障可能受建设项目环境影响的公众环境权益。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按照《建设项目环境保护事中事后监督管理办法（试行）》的要求，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/>
        </w:rPr>
        <w:t>山阳县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分局负责该项目的事中事后监督管理，市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eastAsia="zh-CN"/>
        </w:rPr>
        <w:t>生态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环境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eastAsia="zh-CN"/>
        </w:rPr>
        <w:t>综合执法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支队负责对事中事后监督管理工作进行监督和指导。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eastAsia="zh-CN"/>
        </w:rPr>
        <w:t>该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项目竣工后，你公司应当按照《建设项目环境保护验收暂行办法》规定的验收条件和程序，对配套建设的环境保护设施进行验收，并依法向社会公开验收报告；环境保护设施经验收合格后可投入运行，未经验收或者验收不合格的，不得投入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baseline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baseline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baseline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>商洛市生态环境局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/>
        </w:rPr>
        <w:t xml:space="preserve">2022年6月9日 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</w:rPr>
        <w:t xml:space="preserve"> </w:t>
      </w:r>
    </w:p>
    <w:p/>
    <w:sectPr>
      <w:footerReference r:id="rId3" w:type="default"/>
      <w:pgSz w:w="11900" w:h="16838"/>
      <w:pgMar w:top="1417" w:right="1417" w:bottom="1417" w:left="1417" w:header="851" w:footer="992" w:gutter="0"/>
      <w:cols w:space="72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TEzODdjM2VmYmQ1MzE0ZGEyM2ZkMDZhNDFlMWUifQ=="/>
  </w:docVars>
  <w:rsids>
    <w:rsidRoot w:val="77825502"/>
    <w:rsid w:val="12CD2F48"/>
    <w:rsid w:val="18911A12"/>
    <w:rsid w:val="6B0B3166"/>
    <w:rsid w:val="778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qFormat/>
    <w:uiPriority w:val="99"/>
    <w:pPr>
      <w:widowControl/>
      <w:ind w:firstLine="360"/>
      <w:jc w:val="left"/>
    </w:pPr>
    <w:rPr>
      <w:rFonts w:ascii="宋体" w:hAnsi="宋体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napToGrid w:val="0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1449</Words>
  <Characters>1496</Characters>
  <Lines>0</Lines>
  <Paragraphs>0</Paragraphs>
  <TotalTime>8</TotalTime>
  <ScaleCrop>false</ScaleCrop>
  <LinksUpToDate>false</LinksUpToDate>
  <CharactersWithSpaces>1500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2022-06-01T09:20:00Z</dcterms:created>
  <dc:creator> 小黑 </dc:creator>
  <cp:lastModifiedBy> 小黑 </cp:lastModifiedBy>
  <dcterms:modified xsi:type="dcterms:W3CDTF">2022-06-08T08:37:06Z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B2DA6E8A981D40D68B81EAD56054CBB2</vt:lpwstr>
  </property>
</Properties>
</file>