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/>
        <w:jc w:val="center"/>
        <w:textAlignment w:val="auto"/>
        <w:rPr>
          <w:rFonts w:hint="eastAsia"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商洛市</w:t>
      </w: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生态环境</w:t>
      </w:r>
      <w:r>
        <w:rPr>
          <w:rFonts w:hint="eastAsia" w:ascii="方正小标宋简体" w:eastAsia="方正小标宋简体"/>
          <w:bCs/>
          <w:sz w:val="36"/>
          <w:szCs w:val="36"/>
        </w:rPr>
        <w:t>局</w:t>
      </w:r>
    </w:p>
    <w:p>
      <w:pPr>
        <w:spacing w:line="360" w:lineRule="auto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关于对陕西锌业有限公司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锌基合金生产线及配套技术升级改造</w:t>
      </w:r>
      <w:r>
        <w:rPr>
          <w:rFonts w:hint="eastAsia" w:ascii="方正小标宋简体" w:eastAsia="方正小标宋简体"/>
          <w:sz w:val="36"/>
          <w:szCs w:val="36"/>
        </w:rPr>
        <w:t>项目环境影响报告书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的批复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rPr>
          <w:rFonts w:hint="eastAsia" w:ascii="仿宋_GB2312" w:hAnsi="仿宋_GB231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  <w:rPr>
          <w:rFonts w:hint="eastAsia" w:ascii="仿宋_GB2312" w:eastAsia="仿宋_GB2312" w:cs="仿宋"/>
          <w:sz w:val="32"/>
          <w:szCs w:val="32"/>
          <w:lang w:bidi="ar-SA"/>
        </w:rPr>
      </w:pPr>
      <w:r>
        <w:rPr>
          <w:rFonts w:hint="eastAsia" w:ascii="仿宋_GB2312" w:eastAsia="仿宋_GB2312" w:cs="仿宋"/>
          <w:sz w:val="32"/>
          <w:szCs w:val="32"/>
          <w:lang w:bidi="ar-SA"/>
        </w:rPr>
        <w:t xml:space="preserve">陕西锌业有限公司：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仿宋_GB2312" w:eastAsia="仿宋_GB2312" w:cs="仿宋"/>
          <w:sz w:val="32"/>
          <w:szCs w:val="32"/>
          <w:lang w:bidi="ar-SA"/>
        </w:rPr>
      </w:pPr>
      <w:r>
        <w:rPr>
          <w:rFonts w:hint="eastAsia" w:ascii="仿宋_GB2312" w:eastAsia="仿宋_GB2312" w:cs="仿宋"/>
          <w:sz w:val="32"/>
          <w:szCs w:val="32"/>
          <w:lang w:bidi="ar-SA"/>
        </w:rPr>
        <w:t>你公司呈报我局的《关于申请&lt;</w:t>
      </w:r>
      <w:r>
        <w:rPr>
          <w:rFonts w:hint="eastAsia" w:ascii="仿宋_GB2312" w:eastAsia="仿宋_GB2312" w:cs="仿宋"/>
          <w:sz w:val="32"/>
          <w:szCs w:val="32"/>
          <w:lang w:eastAsia="zh-CN" w:bidi="ar-SA"/>
        </w:rPr>
        <w:t>锌基合金生产线及配套技术升级改造项目</w:t>
      </w:r>
      <w:r>
        <w:rPr>
          <w:rFonts w:hint="eastAsia" w:ascii="仿宋_GB2312" w:eastAsia="仿宋_GB2312" w:cs="仿宋"/>
          <w:sz w:val="32"/>
          <w:szCs w:val="32"/>
          <w:lang w:bidi="ar-SA"/>
        </w:rPr>
        <w:t>环境影响评价报告&gt;批复的报告》（陕锌司</w:t>
      </w:r>
      <w:r>
        <w:rPr>
          <w:rFonts w:hint="eastAsia" w:ascii="仿宋_GB2312" w:eastAsia="仿宋_GB2312" w:cs="仿宋"/>
          <w:sz w:val="32"/>
          <w:szCs w:val="32"/>
          <w:lang w:eastAsia="zh-CN" w:bidi="ar-SA"/>
        </w:rPr>
        <w:t>发</w:t>
      </w:r>
      <w:r>
        <w:rPr>
          <w:rFonts w:hint="eastAsia" w:ascii="仿宋_GB2312" w:eastAsia="仿宋_GB2312" w:cs="仿宋"/>
          <w:sz w:val="32"/>
          <w:szCs w:val="32"/>
          <w:lang w:bidi="ar-SA"/>
        </w:rPr>
        <w:t>（20</w:t>
      </w:r>
      <w:r>
        <w:rPr>
          <w:rFonts w:hint="eastAsia" w:ascii="仿宋_GB2312" w:eastAsia="仿宋_GB2312" w:cs="仿宋"/>
          <w:sz w:val="32"/>
          <w:szCs w:val="32"/>
          <w:lang w:val="en-US" w:eastAsia="zh-CN" w:bidi="ar-SA"/>
        </w:rPr>
        <w:t>20</w:t>
      </w:r>
      <w:r>
        <w:rPr>
          <w:rFonts w:hint="eastAsia" w:ascii="仿宋_GB2312" w:eastAsia="仿宋_GB2312" w:cs="仿宋"/>
          <w:sz w:val="32"/>
          <w:szCs w:val="32"/>
          <w:lang w:bidi="ar-SA"/>
        </w:rPr>
        <w:t>）</w:t>
      </w:r>
      <w:r>
        <w:rPr>
          <w:rFonts w:hint="eastAsia" w:ascii="仿宋_GB2312" w:eastAsia="仿宋_GB2312" w:cs="仿宋"/>
          <w:sz w:val="32"/>
          <w:szCs w:val="32"/>
          <w:lang w:val="en-US" w:eastAsia="zh-CN" w:bidi="ar-SA"/>
        </w:rPr>
        <w:t>247</w:t>
      </w:r>
      <w:r>
        <w:rPr>
          <w:rFonts w:hint="eastAsia" w:ascii="仿宋_GB2312" w:eastAsia="仿宋_GB2312" w:cs="仿宋"/>
          <w:sz w:val="32"/>
          <w:szCs w:val="32"/>
          <w:lang w:bidi="ar-SA"/>
        </w:rPr>
        <w:t>号）收悉，经</w:t>
      </w:r>
      <w:r>
        <w:rPr>
          <w:rFonts w:hint="eastAsia" w:ascii="仿宋_GB2312" w:eastAsia="仿宋_GB2312" w:cs="仿宋"/>
          <w:sz w:val="32"/>
          <w:szCs w:val="32"/>
          <w:lang w:val="en-US" w:eastAsia="zh-CN" w:bidi="ar-SA"/>
        </w:rPr>
        <w:t>2021年1月18日局务会</w:t>
      </w:r>
      <w:r>
        <w:rPr>
          <w:rFonts w:hint="eastAsia" w:ascii="仿宋_GB2312" w:eastAsia="仿宋_GB2312" w:cs="仿宋"/>
          <w:sz w:val="32"/>
          <w:szCs w:val="32"/>
          <w:lang w:bidi="ar-SA"/>
        </w:rPr>
        <w:t>研究，原则同意该环评报告书的结论和建议，具体批复意见如下：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 w:cs="仿宋"/>
          <w:snapToGrid/>
          <w:kern w:val="2"/>
          <w:sz w:val="32"/>
          <w:szCs w:val="32"/>
          <w:lang w:bidi="ar-SA"/>
        </w:rPr>
      </w:pPr>
      <w:r>
        <w:rPr>
          <w:rFonts w:hint="eastAsia" w:ascii="仿宋_GB2312" w:eastAsia="仿宋_GB2312" w:cs="仿宋"/>
          <w:snapToGrid/>
          <w:kern w:val="2"/>
          <w:sz w:val="32"/>
          <w:szCs w:val="32"/>
          <w:lang w:bidi="ar-SA"/>
        </w:rPr>
        <w:t>一、</w:t>
      </w:r>
      <w:r>
        <w:rPr>
          <w:rFonts w:hint="eastAsia" w:ascii="仿宋" w:hAnsi="仿宋" w:eastAsia="仿宋" w:cs="方正小标宋简体"/>
          <w:bCs/>
          <w:color w:val="auto"/>
          <w:sz w:val="32"/>
          <w:szCs w:val="32"/>
          <w:lang w:eastAsia="zh-CN"/>
        </w:rPr>
        <w:t>该</w:t>
      </w:r>
      <w:r>
        <w:rPr>
          <w:rFonts w:hint="eastAsia" w:ascii="仿宋" w:hAnsi="仿宋" w:eastAsia="仿宋" w:cs="方正小标宋简体"/>
          <w:bCs/>
          <w:color w:val="auto"/>
          <w:sz w:val="32"/>
          <w:szCs w:val="32"/>
        </w:rPr>
        <w:t>项目位于陕西锌业有限公司厂区</w:t>
      </w:r>
      <w:r>
        <w:rPr>
          <w:rFonts w:hint="eastAsia" w:ascii="仿宋" w:hAnsi="仿宋" w:eastAsia="仿宋" w:cs="方正小标宋简体"/>
          <w:bCs/>
          <w:color w:val="auto"/>
          <w:sz w:val="32"/>
          <w:szCs w:val="32"/>
          <w:lang w:eastAsia="zh-CN"/>
        </w:rPr>
        <w:t>内</w:t>
      </w:r>
      <w:r>
        <w:rPr>
          <w:rFonts w:hint="eastAsia" w:ascii="仿宋" w:hAnsi="仿宋" w:eastAsia="仿宋" w:cs="方正小标宋简体"/>
          <w:bCs/>
          <w:color w:val="auto"/>
          <w:sz w:val="32"/>
          <w:szCs w:val="32"/>
        </w:rPr>
        <w:t>现有制氧站北侧、西侧堆渣场地，</w:t>
      </w:r>
      <w:r>
        <w:rPr>
          <w:rFonts w:hint="eastAsia" w:ascii="仿宋" w:hAnsi="仿宋" w:eastAsia="仿宋" w:cs="方正小标宋简体"/>
          <w:bCs/>
          <w:color w:val="auto"/>
          <w:sz w:val="32"/>
          <w:szCs w:val="32"/>
          <w:lang w:eastAsia="zh-CN"/>
        </w:rPr>
        <w:t>主要</w:t>
      </w:r>
      <w:r>
        <w:rPr>
          <w:rFonts w:hint="eastAsia" w:ascii="仿宋" w:hAnsi="仿宋" w:eastAsia="仿宋" w:cs="方正小标宋简体"/>
          <w:bCs/>
          <w:color w:val="auto"/>
          <w:sz w:val="32"/>
          <w:szCs w:val="32"/>
          <w:lang w:val="en-US" w:eastAsia="zh-CN"/>
        </w:rPr>
        <w:t>建设电解车间和锌基合金生产线（热镀合金、压铸合金），年产锌基合金81420吨。</w:t>
      </w:r>
      <w:r>
        <w:rPr>
          <w:rFonts w:hint="eastAsia" w:ascii="仿宋" w:hAnsi="仿宋" w:eastAsia="仿宋" w:cs="方正小标宋简体"/>
          <w:bCs/>
          <w:color w:val="auto"/>
          <w:sz w:val="32"/>
          <w:szCs w:val="32"/>
          <w:lang w:eastAsia="zh-CN"/>
        </w:rPr>
        <w:t>总投资</w:t>
      </w:r>
      <w:r>
        <w:rPr>
          <w:rFonts w:hint="eastAsia" w:ascii="仿宋" w:hAnsi="仿宋" w:eastAsia="仿宋" w:cs="方正小标宋简体"/>
          <w:bCs/>
          <w:color w:val="auto"/>
          <w:sz w:val="32"/>
          <w:szCs w:val="32"/>
          <w:lang w:val="en-US" w:eastAsia="zh-CN"/>
        </w:rPr>
        <w:t>7105.95万元，环保投资1225万元，占总投资的17.23%</w:t>
      </w:r>
      <w:r>
        <w:rPr>
          <w:rFonts w:hint="eastAsia" w:ascii="仿宋" w:hAnsi="仿宋" w:eastAsia="仿宋" w:cs="方正小标宋简体"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eastAsia="仿宋_GB2312" w:cs="仿宋"/>
          <w:snapToGrid/>
          <w:kern w:val="2"/>
          <w:sz w:val="32"/>
          <w:szCs w:val="32"/>
          <w:lang w:bidi="ar-SA"/>
        </w:rPr>
        <w:t>评价表明，该项目符合</w:t>
      </w:r>
      <w:r>
        <w:rPr>
          <w:rFonts w:hint="eastAsia" w:ascii="仿宋_GB2312" w:eastAsia="仿宋_GB2312" w:cs="仿宋"/>
          <w:snapToGrid/>
          <w:kern w:val="2"/>
          <w:sz w:val="32"/>
          <w:szCs w:val="32"/>
          <w:lang w:eastAsia="zh-CN" w:bidi="ar-SA"/>
        </w:rPr>
        <w:t>相关</w:t>
      </w:r>
      <w:r>
        <w:rPr>
          <w:rFonts w:hint="eastAsia" w:ascii="仿宋_GB2312" w:eastAsia="仿宋_GB2312" w:cs="仿宋"/>
          <w:snapToGrid/>
          <w:kern w:val="2"/>
          <w:sz w:val="32"/>
          <w:szCs w:val="32"/>
          <w:lang w:bidi="ar-SA"/>
        </w:rPr>
        <w:t>规划</w:t>
      </w:r>
      <w:r>
        <w:rPr>
          <w:rFonts w:hint="eastAsia" w:ascii="仿宋_GB2312" w:eastAsia="仿宋_GB2312" w:cs="仿宋"/>
          <w:snapToGrid/>
          <w:kern w:val="2"/>
          <w:sz w:val="32"/>
          <w:szCs w:val="32"/>
          <w:lang w:eastAsia="zh-CN" w:bidi="ar-SA"/>
        </w:rPr>
        <w:t>和产业要求，</w:t>
      </w:r>
      <w:r>
        <w:rPr>
          <w:rFonts w:hint="eastAsia" w:ascii="仿宋_GB2312" w:eastAsia="仿宋_GB2312" w:cs="仿宋"/>
          <w:snapToGrid/>
          <w:kern w:val="2"/>
          <w:sz w:val="32"/>
          <w:szCs w:val="32"/>
          <w:lang w:bidi="ar-SA"/>
        </w:rPr>
        <w:t>在全面落实报告书提出的污染防治措施后，环境不利影响能够得到缓解和控制。因此，我局同意按照报告书中所列建设项目地点、性质、规模及环境保护措施进行建设。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both"/>
        <w:textAlignment w:val="baseline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"/>
          <w:sz w:val="32"/>
          <w:szCs w:val="32"/>
          <w:lang w:bidi="ar-SA"/>
        </w:rPr>
        <w:t>二、</w:t>
      </w:r>
      <w:r>
        <w:rPr>
          <w:rFonts w:hint="eastAsia" w:ascii="华文仿宋" w:hAnsi="华文仿宋" w:eastAsia="华文仿宋"/>
          <w:sz w:val="32"/>
        </w:rPr>
        <w:t>项目建设和运营过程中</w:t>
      </w:r>
      <w:r>
        <w:rPr>
          <w:rFonts w:hint="eastAsia" w:ascii="华文仿宋" w:hAnsi="华文仿宋" w:eastAsia="华文仿宋"/>
          <w:snapToGrid/>
          <w:kern w:val="2"/>
          <w:sz w:val="32"/>
        </w:rPr>
        <w:t>必须认真落实该报告书中的各项污染</w:t>
      </w:r>
      <w:r>
        <w:rPr>
          <w:rFonts w:hint="eastAsia" w:ascii="华文仿宋" w:hAnsi="华文仿宋" w:eastAsia="华文仿宋"/>
          <w:snapToGrid/>
          <w:kern w:val="2"/>
          <w:sz w:val="32"/>
          <w:lang w:eastAsia="zh-CN"/>
        </w:rPr>
        <w:t>防治</w:t>
      </w:r>
      <w:r>
        <w:rPr>
          <w:rFonts w:hint="eastAsia" w:ascii="华文仿宋" w:hAnsi="华文仿宋" w:eastAsia="华文仿宋"/>
          <w:snapToGrid/>
          <w:kern w:val="2"/>
          <w:sz w:val="32"/>
        </w:rPr>
        <w:t>措施，严格执行环保设施与主体工程同时设计、同时施工、同时投入使用的“三同时”制度，确保各项污染物达标排放，并</w:t>
      </w:r>
      <w:r>
        <w:rPr>
          <w:rFonts w:hint="eastAsia" w:ascii="华文仿宋" w:hAnsi="华文仿宋" w:eastAsia="华文仿宋"/>
          <w:sz w:val="32"/>
        </w:rPr>
        <w:t>重点做好以下工作：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eastAsia="仿宋_GB2312" w:cs="仿宋"/>
          <w:sz w:val="32"/>
          <w:szCs w:val="32"/>
          <w:lang w:bidi="ar-SA"/>
        </w:rPr>
      </w:pPr>
      <w:r>
        <w:rPr>
          <w:rFonts w:hint="eastAsia" w:ascii="仿宋_GB2312" w:eastAsia="仿宋_GB2312" w:cs="仿宋"/>
          <w:sz w:val="32"/>
          <w:szCs w:val="32"/>
          <w:lang w:bidi="ar-SA"/>
        </w:rPr>
        <w:t>（一）加强施工过程中的环境保护管理，严格控制施工扬尘、噪声、废水及固废对周围环境的影响。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eastAsia="仿宋_GB2312" w:cs="仿宋"/>
          <w:sz w:val="32"/>
          <w:szCs w:val="32"/>
          <w:lang w:bidi="ar-SA"/>
        </w:rPr>
      </w:pPr>
      <w:r>
        <w:rPr>
          <w:rFonts w:hint="eastAsia" w:ascii="仿宋_GB2312" w:eastAsia="仿宋_GB2312" w:cs="仿宋"/>
          <w:sz w:val="32"/>
          <w:szCs w:val="32"/>
          <w:lang w:bidi="ar-SA"/>
        </w:rPr>
        <w:t>（二）</w:t>
      </w:r>
      <w:r>
        <w:rPr>
          <w:rFonts w:hint="eastAsia" w:ascii="仿宋_GB2312" w:eastAsia="仿宋_GB2312" w:cs="仿宋"/>
          <w:sz w:val="32"/>
          <w:szCs w:val="32"/>
          <w:lang w:eastAsia="zh-CN" w:bidi="ar-SA"/>
        </w:rPr>
        <w:t>进料口、扒渣口粉尘和电解车间</w:t>
      </w:r>
      <w:r>
        <w:rPr>
          <w:rFonts w:hint="eastAsia" w:ascii="仿宋_GB2312" w:eastAsia="仿宋_GB2312" w:cs="仿宋"/>
          <w:sz w:val="32"/>
          <w:szCs w:val="32"/>
          <w:lang w:bidi="ar-SA"/>
        </w:rPr>
        <w:t>产生的</w:t>
      </w:r>
      <w:r>
        <w:rPr>
          <w:rFonts w:hint="eastAsia" w:ascii="仿宋_GB2312" w:eastAsia="仿宋_GB2312" w:cs="仿宋"/>
          <w:sz w:val="32"/>
          <w:szCs w:val="32"/>
          <w:lang w:eastAsia="zh-CN" w:bidi="ar-SA"/>
        </w:rPr>
        <w:t>硫酸雾等废气污染物要建设环境保护设施，经收集</w:t>
      </w:r>
      <w:r>
        <w:rPr>
          <w:rFonts w:hint="eastAsia" w:ascii="仿宋_GB2312" w:eastAsia="仿宋_GB2312" w:cs="仿宋"/>
          <w:sz w:val="32"/>
          <w:szCs w:val="32"/>
          <w:lang w:bidi="ar-SA"/>
        </w:rPr>
        <w:t>处理后达到《铅、锌工业污染物排放标准》（GB25466-2010）要求。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Times New Roman" w:eastAsia="仿宋_GB2312" w:cs="仿宋"/>
          <w:sz w:val="32"/>
          <w:szCs w:val="32"/>
          <w:lang w:bidi="ar-SA"/>
        </w:rPr>
      </w:pPr>
      <w:r>
        <w:rPr>
          <w:rFonts w:hint="eastAsia" w:ascii="仿宋_GB2312" w:eastAsia="仿宋_GB2312" w:cs="仿宋"/>
          <w:sz w:val="32"/>
          <w:szCs w:val="32"/>
          <w:lang w:bidi="ar-SA"/>
        </w:rPr>
        <w:t>（三）</w:t>
      </w:r>
      <w:r>
        <w:rPr>
          <w:rFonts w:hint="eastAsia" w:ascii="仿宋_GB2312" w:hAnsi="Times New Roman" w:eastAsia="仿宋_GB2312" w:cs="仿宋"/>
          <w:sz w:val="32"/>
          <w:szCs w:val="32"/>
          <w:lang w:bidi="ar-SA"/>
        </w:rPr>
        <w:t>电解车间废电解液、电解槽的洗槽废水等经收集后</w:t>
      </w:r>
      <w:r>
        <w:rPr>
          <w:rFonts w:hint="eastAsia" w:ascii="仿宋_GB2312" w:hAnsi="Times New Roman" w:eastAsia="仿宋_GB2312" w:cs="仿宋"/>
          <w:sz w:val="32"/>
          <w:szCs w:val="32"/>
          <w:lang w:eastAsia="zh-CN" w:bidi="ar-SA"/>
        </w:rPr>
        <w:t>综合利用</w:t>
      </w:r>
      <w:r>
        <w:rPr>
          <w:rFonts w:hint="eastAsia" w:ascii="仿宋_GB2312" w:hAnsi="Times New Roman" w:eastAsia="仿宋_GB2312" w:cs="仿宋"/>
          <w:sz w:val="32"/>
          <w:szCs w:val="32"/>
          <w:lang w:bidi="ar-SA"/>
        </w:rPr>
        <w:t>，不得外排。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80"/>
        <w:textAlignment w:val="auto"/>
        <w:rPr>
          <w:rFonts w:hint="eastAsia" w:ascii="仿宋" w:hAnsi="仿宋" w:eastAsia="仿宋" w:cs="方正小标宋简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"/>
          <w:sz w:val="32"/>
          <w:szCs w:val="32"/>
          <w:lang w:bidi="ar-SA"/>
        </w:rPr>
        <w:t>（四）</w:t>
      </w:r>
      <w:r>
        <w:rPr>
          <w:rFonts w:hint="eastAsia" w:ascii="仿宋" w:hAnsi="仿宋" w:eastAsia="仿宋" w:cs="方正小标宋简体"/>
          <w:bCs/>
          <w:color w:val="auto"/>
          <w:sz w:val="32"/>
          <w:szCs w:val="32"/>
          <w:lang w:val="en-US" w:eastAsia="zh-CN"/>
        </w:rPr>
        <w:t>阳极泥、除尘灰、浮渣、冷却塔结晶等固体废物经收集后全部综合利用，不外排。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eastAsia="仿宋_GB2312" w:cs="仿宋"/>
          <w:sz w:val="32"/>
          <w:szCs w:val="32"/>
          <w:lang w:bidi="ar-SA"/>
        </w:rPr>
      </w:pPr>
      <w:r>
        <w:rPr>
          <w:rFonts w:hint="eastAsia" w:ascii="仿宋_GB2312" w:eastAsia="仿宋_GB2312" w:cs="仿宋"/>
          <w:sz w:val="32"/>
          <w:szCs w:val="32"/>
          <w:lang w:bidi="ar-SA"/>
        </w:rPr>
        <w:t>（五）对</w:t>
      </w:r>
      <w:r>
        <w:rPr>
          <w:rFonts w:hint="eastAsia" w:ascii="仿宋_GB2312" w:eastAsia="仿宋_GB2312" w:cs="仿宋"/>
          <w:sz w:val="32"/>
          <w:szCs w:val="32"/>
          <w:lang w:eastAsia="zh-CN" w:bidi="ar-SA"/>
        </w:rPr>
        <w:t>冷却塔、除尘器</w:t>
      </w:r>
      <w:r>
        <w:rPr>
          <w:rFonts w:hint="eastAsia" w:ascii="仿宋_GB2312" w:eastAsia="仿宋_GB2312" w:cs="仿宋"/>
          <w:sz w:val="32"/>
          <w:szCs w:val="32"/>
          <w:lang w:bidi="ar-SA"/>
        </w:rPr>
        <w:t>等高噪音设备要采取隔音密闭、基础减振的方式减少噪音污染。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eastAsia="仿宋_GB2312" w:cs="仿宋"/>
          <w:sz w:val="32"/>
          <w:szCs w:val="32"/>
          <w:lang w:bidi="ar-SA"/>
        </w:rPr>
      </w:pPr>
      <w:r>
        <w:rPr>
          <w:rFonts w:hint="eastAsia" w:ascii="仿宋_GB2312" w:eastAsia="仿宋_GB2312" w:cs="仿宋"/>
          <w:sz w:val="32"/>
          <w:szCs w:val="32"/>
          <w:lang w:bidi="ar-SA"/>
        </w:rPr>
        <w:t>(六)完善</w:t>
      </w:r>
      <w:r>
        <w:rPr>
          <w:rFonts w:hint="eastAsia" w:ascii="仿宋_GB2312" w:eastAsia="仿宋_GB2312" w:cs="仿宋"/>
          <w:sz w:val="32"/>
          <w:szCs w:val="32"/>
          <w:lang w:eastAsia="zh-CN" w:bidi="ar-SA"/>
        </w:rPr>
        <w:t>企业</w:t>
      </w:r>
      <w:r>
        <w:rPr>
          <w:rFonts w:hint="eastAsia" w:ascii="仿宋_GB2312" w:eastAsia="仿宋_GB2312" w:cs="仿宋"/>
          <w:sz w:val="32"/>
          <w:szCs w:val="32"/>
          <w:lang w:bidi="ar-SA"/>
        </w:rPr>
        <w:t>现有</w:t>
      </w:r>
      <w:r>
        <w:rPr>
          <w:rFonts w:hint="eastAsia" w:ascii="仿宋_GB2312" w:eastAsia="仿宋_GB2312" w:cs="仿宋"/>
          <w:sz w:val="32"/>
          <w:szCs w:val="32"/>
          <w:lang w:eastAsia="zh-CN" w:bidi="ar-SA"/>
        </w:rPr>
        <w:t>突发环境事件</w:t>
      </w:r>
      <w:r>
        <w:rPr>
          <w:rFonts w:hint="eastAsia" w:ascii="仿宋_GB2312" w:eastAsia="仿宋_GB2312" w:cs="仿宋"/>
          <w:sz w:val="32"/>
          <w:szCs w:val="32"/>
          <w:lang w:bidi="ar-SA"/>
        </w:rPr>
        <w:t>应急预案</w:t>
      </w:r>
      <w:r>
        <w:rPr>
          <w:rFonts w:hint="eastAsia" w:ascii="仿宋_GB2312" w:eastAsia="仿宋_GB2312" w:cs="仿宋"/>
          <w:sz w:val="32"/>
          <w:szCs w:val="32"/>
          <w:lang w:eastAsia="zh-CN" w:bidi="ar-SA"/>
        </w:rPr>
        <w:t>，按环评要求实施分区防渗、建设围堰等措施，确保突发环境事件下污染能够得到有效控制</w:t>
      </w:r>
      <w:r>
        <w:rPr>
          <w:rFonts w:hint="eastAsia" w:ascii="仿宋_GB2312" w:eastAsia="仿宋_GB2312" w:cs="仿宋"/>
          <w:sz w:val="32"/>
          <w:szCs w:val="32"/>
          <w:lang w:bidi="ar-SA"/>
        </w:rPr>
        <w:t>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" w:eastAsia="仿宋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三、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按照《排污许可管理办法》要求依法申请排污许可证变更，按照《排污单位自行监测技术指南 有色金属工业》（HJ989-2018）要求制定自行监测方案，定期对项目区周边空气、土壤、地表水、地下水等开展自行监测并公开监测信息。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  <w:lang w:eastAsia="zh-CN"/>
        </w:rPr>
        <w:t>四</w:t>
      </w:r>
      <w:r>
        <w:rPr>
          <w:rFonts w:hint="eastAsia" w:ascii="仿宋" w:eastAsia="仿宋"/>
          <w:sz w:val="32"/>
          <w:szCs w:val="32"/>
        </w:rPr>
        <w:t>、按照《建设项目环境保护事中事后监督管理办法（试行）》的要求，</w:t>
      </w:r>
      <w:r>
        <w:rPr>
          <w:rFonts w:hint="eastAsia" w:ascii="仿宋" w:eastAsia="仿宋"/>
          <w:sz w:val="32"/>
          <w:szCs w:val="32"/>
          <w:lang w:eastAsia="zh-CN"/>
        </w:rPr>
        <w:t>商州区</w:t>
      </w:r>
      <w:r>
        <w:rPr>
          <w:rFonts w:hint="eastAsia" w:ascii="仿宋" w:eastAsia="仿宋"/>
          <w:sz w:val="32"/>
          <w:szCs w:val="32"/>
        </w:rPr>
        <w:t>分局负责该项目的事中事后监督管理，市</w:t>
      </w:r>
      <w:r>
        <w:rPr>
          <w:rFonts w:hint="eastAsia" w:ascii="仿宋" w:eastAsia="仿宋"/>
          <w:sz w:val="32"/>
          <w:szCs w:val="32"/>
          <w:lang w:eastAsia="zh-CN"/>
        </w:rPr>
        <w:t>生态</w:t>
      </w:r>
      <w:r>
        <w:rPr>
          <w:rFonts w:hint="eastAsia" w:ascii="仿宋" w:eastAsia="仿宋"/>
          <w:sz w:val="32"/>
          <w:szCs w:val="32"/>
        </w:rPr>
        <w:t>环境</w:t>
      </w:r>
      <w:r>
        <w:rPr>
          <w:rFonts w:hint="eastAsia" w:ascii="仿宋" w:eastAsia="仿宋"/>
          <w:sz w:val="32"/>
          <w:szCs w:val="32"/>
          <w:lang w:eastAsia="zh-CN"/>
        </w:rPr>
        <w:t>综合执法</w:t>
      </w:r>
      <w:r>
        <w:rPr>
          <w:rFonts w:hint="eastAsia" w:ascii="仿宋" w:eastAsia="仿宋"/>
          <w:sz w:val="32"/>
          <w:szCs w:val="32"/>
        </w:rPr>
        <w:t>支队负责对事中事后监督管理工作进行监督和指导。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五、项目竣工后，你公司应当按照《建设项目环境保护验收暂行办法》规定的验收条件和程序，对配套建设的环境保护设施进行验收，并依法向社会公开验收报告</w:t>
      </w:r>
      <w:r>
        <w:rPr>
          <w:rFonts w:hint="eastAsia" w:ascii="仿宋" w:eastAsia="仿宋"/>
          <w:sz w:val="32"/>
          <w:szCs w:val="32"/>
          <w:lang w:eastAsia="zh-CN"/>
        </w:rPr>
        <w:t>，将验收监测报告和验收意见报市、</w:t>
      </w:r>
      <w:bookmarkStart w:id="0" w:name="_GoBack"/>
      <w:bookmarkEnd w:id="0"/>
      <w:r>
        <w:rPr>
          <w:rFonts w:hint="eastAsia" w:ascii="仿宋" w:eastAsia="仿宋"/>
          <w:sz w:val="32"/>
          <w:szCs w:val="32"/>
          <w:lang w:eastAsia="zh-CN"/>
        </w:rPr>
        <w:t>区生态环境主管部门备案</w:t>
      </w:r>
      <w:r>
        <w:rPr>
          <w:rFonts w:hint="eastAsia" w:ascii="仿宋" w:eastAsia="仿宋"/>
          <w:sz w:val="32"/>
          <w:szCs w:val="32"/>
        </w:rPr>
        <w:t>；环境保护设施经验收合格后</w:t>
      </w:r>
      <w:r>
        <w:rPr>
          <w:rFonts w:hint="eastAsia" w:ascii="仿宋" w:eastAsia="仿宋"/>
          <w:sz w:val="32"/>
          <w:szCs w:val="32"/>
          <w:lang w:eastAsia="zh-CN"/>
        </w:rPr>
        <w:t>方</w:t>
      </w:r>
      <w:r>
        <w:rPr>
          <w:rFonts w:hint="eastAsia" w:ascii="仿宋" w:eastAsia="仿宋"/>
          <w:sz w:val="32"/>
          <w:szCs w:val="32"/>
        </w:rPr>
        <w:t>可投入使用，未经验收或者验收不合格的，不得投入使用。</w:t>
      </w:r>
    </w:p>
    <w:p>
      <w:pPr>
        <w:spacing w:line="520" w:lineRule="exact"/>
        <w:ind w:firstLine="640" w:firstLineChars="200"/>
        <w:rPr>
          <w:rFonts w:hint="eastAsia" w:ascii="仿宋" w:eastAsia="仿宋"/>
          <w:sz w:val="32"/>
          <w:szCs w:val="32"/>
        </w:rPr>
      </w:pPr>
    </w:p>
    <w:p>
      <w:pPr>
        <w:spacing w:line="520" w:lineRule="exact"/>
        <w:ind w:firstLine="4800" w:firstLineChars="1500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商洛市生态环境局   </w:t>
      </w:r>
    </w:p>
    <w:p>
      <w:pPr>
        <w:spacing w:line="480" w:lineRule="exact"/>
        <w:ind w:firstLine="4800" w:firstLineChars="1500"/>
      </w:pPr>
      <w:r>
        <w:rPr>
          <w:rFonts w:hint="eastAsia" w:ascii="华文仿宋" w:hAnsi="华文仿宋" w:eastAsia="华文仿宋"/>
          <w:sz w:val="32"/>
          <w:szCs w:val="32"/>
        </w:rPr>
        <w:t>20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0" w:h="16838"/>
      <w:pgMar w:top="1417" w:right="1417" w:bottom="1417" w:left="1417" w:header="851" w:footer="992" w:gutter="0"/>
      <w:cols w:space="720" w:num="1"/>
      <w:rtlGutter w:val="0"/>
      <w:docGrid w:type="lines" w:linePitch="3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6168E2"/>
    <w:rsid w:val="046168E2"/>
    <w:rsid w:val="04C04515"/>
    <w:rsid w:val="10CB3E79"/>
    <w:rsid w:val="2C031F65"/>
    <w:rsid w:val="43224329"/>
    <w:rsid w:val="5AE761E4"/>
    <w:rsid w:val="75802DDC"/>
    <w:rsid w:val="78A1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99"/>
    <w:pPr>
      <w:widowControl/>
      <w:ind w:firstLine="360"/>
      <w:jc w:val="left"/>
    </w:pPr>
    <w:rPr>
      <w:rFonts w:ascii="宋体" w:hAnsi="宋体"/>
      <w:kern w:val="0"/>
      <w:sz w:val="24"/>
      <w:szCs w:val="20"/>
    </w:rPr>
  </w:style>
  <w:style w:type="paragraph" w:styleId="4">
    <w:name w:val="Plain Text"/>
    <w:basedOn w:val="1"/>
    <w:next w:val="5"/>
    <w:qFormat/>
    <w:uiPriority w:val="0"/>
    <w:rPr>
      <w:rFonts w:ascii="宋体" w:hAnsi="Courier New"/>
      <w:snapToGrid w:val="0"/>
      <w:kern w:val="0"/>
    </w:rPr>
  </w:style>
  <w:style w:type="paragraph" w:customStyle="1" w:styleId="5">
    <w:name w:val=" Char Char Char Char Char2 Char Char Char Char"/>
    <w:basedOn w:val="1"/>
    <w:qFormat/>
    <w:uiPriority w:val="0"/>
    <w:pPr>
      <w:adjustRightInd w:val="0"/>
      <w:snapToGrid w:val="0"/>
      <w:spacing w:line="360" w:lineRule="auto"/>
      <w:ind w:firstLine="200" w:firstLineChars="200"/>
    </w:pPr>
  </w:style>
  <w:style w:type="paragraph" w:styleId="6">
    <w:name w:val="Body Text First Indent 2"/>
    <w:basedOn w:val="3"/>
    <w:next w:val="1"/>
    <w:unhideWhenUsed/>
    <w:qFormat/>
    <w:uiPriority w:val="0"/>
    <w:pPr>
      <w:spacing w:after="120"/>
      <w:ind w:left="420" w:leftChars="200" w:firstLine="420" w:firstLineChars="200"/>
    </w:pPr>
  </w:style>
  <w:style w:type="paragraph" w:customStyle="1" w:styleId="9">
    <w:name w:val="Default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2021-01-19T00:24:00Z</dcterms:created>
  <dc:creator>蜡笔小黑O_O</dc:creator>
  <cp:lastModifiedBy>快乐1393479708</cp:lastModifiedBy>
  <cp:lastPrinted>2021-01-19T09:25:00Z</cp:lastPrinted>
  <dcterms:modified xsi:type="dcterms:W3CDTF">2021-01-26T07:21:18Z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