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CBE" w:rsidRPr="00DA3E7D" w:rsidRDefault="000B61DF">
      <w:pPr>
        <w:spacing w:line="360" w:lineRule="auto"/>
        <w:jc w:val="center"/>
        <w:rPr>
          <w:rFonts w:ascii="宋体" w:hAnsi="宋体" w:cs="宋体"/>
          <w:b/>
          <w:bCs/>
          <w:sz w:val="32"/>
          <w:szCs w:val="32"/>
        </w:rPr>
      </w:pPr>
      <w:bookmarkStart w:id="0" w:name="_GoBack"/>
      <w:proofErr w:type="gramStart"/>
      <w:r w:rsidRPr="00DA3E7D">
        <w:rPr>
          <w:rFonts w:ascii="宋体" w:hAnsi="宋体" w:cs="宋体" w:hint="eastAsia"/>
          <w:b/>
          <w:bCs/>
          <w:kern w:val="22"/>
          <w:sz w:val="32"/>
          <w:szCs w:val="32"/>
        </w:rPr>
        <w:t>商洛市</w:t>
      </w:r>
      <w:proofErr w:type="gramEnd"/>
      <w:r w:rsidRPr="00DA3E7D">
        <w:rPr>
          <w:rFonts w:ascii="宋体" w:hAnsi="宋体" w:cs="宋体" w:hint="eastAsia"/>
          <w:b/>
          <w:bCs/>
          <w:kern w:val="22"/>
          <w:sz w:val="32"/>
          <w:szCs w:val="32"/>
        </w:rPr>
        <w:t>卫生健康委员会</w:t>
      </w:r>
      <w:r w:rsidRPr="00DA3E7D">
        <w:rPr>
          <w:rFonts w:ascii="宋体" w:hAnsi="宋体" w:cs="宋体" w:hint="eastAsia"/>
          <w:b/>
          <w:bCs/>
          <w:sz w:val="32"/>
          <w:szCs w:val="32"/>
        </w:rPr>
        <w:t>2021年部门预算说明</w:t>
      </w:r>
    </w:p>
    <w:bookmarkEnd w:id="0"/>
    <w:p w:rsidR="00AB7CBE" w:rsidRPr="004003EA" w:rsidRDefault="00DA3E7D" w:rsidP="004003EA">
      <w:pPr>
        <w:spacing w:afterLines="50" w:after="156"/>
        <w:ind w:firstLineChars="200" w:firstLine="640"/>
        <w:rPr>
          <w:rFonts w:ascii="仿宋" w:eastAsia="仿宋" w:hAnsi="仿宋"/>
          <w:sz w:val="32"/>
          <w:szCs w:val="32"/>
        </w:rPr>
      </w:pPr>
      <w:r w:rsidRPr="004003EA">
        <w:rPr>
          <w:rFonts w:ascii="仿宋" w:eastAsia="仿宋" w:hAnsi="仿宋" w:hint="eastAsia"/>
          <w:sz w:val="32"/>
          <w:szCs w:val="32"/>
        </w:rPr>
        <w:t>一、</w:t>
      </w:r>
      <w:r w:rsidR="000B61DF" w:rsidRPr="004003EA">
        <w:rPr>
          <w:rFonts w:ascii="仿宋" w:eastAsia="仿宋" w:hAnsi="仿宋" w:hint="eastAsia"/>
          <w:sz w:val="32"/>
          <w:szCs w:val="32"/>
        </w:rPr>
        <w:t>部门主要职责及机构设置</w:t>
      </w:r>
    </w:p>
    <w:p w:rsidR="00AB7CBE" w:rsidRPr="004003EA" w:rsidRDefault="000B61DF" w:rsidP="004003EA">
      <w:pPr>
        <w:spacing w:afterLines="50" w:after="156"/>
        <w:ind w:firstLineChars="200" w:firstLine="640"/>
        <w:rPr>
          <w:rFonts w:ascii="仿宋" w:eastAsia="仿宋" w:hAnsi="仿宋"/>
          <w:sz w:val="32"/>
          <w:szCs w:val="32"/>
        </w:rPr>
      </w:pPr>
      <w:r w:rsidRPr="004003EA">
        <w:rPr>
          <w:rFonts w:ascii="仿宋" w:eastAsia="仿宋" w:hAnsi="仿宋" w:hint="eastAsia"/>
          <w:sz w:val="32"/>
          <w:szCs w:val="32"/>
        </w:rPr>
        <w:t>（一）贯彻卫生健康工作的法律法规和政策规定，组织拟订全市国民健康政策，协调推进健康商洛战略实施；拟订全市卫生</w:t>
      </w:r>
      <w:proofErr w:type="gramStart"/>
      <w:r w:rsidRPr="004003EA">
        <w:rPr>
          <w:rFonts w:ascii="仿宋" w:eastAsia="仿宋" w:hAnsi="仿宋" w:hint="eastAsia"/>
          <w:sz w:val="32"/>
          <w:szCs w:val="32"/>
        </w:rPr>
        <w:t>健康规划</w:t>
      </w:r>
      <w:proofErr w:type="gramEnd"/>
      <w:r w:rsidRPr="004003EA">
        <w:rPr>
          <w:rFonts w:ascii="仿宋" w:eastAsia="仿宋" w:hAnsi="仿宋" w:hint="eastAsia"/>
          <w:sz w:val="32"/>
          <w:szCs w:val="32"/>
        </w:rPr>
        <w:t>和政策措施，组织实施卫生健康地方标准和技术规范；统筹规划全市卫生健康资源配置；指导区域卫生</w:t>
      </w:r>
      <w:proofErr w:type="gramStart"/>
      <w:r w:rsidRPr="004003EA">
        <w:rPr>
          <w:rFonts w:ascii="仿宋" w:eastAsia="仿宋" w:hAnsi="仿宋" w:hint="eastAsia"/>
          <w:sz w:val="32"/>
          <w:szCs w:val="32"/>
        </w:rPr>
        <w:t>健康规划</w:t>
      </w:r>
      <w:proofErr w:type="gramEnd"/>
      <w:r w:rsidRPr="004003EA">
        <w:rPr>
          <w:rFonts w:ascii="仿宋" w:eastAsia="仿宋" w:hAnsi="仿宋" w:hint="eastAsia"/>
          <w:sz w:val="32"/>
          <w:szCs w:val="32"/>
        </w:rPr>
        <w:t>编制和实施；负责卫生健康信息化建设，依法组织实施统计调查；制定并组织实施推进卫生健康基本公共服务均等化、普惠化、便捷化和公共资源向基层延伸等政策措施。</w:t>
      </w:r>
    </w:p>
    <w:p w:rsidR="00AB7CBE" w:rsidRPr="004003EA" w:rsidRDefault="000B61DF" w:rsidP="004003EA">
      <w:pPr>
        <w:spacing w:afterLines="50" w:after="156"/>
        <w:ind w:firstLineChars="200" w:firstLine="640"/>
        <w:rPr>
          <w:rFonts w:ascii="仿宋" w:eastAsia="仿宋" w:hAnsi="仿宋"/>
          <w:sz w:val="32"/>
          <w:szCs w:val="32"/>
        </w:rPr>
      </w:pPr>
      <w:r w:rsidRPr="004003EA">
        <w:rPr>
          <w:rFonts w:ascii="仿宋" w:eastAsia="仿宋" w:hAnsi="仿宋" w:hint="eastAsia"/>
          <w:sz w:val="32"/>
          <w:szCs w:val="32"/>
        </w:rPr>
        <w:t>（二）贯彻落实中、省关于深化医药卫生体制改革重大方针政策，研究提出全市深化医药卫生体制改革重大政策、措施的建议，协调推进全市深化医药卫生体制改革；组织深化公立医院综合改革，健全现代医院管理制度，制定并实施推动卫生健康公共服务提供主体多元化、方式多样化的政策措施，提出全市药品和医疗服务价格政策的建议。</w:t>
      </w:r>
    </w:p>
    <w:p w:rsidR="00AB7CBE" w:rsidRPr="004003EA" w:rsidRDefault="000B61DF" w:rsidP="004003EA">
      <w:pPr>
        <w:spacing w:afterLines="50" w:after="156"/>
        <w:ind w:firstLineChars="200" w:firstLine="640"/>
        <w:rPr>
          <w:rFonts w:ascii="仿宋" w:eastAsia="仿宋" w:hAnsi="仿宋"/>
          <w:sz w:val="32"/>
          <w:szCs w:val="32"/>
        </w:rPr>
      </w:pPr>
      <w:r w:rsidRPr="004003EA">
        <w:rPr>
          <w:rFonts w:ascii="仿宋" w:eastAsia="仿宋" w:hAnsi="仿宋" w:hint="eastAsia"/>
          <w:sz w:val="32"/>
          <w:szCs w:val="32"/>
        </w:rPr>
        <w:t>（三）制定并组织落实全市疾病预防控制规划、免疫规划及严重危害人民健康公共卫生问题的干预措施；负责卫生应急工作，组织指导全市突发公共卫生事件的预防控制和各类突发公共事件的医疗卫生救援；发布法定报告传染病疫情信息、突发公共卫生事件应急处置信息。</w:t>
      </w:r>
    </w:p>
    <w:p w:rsidR="00AB7CBE" w:rsidRPr="004003EA" w:rsidRDefault="000B61DF" w:rsidP="004003EA">
      <w:pPr>
        <w:spacing w:afterLines="50" w:after="156"/>
        <w:ind w:firstLineChars="200" w:firstLine="640"/>
        <w:rPr>
          <w:rFonts w:ascii="仿宋" w:eastAsia="仿宋" w:hAnsi="仿宋"/>
          <w:sz w:val="32"/>
          <w:szCs w:val="32"/>
        </w:rPr>
      </w:pPr>
      <w:r w:rsidRPr="004003EA">
        <w:rPr>
          <w:rFonts w:ascii="仿宋" w:eastAsia="仿宋" w:hAnsi="仿宋" w:hint="eastAsia"/>
          <w:sz w:val="32"/>
          <w:szCs w:val="32"/>
        </w:rPr>
        <w:lastRenderedPageBreak/>
        <w:t>（四）组织实施并协调落实应对人口老龄化政策措施；负责推进全市老年健康服务体系建设和</w:t>
      </w:r>
      <w:proofErr w:type="gramStart"/>
      <w:r w:rsidRPr="004003EA">
        <w:rPr>
          <w:rFonts w:ascii="仿宋" w:eastAsia="仿宋" w:hAnsi="仿宋" w:hint="eastAsia"/>
          <w:sz w:val="32"/>
          <w:szCs w:val="32"/>
        </w:rPr>
        <w:t>医养</w:t>
      </w:r>
      <w:proofErr w:type="gramEnd"/>
      <w:r w:rsidRPr="004003EA">
        <w:rPr>
          <w:rFonts w:ascii="仿宋" w:eastAsia="仿宋" w:hAnsi="仿宋" w:hint="eastAsia"/>
          <w:sz w:val="32"/>
          <w:szCs w:val="32"/>
        </w:rPr>
        <w:t>结合工作，推动老龄事业和产业发展，促进医疗与旅游、体育、食品和互联网等行业深度融合。</w:t>
      </w:r>
    </w:p>
    <w:p w:rsidR="00AB7CBE" w:rsidRPr="004003EA" w:rsidRDefault="000B61DF" w:rsidP="004003EA">
      <w:pPr>
        <w:spacing w:afterLines="50" w:after="156"/>
        <w:ind w:firstLineChars="200" w:firstLine="640"/>
        <w:rPr>
          <w:rFonts w:ascii="仿宋" w:eastAsia="仿宋" w:hAnsi="仿宋"/>
          <w:sz w:val="32"/>
          <w:szCs w:val="32"/>
        </w:rPr>
      </w:pPr>
      <w:r w:rsidRPr="004003EA">
        <w:rPr>
          <w:rFonts w:ascii="仿宋" w:eastAsia="仿宋" w:hAnsi="仿宋" w:hint="eastAsia"/>
          <w:sz w:val="32"/>
          <w:szCs w:val="32"/>
        </w:rPr>
        <w:t>（五）组织实施国家基本药物制度，贯彻执行国家药物政策、国家药品法典和国家基本药物目录，开展药品使用监测、临床综合评价和短缺药品预警，提出基本药物生产鼓励扶持政策建议。</w:t>
      </w:r>
    </w:p>
    <w:p w:rsidR="00AB7CBE" w:rsidRPr="004003EA" w:rsidRDefault="000B61DF" w:rsidP="004003EA">
      <w:pPr>
        <w:spacing w:afterLines="50" w:after="156"/>
        <w:ind w:firstLineChars="200" w:firstLine="640"/>
        <w:rPr>
          <w:rFonts w:ascii="仿宋" w:eastAsia="仿宋" w:hAnsi="仿宋"/>
          <w:sz w:val="32"/>
          <w:szCs w:val="32"/>
        </w:rPr>
      </w:pPr>
      <w:r w:rsidRPr="004003EA">
        <w:rPr>
          <w:rFonts w:ascii="仿宋" w:eastAsia="仿宋" w:hAnsi="仿宋" w:hint="eastAsia"/>
          <w:sz w:val="32"/>
          <w:szCs w:val="32"/>
        </w:rPr>
        <w:t>（六）负责落实职责范围内的职业卫生、放射卫生、环境卫生、学校卫生、公共场所卫生、饮用水卫生管理的规范标准和政策措施；负责传染病防治监督，建立健全卫生健康综合监督体系；组织实施食品安全风险监测工作。</w:t>
      </w:r>
    </w:p>
    <w:p w:rsidR="00AB7CBE" w:rsidRPr="004003EA" w:rsidRDefault="000B61DF" w:rsidP="004003EA">
      <w:pPr>
        <w:spacing w:afterLines="50" w:after="156"/>
        <w:ind w:firstLineChars="200" w:firstLine="640"/>
        <w:rPr>
          <w:rFonts w:ascii="仿宋" w:eastAsia="仿宋" w:hAnsi="仿宋"/>
          <w:sz w:val="32"/>
          <w:szCs w:val="32"/>
        </w:rPr>
      </w:pPr>
      <w:r w:rsidRPr="004003EA">
        <w:rPr>
          <w:rFonts w:ascii="仿宋" w:eastAsia="仿宋" w:hAnsi="仿宋" w:hint="eastAsia"/>
          <w:sz w:val="32"/>
          <w:szCs w:val="32"/>
        </w:rPr>
        <w:t>（七）负责对全市医疗机构、医疗服务行业的日常监管；建立健全医疗服务评价和监督管理体系；会同有关部门贯彻执行卫生健康专业技术人员资格准入标准；制定全市医疗机构及其医疗服务、医疗技术、医疗质量、医疗安全以及采供血机构管理的规范、标准和卫生健康专业技术人员执业规则、服务规范并组织实施。</w:t>
      </w:r>
    </w:p>
    <w:p w:rsidR="00AB7CBE" w:rsidRPr="004003EA" w:rsidRDefault="000B61DF" w:rsidP="004003EA">
      <w:pPr>
        <w:spacing w:afterLines="50" w:after="156"/>
        <w:ind w:firstLineChars="200" w:firstLine="640"/>
        <w:rPr>
          <w:rFonts w:ascii="仿宋" w:eastAsia="仿宋" w:hAnsi="仿宋"/>
          <w:sz w:val="32"/>
          <w:szCs w:val="32"/>
        </w:rPr>
      </w:pPr>
      <w:r w:rsidRPr="004003EA">
        <w:rPr>
          <w:rFonts w:ascii="仿宋" w:eastAsia="仿宋" w:hAnsi="仿宋" w:hint="eastAsia"/>
          <w:sz w:val="32"/>
          <w:szCs w:val="32"/>
        </w:rPr>
        <w:t>（八）贯彻落实计划生育政策，负责计划生育管理和服务工作，开展人口监测预警，研究提出人口与家庭发展相关政策建议，制定优生优育和提高出生人口素质的政策措施并</w:t>
      </w:r>
      <w:r w:rsidRPr="004003EA">
        <w:rPr>
          <w:rFonts w:ascii="仿宋" w:eastAsia="仿宋" w:hAnsi="仿宋" w:hint="eastAsia"/>
          <w:sz w:val="32"/>
          <w:szCs w:val="32"/>
        </w:rPr>
        <w:lastRenderedPageBreak/>
        <w:t>组织实施。</w:t>
      </w:r>
    </w:p>
    <w:p w:rsidR="00AB7CBE" w:rsidRPr="004003EA" w:rsidRDefault="000B61DF" w:rsidP="004003EA">
      <w:pPr>
        <w:spacing w:afterLines="50" w:after="156"/>
        <w:ind w:firstLineChars="200" w:firstLine="640"/>
        <w:rPr>
          <w:rFonts w:ascii="仿宋" w:eastAsia="仿宋" w:hAnsi="仿宋"/>
          <w:sz w:val="32"/>
          <w:szCs w:val="32"/>
        </w:rPr>
      </w:pPr>
      <w:r w:rsidRPr="004003EA">
        <w:rPr>
          <w:rFonts w:ascii="仿宋" w:eastAsia="仿宋" w:hAnsi="仿宋" w:hint="eastAsia"/>
          <w:sz w:val="32"/>
          <w:szCs w:val="32"/>
        </w:rPr>
        <w:t>（九）拟订并组织实施全市基层卫生健康服务、妇幼健康发展规划和政策措施，指导基层医疗卫生、妇幼健康服务体系建设；建立健全基层卫生健康机构运行新机制和乡村医生管理制度。</w:t>
      </w:r>
    </w:p>
    <w:p w:rsidR="00AB7CBE" w:rsidRPr="004003EA" w:rsidRDefault="000B61DF" w:rsidP="004003EA">
      <w:pPr>
        <w:spacing w:afterLines="50" w:after="156"/>
        <w:ind w:firstLineChars="200" w:firstLine="640"/>
        <w:rPr>
          <w:rFonts w:ascii="仿宋" w:eastAsia="仿宋" w:hAnsi="仿宋"/>
          <w:sz w:val="32"/>
          <w:szCs w:val="32"/>
        </w:rPr>
      </w:pPr>
      <w:r w:rsidRPr="004003EA">
        <w:rPr>
          <w:rFonts w:ascii="仿宋" w:eastAsia="仿宋" w:hAnsi="仿宋" w:hint="eastAsia"/>
          <w:sz w:val="32"/>
          <w:szCs w:val="32"/>
        </w:rPr>
        <w:t>（十）组织拟订全市卫生健康人才发展和科技发展规划，指导卫生健康人才队伍建设，推进卫生健康科技创新发展；协同指导院校医学教育工作，会同有关部门开展国家住院医师、专科医师和全科医生规范化培训</w:t>
      </w:r>
      <w:proofErr w:type="gramStart"/>
      <w:r w:rsidRPr="004003EA">
        <w:rPr>
          <w:rFonts w:ascii="仿宋" w:eastAsia="仿宋" w:hAnsi="仿宋" w:hint="eastAsia"/>
          <w:sz w:val="32"/>
          <w:szCs w:val="32"/>
        </w:rPr>
        <w:t>等毕业</w:t>
      </w:r>
      <w:proofErr w:type="gramEnd"/>
      <w:r w:rsidRPr="004003EA">
        <w:rPr>
          <w:rFonts w:ascii="仿宋" w:eastAsia="仿宋" w:hAnsi="仿宋" w:hint="eastAsia"/>
          <w:sz w:val="32"/>
          <w:szCs w:val="32"/>
        </w:rPr>
        <w:t>后医学教育和继续医学教育。</w:t>
      </w:r>
    </w:p>
    <w:p w:rsidR="00AB7CBE" w:rsidRPr="004003EA" w:rsidRDefault="000B61DF" w:rsidP="004003EA">
      <w:pPr>
        <w:spacing w:afterLines="50" w:after="156"/>
        <w:ind w:firstLineChars="200" w:firstLine="640"/>
        <w:rPr>
          <w:rFonts w:ascii="仿宋" w:eastAsia="仿宋" w:hAnsi="仿宋"/>
          <w:sz w:val="32"/>
          <w:szCs w:val="32"/>
        </w:rPr>
      </w:pPr>
      <w:r w:rsidRPr="004003EA">
        <w:rPr>
          <w:rFonts w:ascii="仿宋" w:eastAsia="仿宋" w:hAnsi="仿宋" w:hint="eastAsia"/>
          <w:sz w:val="32"/>
          <w:szCs w:val="32"/>
        </w:rPr>
        <w:t>（十一）负责卫生健康宣传、健康教育、健康促进等工作；根据中、省要求，组织卫生健康对外交流合作与卫生援外工作。</w:t>
      </w:r>
    </w:p>
    <w:p w:rsidR="00AB7CBE" w:rsidRPr="004003EA" w:rsidRDefault="000B61DF" w:rsidP="004003EA">
      <w:pPr>
        <w:spacing w:afterLines="50" w:after="156"/>
        <w:ind w:firstLineChars="200" w:firstLine="640"/>
        <w:rPr>
          <w:rFonts w:ascii="仿宋" w:eastAsia="仿宋" w:hAnsi="仿宋"/>
          <w:sz w:val="32"/>
          <w:szCs w:val="32"/>
        </w:rPr>
      </w:pPr>
      <w:r w:rsidRPr="004003EA">
        <w:rPr>
          <w:rFonts w:ascii="仿宋" w:eastAsia="仿宋" w:hAnsi="仿宋" w:hint="eastAsia"/>
          <w:sz w:val="32"/>
          <w:szCs w:val="32"/>
        </w:rPr>
        <w:t>（十二）贯彻落实国家中医药事业发展政策、法规，指导全市中医药医疗、科研、教育和中西医结合、中医药健康服务等工作；组织实施全市各类中医医疗、保健等机构的管理规范和技术标准；贯彻执行中药材炮制、调剂、临床使用等管理规范、技术标准并推广应用，参与拟订中药产业发展规划和产业政策。</w:t>
      </w:r>
    </w:p>
    <w:p w:rsidR="00AB7CBE" w:rsidRPr="004003EA" w:rsidRDefault="000B61DF" w:rsidP="004003EA">
      <w:pPr>
        <w:spacing w:afterLines="50" w:after="156"/>
        <w:ind w:firstLineChars="200" w:firstLine="640"/>
        <w:rPr>
          <w:rFonts w:ascii="仿宋" w:eastAsia="仿宋" w:hAnsi="仿宋"/>
          <w:sz w:val="32"/>
          <w:szCs w:val="32"/>
        </w:rPr>
      </w:pPr>
      <w:r w:rsidRPr="004003EA">
        <w:rPr>
          <w:rFonts w:ascii="仿宋" w:eastAsia="仿宋" w:hAnsi="仿宋" w:hint="eastAsia"/>
          <w:sz w:val="32"/>
          <w:szCs w:val="32"/>
        </w:rPr>
        <w:t>（十三）负责本行业领域的安全生产监督管理工作。</w:t>
      </w:r>
    </w:p>
    <w:p w:rsidR="00AB7CBE" w:rsidRPr="004003EA" w:rsidRDefault="000B61DF" w:rsidP="004003EA">
      <w:pPr>
        <w:spacing w:afterLines="50" w:after="156"/>
        <w:ind w:firstLineChars="200" w:firstLine="640"/>
        <w:rPr>
          <w:rFonts w:ascii="仿宋" w:eastAsia="仿宋" w:hAnsi="仿宋"/>
          <w:sz w:val="32"/>
          <w:szCs w:val="32"/>
        </w:rPr>
      </w:pPr>
      <w:r w:rsidRPr="004003EA">
        <w:rPr>
          <w:rFonts w:ascii="仿宋" w:eastAsia="仿宋" w:hAnsi="仿宋" w:hint="eastAsia"/>
          <w:sz w:val="32"/>
          <w:szCs w:val="32"/>
        </w:rPr>
        <w:t>（十四）</w:t>
      </w:r>
      <w:proofErr w:type="gramStart"/>
      <w:r w:rsidRPr="004003EA">
        <w:rPr>
          <w:rFonts w:ascii="仿宋" w:eastAsia="仿宋" w:hAnsi="仿宋" w:hint="eastAsia"/>
          <w:sz w:val="32"/>
          <w:szCs w:val="32"/>
        </w:rPr>
        <w:t>指导市</w:t>
      </w:r>
      <w:proofErr w:type="gramEnd"/>
      <w:r w:rsidRPr="004003EA">
        <w:rPr>
          <w:rFonts w:ascii="仿宋" w:eastAsia="仿宋" w:hAnsi="仿宋" w:hint="eastAsia"/>
          <w:sz w:val="32"/>
          <w:szCs w:val="32"/>
        </w:rPr>
        <w:t>计划生育协会业务工作。</w:t>
      </w:r>
    </w:p>
    <w:p w:rsidR="00AB7CBE" w:rsidRPr="004003EA" w:rsidRDefault="000B61DF" w:rsidP="004003EA">
      <w:pPr>
        <w:spacing w:afterLines="50" w:after="156"/>
        <w:ind w:firstLineChars="200" w:firstLine="640"/>
        <w:rPr>
          <w:rFonts w:ascii="仿宋" w:eastAsia="仿宋" w:hAnsi="仿宋"/>
          <w:sz w:val="32"/>
          <w:szCs w:val="32"/>
        </w:rPr>
      </w:pPr>
      <w:r w:rsidRPr="004003EA">
        <w:rPr>
          <w:rFonts w:ascii="仿宋" w:eastAsia="仿宋" w:hAnsi="仿宋" w:hint="eastAsia"/>
          <w:sz w:val="32"/>
          <w:szCs w:val="32"/>
        </w:rPr>
        <w:lastRenderedPageBreak/>
        <w:t>（十五）完成市委、市政府交办的其他任务。</w:t>
      </w:r>
    </w:p>
    <w:p w:rsidR="00AB7CBE" w:rsidRPr="004003EA" w:rsidRDefault="000B61DF" w:rsidP="004003EA">
      <w:pPr>
        <w:spacing w:afterLines="50" w:after="156"/>
        <w:ind w:firstLineChars="200" w:firstLine="640"/>
        <w:rPr>
          <w:rFonts w:ascii="仿宋" w:eastAsia="仿宋" w:hAnsi="仿宋"/>
          <w:sz w:val="32"/>
          <w:szCs w:val="32"/>
        </w:rPr>
      </w:pPr>
      <w:r w:rsidRPr="004003EA">
        <w:rPr>
          <w:rFonts w:ascii="仿宋" w:eastAsia="仿宋" w:hAnsi="仿宋" w:hint="eastAsia"/>
          <w:sz w:val="32"/>
          <w:szCs w:val="32"/>
        </w:rPr>
        <w:t>市卫生健康委员会内设下列机构：</w:t>
      </w:r>
    </w:p>
    <w:p w:rsidR="00AB7CBE" w:rsidRPr="004003EA" w:rsidRDefault="000B61DF" w:rsidP="004003EA">
      <w:pPr>
        <w:spacing w:afterLines="50" w:after="156"/>
        <w:ind w:firstLineChars="200" w:firstLine="640"/>
        <w:rPr>
          <w:rFonts w:ascii="仿宋" w:eastAsia="仿宋" w:hAnsi="仿宋"/>
          <w:sz w:val="32"/>
          <w:szCs w:val="32"/>
        </w:rPr>
      </w:pPr>
      <w:r w:rsidRPr="004003EA">
        <w:rPr>
          <w:rFonts w:ascii="仿宋" w:eastAsia="仿宋" w:hAnsi="仿宋" w:hint="eastAsia"/>
          <w:sz w:val="32"/>
          <w:szCs w:val="32"/>
        </w:rPr>
        <w:t>办公室、规划科、法规科、疾病预防控制科、</w:t>
      </w:r>
      <w:proofErr w:type="gramStart"/>
      <w:r w:rsidRPr="004003EA">
        <w:rPr>
          <w:rFonts w:ascii="仿宋" w:eastAsia="仿宋" w:hAnsi="仿宋" w:hint="eastAsia"/>
          <w:sz w:val="32"/>
          <w:szCs w:val="32"/>
        </w:rPr>
        <w:t>医</w:t>
      </w:r>
      <w:proofErr w:type="gramEnd"/>
      <w:r w:rsidRPr="004003EA">
        <w:rPr>
          <w:rFonts w:ascii="仿宋" w:eastAsia="仿宋" w:hAnsi="仿宋" w:hint="eastAsia"/>
          <w:sz w:val="32"/>
          <w:szCs w:val="32"/>
        </w:rPr>
        <w:t>政</w:t>
      </w:r>
      <w:proofErr w:type="gramStart"/>
      <w:r w:rsidRPr="004003EA">
        <w:rPr>
          <w:rFonts w:ascii="仿宋" w:eastAsia="仿宋" w:hAnsi="仿宋" w:hint="eastAsia"/>
          <w:sz w:val="32"/>
          <w:szCs w:val="32"/>
        </w:rPr>
        <w:t>医</w:t>
      </w:r>
      <w:proofErr w:type="gramEnd"/>
      <w:r w:rsidRPr="004003EA">
        <w:rPr>
          <w:rFonts w:ascii="仿宋" w:eastAsia="仿宋" w:hAnsi="仿宋" w:hint="eastAsia"/>
          <w:sz w:val="32"/>
          <w:szCs w:val="32"/>
        </w:rPr>
        <w:t>管科、基层卫生健康科、中医药管理科、老龄健康科、妇幼健康和家庭发展科、职业健康科、健康促进科、人事教育科、党委办公室。</w:t>
      </w:r>
    </w:p>
    <w:p w:rsidR="00AB7CBE" w:rsidRPr="004003EA" w:rsidRDefault="000B61DF" w:rsidP="004003EA">
      <w:pPr>
        <w:spacing w:afterLines="50" w:after="156"/>
        <w:ind w:firstLineChars="200" w:firstLine="640"/>
        <w:rPr>
          <w:rFonts w:ascii="仿宋" w:eastAsia="仿宋" w:hAnsi="仿宋"/>
          <w:sz w:val="32"/>
          <w:szCs w:val="32"/>
        </w:rPr>
      </w:pPr>
      <w:r w:rsidRPr="004003EA">
        <w:rPr>
          <w:rFonts w:ascii="仿宋" w:eastAsia="仿宋" w:hAnsi="仿宋" w:hint="eastAsia"/>
          <w:sz w:val="32"/>
          <w:szCs w:val="32"/>
        </w:rPr>
        <w:t>市卫生健康委员会所属事业单位有关机构设置、主要职责和人员编制另行规定。</w:t>
      </w:r>
    </w:p>
    <w:p w:rsidR="00AB7CBE" w:rsidRPr="004003EA" w:rsidRDefault="000B61DF" w:rsidP="004003EA">
      <w:pPr>
        <w:spacing w:afterLines="50" w:after="156"/>
        <w:ind w:firstLineChars="200" w:firstLine="640"/>
        <w:rPr>
          <w:rFonts w:ascii="仿宋" w:eastAsia="仿宋" w:hAnsi="仿宋"/>
          <w:sz w:val="32"/>
          <w:szCs w:val="32"/>
        </w:rPr>
      </w:pPr>
      <w:r w:rsidRPr="004003EA">
        <w:rPr>
          <w:rFonts w:ascii="仿宋" w:eastAsia="仿宋" w:hAnsi="仿宋" w:hint="eastAsia"/>
          <w:sz w:val="32"/>
          <w:szCs w:val="32"/>
        </w:rPr>
        <w:t>二、2021年度部门工作任务</w:t>
      </w:r>
    </w:p>
    <w:p w:rsidR="00AB7CBE" w:rsidRPr="004003EA" w:rsidRDefault="000B61DF" w:rsidP="004003EA">
      <w:pPr>
        <w:spacing w:afterLines="50" w:after="156"/>
        <w:ind w:firstLineChars="200" w:firstLine="640"/>
        <w:rPr>
          <w:rFonts w:ascii="仿宋" w:eastAsia="仿宋" w:hAnsi="仿宋"/>
          <w:sz w:val="32"/>
          <w:szCs w:val="32"/>
        </w:rPr>
      </w:pPr>
      <w:r w:rsidRPr="004003EA">
        <w:rPr>
          <w:rFonts w:ascii="仿宋" w:eastAsia="仿宋" w:hAnsi="仿宋" w:hint="eastAsia"/>
          <w:sz w:val="32"/>
          <w:szCs w:val="32"/>
        </w:rPr>
        <w:t>2021年是“十四五”开局之年，也是两个“百年目标”交汇之年。全市卫生健康工作坚持以习近平新时代中国特色社会主义思想为指导，深入学习贯彻习近平总书记来陕考察重要讲话重要指示精神，全面贯彻党的十九届五中全会和省委十三届八次全会精神，贯通落实“五个扎实”“五项要求”，立足新发展阶段、贯彻新发展理念、构建新发展格局，在危机中育先机、在变局中开新局，以勇立潮头、争当时代弄潮儿的志向和气魄，牢记嘱托、感恩奋进，只争朝夕、真抓实干，统筹推动卫生健康事业高质量发展，积极构建大健康格局，全方位、全周期维护和保障人民健康，提升群众健康水平和生活品质，为奋力谱写陕西新时代追赶超越新篇章</w:t>
      </w:r>
      <w:proofErr w:type="gramStart"/>
      <w:r w:rsidRPr="004003EA">
        <w:rPr>
          <w:rFonts w:ascii="仿宋" w:eastAsia="仿宋" w:hAnsi="仿宋" w:hint="eastAsia"/>
          <w:sz w:val="32"/>
          <w:szCs w:val="32"/>
        </w:rPr>
        <w:t>作出</w:t>
      </w:r>
      <w:proofErr w:type="gramEnd"/>
      <w:r w:rsidRPr="004003EA">
        <w:rPr>
          <w:rFonts w:ascii="仿宋" w:eastAsia="仿宋" w:hAnsi="仿宋" w:hint="eastAsia"/>
          <w:sz w:val="32"/>
          <w:szCs w:val="32"/>
        </w:rPr>
        <w:t>新贡献。</w:t>
      </w:r>
    </w:p>
    <w:p w:rsidR="00AB7CBE" w:rsidRPr="004003EA" w:rsidRDefault="000B61DF" w:rsidP="004003EA">
      <w:pPr>
        <w:spacing w:afterLines="50" w:after="156"/>
        <w:ind w:firstLineChars="200" w:firstLine="640"/>
        <w:rPr>
          <w:rFonts w:ascii="仿宋" w:eastAsia="仿宋" w:hAnsi="仿宋"/>
          <w:sz w:val="32"/>
          <w:szCs w:val="32"/>
        </w:rPr>
      </w:pPr>
      <w:r w:rsidRPr="004003EA">
        <w:rPr>
          <w:rFonts w:ascii="仿宋" w:eastAsia="仿宋" w:hAnsi="仿宋" w:hint="eastAsia"/>
          <w:sz w:val="32"/>
          <w:szCs w:val="32"/>
        </w:rPr>
        <w:lastRenderedPageBreak/>
        <w:t>（一）全力做好新冠疫情防控。时刻保持清醒头脑，深刻认识疫情形势严峻性、复杂性，全面推进疫情防控常态化。强化重点人群管控，对境外和国内中高风险地区</w:t>
      </w:r>
      <w:proofErr w:type="gramStart"/>
      <w:r w:rsidRPr="004003EA">
        <w:rPr>
          <w:rFonts w:ascii="仿宋" w:eastAsia="仿宋" w:hAnsi="仿宋" w:hint="eastAsia"/>
          <w:sz w:val="32"/>
          <w:szCs w:val="32"/>
        </w:rPr>
        <w:t>来商返</w:t>
      </w:r>
      <w:proofErr w:type="gramEnd"/>
      <w:r w:rsidRPr="004003EA">
        <w:rPr>
          <w:rFonts w:ascii="仿宋" w:eastAsia="仿宋" w:hAnsi="仿宋" w:hint="eastAsia"/>
          <w:sz w:val="32"/>
          <w:szCs w:val="32"/>
        </w:rPr>
        <w:t>商人员分类落实健康管控措施。坚持人物同防，对进口冷</w:t>
      </w:r>
      <w:proofErr w:type="gramStart"/>
      <w:r w:rsidRPr="004003EA">
        <w:rPr>
          <w:rFonts w:ascii="仿宋" w:eastAsia="仿宋" w:hAnsi="仿宋" w:hint="eastAsia"/>
          <w:sz w:val="32"/>
          <w:szCs w:val="32"/>
        </w:rPr>
        <w:t>链食品</w:t>
      </w:r>
      <w:proofErr w:type="gramEnd"/>
      <w:r w:rsidRPr="004003EA">
        <w:rPr>
          <w:rFonts w:ascii="仿宋" w:eastAsia="仿宋" w:hAnsi="仿宋" w:hint="eastAsia"/>
          <w:sz w:val="32"/>
          <w:szCs w:val="32"/>
        </w:rPr>
        <w:t>实行全链条管理。落实重点公共场所疫情防控措施，实行重点人群“应检尽检”、其他人群“愿检尽检”，扩大核酸检测覆盖面。规范发热门诊和预检分诊点设置，严格落实发热患者闭环管理和首诊负责制，充分发挥医疗机构哨点作用，全面</w:t>
      </w:r>
      <w:proofErr w:type="gramStart"/>
      <w:r w:rsidRPr="004003EA">
        <w:rPr>
          <w:rFonts w:ascii="仿宋" w:eastAsia="仿宋" w:hAnsi="仿宋" w:hint="eastAsia"/>
          <w:sz w:val="32"/>
          <w:szCs w:val="32"/>
        </w:rPr>
        <w:t>落实四早措施</w:t>
      </w:r>
      <w:proofErr w:type="gramEnd"/>
      <w:r w:rsidRPr="004003EA">
        <w:rPr>
          <w:rFonts w:ascii="仿宋" w:eastAsia="仿宋" w:hAnsi="仿宋" w:hint="eastAsia"/>
          <w:sz w:val="32"/>
          <w:szCs w:val="32"/>
        </w:rPr>
        <w:t>，严防疫情输入反弹。全力做好应急队伍准备和应急物资储备，积极应对突发疫情。</w:t>
      </w:r>
    </w:p>
    <w:p w:rsidR="00AB7CBE" w:rsidRPr="004003EA" w:rsidRDefault="000B61DF" w:rsidP="004003EA">
      <w:pPr>
        <w:spacing w:afterLines="50" w:after="156"/>
        <w:ind w:firstLineChars="200" w:firstLine="640"/>
        <w:rPr>
          <w:rFonts w:ascii="仿宋" w:eastAsia="仿宋" w:hAnsi="仿宋"/>
          <w:sz w:val="32"/>
          <w:szCs w:val="32"/>
        </w:rPr>
      </w:pPr>
      <w:r w:rsidRPr="004003EA">
        <w:rPr>
          <w:rFonts w:ascii="仿宋" w:eastAsia="仿宋" w:hAnsi="仿宋" w:hint="eastAsia"/>
          <w:sz w:val="32"/>
          <w:szCs w:val="32"/>
        </w:rPr>
        <w:t>（二）健全完善卫生应急体系。加快推进市级传染病专科医院、县级医院传染病病区建设以及感染、重症、检验等专科建设，全面提升公立医院传染病救治能力。改革强化疾病预防控制体系，</w:t>
      </w:r>
      <w:proofErr w:type="gramStart"/>
      <w:r w:rsidRPr="004003EA">
        <w:rPr>
          <w:rFonts w:ascii="仿宋" w:eastAsia="仿宋" w:hAnsi="仿宋" w:hint="eastAsia"/>
          <w:sz w:val="32"/>
          <w:szCs w:val="32"/>
        </w:rPr>
        <w:t>加强疾控中心</w:t>
      </w:r>
      <w:proofErr w:type="gramEnd"/>
      <w:r w:rsidRPr="004003EA">
        <w:rPr>
          <w:rFonts w:ascii="仿宋" w:eastAsia="仿宋" w:hAnsi="仿宋" w:hint="eastAsia"/>
          <w:sz w:val="32"/>
          <w:szCs w:val="32"/>
        </w:rPr>
        <w:t>阵地建设和人才队伍建设，提高疾病预防处置能力。完善传染病疫情与突发公共卫生事件的监测系统，强化实验室检测网络建设，健全多渠道监测预警和风险评估机制。启动实施市、县医疗应急物资储备库建设，修订完善突发公共卫生事件应急预案，定期开展应急演练，形成平战结合、职责清晰、协调有力、运转高效的应急管理体系。</w:t>
      </w:r>
    </w:p>
    <w:p w:rsidR="00AB7CBE" w:rsidRPr="004003EA" w:rsidRDefault="000B61DF" w:rsidP="004003EA">
      <w:pPr>
        <w:spacing w:afterLines="50" w:after="156"/>
        <w:ind w:firstLineChars="200" w:firstLine="640"/>
        <w:rPr>
          <w:rFonts w:ascii="仿宋" w:eastAsia="仿宋" w:hAnsi="仿宋"/>
          <w:sz w:val="32"/>
          <w:szCs w:val="32"/>
        </w:rPr>
      </w:pPr>
      <w:r w:rsidRPr="004003EA">
        <w:rPr>
          <w:rFonts w:ascii="仿宋" w:eastAsia="仿宋" w:hAnsi="仿宋" w:hint="eastAsia"/>
          <w:sz w:val="32"/>
          <w:szCs w:val="32"/>
        </w:rPr>
        <w:t>（三）巩固提升健康扶贫成果。推动全面脱贫与乡村振兴有效衔接，把防止发生规模性返贫摆在突出位置，严格落</w:t>
      </w:r>
      <w:r w:rsidRPr="004003EA">
        <w:rPr>
          <w:rFonts w:ascii="仿宋" w:eastAsia="仿宋" w:hAnsi="仿宋" w:hint="eastAsia"/>
          <w:sz w:val="32"/>
          <w:szCs w:val="32"/>
        </w:rPr>
        <w:lastRenderedPageBreak/>
        <w:t>实“四个不摘”要求，加大边缘户、监测户、特殊困难户和受灾户监测预警。留足政策过渡期，保持现有政策、资金支持，帮扶力量总体稳定。巩固完善基本医疗保险、大病保险、医疗救助“三重保障”制度，继续落实贫困人口大病专项救治、家庭医生签约慢病签约服务、“一降两消两提高”等帮扶政策，全面落实“先诊疗、后付费”“一站式”结算服务，确保重点人群住院合</w:t>
      </w:r>
      <w:proofErr w:type="gramStart"/>
      <w:r w:rsidRPr="004003EA">
        <w:rPr>
          <w:rFonts w:ascii="仿宋" w:eastAsia="仿宋" w:hAnsi="仿宋" w:hint="eastAsia"/>
          <w:sz w:val="32"/>
          <w:szCs w:val="32"/>
        </w:rPr>
        <w:t>规</w:t>
      </w:r>
      <w:proofErr w:type="gramEnd"/>
      <w:r w:rsidRPr="004003EA">
        <w:rPr>
          <w:rFonts w:ascii="仿宋" w:eastAsia="仿宋" w:hAnsi="仿宋" w:hint="eastAsia"/>
          <w:sz w:val="32"/>
          <w:szCs w:val="32"/>
        </w:rPr>
        <w:t>费用报销比例达80%以上，切实</w:t>
      </w:r>
      <w:proofErr w:type="gramStart"/>
      <w:r w:rsidRPr="004003EA">
        <w:rPr>
          <w:rFonts w:ascii="仿宋" w:eastAsia="仿宋" w:hAnsi="仿宋" w:hint="eastAsia"/>
          <w:sz w:val="32"/>
          <w:szCs w:val="32"/>
        </w:rPr>
        <w:t>防范因</w:t>
      </w:r>
      <w:proofErr w:type="gramEnd"/>
      <w:r w:rsidRPr="004003EA">
        <w:rPr>
          <w:rFonts w:ascii="仿宋" w:eastAsia="仿宋" w:hAnsi="仿宋" w:hint="eastAsia"/>
          <w:sz w:val="32"/>
          <w:szCs w:val="32"/>
        </w:rPr>
        <w:t>病返贫致贫风险。</w:t>
      </w:r>
    </w:p>
    <w:p w:rsidR="00AB7CBE" w:rsidRPr="004003EA" w:rsidRDefault="000B61DF" w:rsidP="004003EA">
      <w:pPr>
        <w:spacing w:afterLines="50" w:after="156"/>
        <w:ind w:firstLineChars="200" w:firstLine="640"/>
        <w:rPr>
          <w:rFonts w:ascii="仿宋" w:eastAsia="仿宋" w:hAnsi="仿宋"/>
          <w:sz w:val="32"/>
          <w:szCs w:val="32"/>
        </w:rPr>
      </w:pPr>
      <w:r w:rsidRPr="004003EA">
        <w:rPr>
          <w:rFonts w:ascii="仿宋" w:eastAsia="仿宋" w:hAnsi="仿宋" w:hint="eastAsia"/>
          <w:sz w:val="32"/>
          <w:szCs w:val="32"/>
        </w:rPr>
        <w:t>（四）加快推进健康商洛建设。全面实施《“健康商洛2030”行动计划》，深入实施健康商洛行动，建立完善重大项目、重大工程、重大政策健康影响评价制度，把健康逐步融入到各项政策之中。完善健康教育服务体系，引导人们养成良好的行为和生活方式。实施国民营养计划，因地制宜开展“三减三健”行动。大力开展健康细胞示范建设。巩固主城区国家卫生城市建成成果，洛南县、镇安县创</w:t>
      </w:r>
      <w:proofErr w:type="gramStart"/>
      <w:r w:rsidRPr="004003EA">
        <w:rPr>
          <w:rFonts w:ascii="仿宋" w:eastAsia="仿宋" w:hAnsi="仿宋" w:hint="eastAsia"/>
          <w:sz w:val="32"/>
          <w:szCs w:val="32"/>
        </w:rPr>
        <w:t>完成家</w:t>
      </w:r>
      <w:proofErr w:type="gramEnd"/>
      <w:r w:rsidRPr="004003EA">
        <w:rPr>
          <w:rFonts w:ascii="仿宋" w:eastAsia="仿宋" w:hAnsi="仿宋" w:hint="eastAsia"/>
          <w:sz w:val="32"/>
          <w:szCs w:val="32"/>
        </w:rPr>
        <w:t>卫生县城创建。总结推广商南县、柞水</w:t>
      </w:r>
      <w:proofErr w:type="gramStart"/>
      <w:r w:rsidRPr="004003EA">
        <w:rPr>
          <w:rFonts w:ascii="仿宋" w:eastAsia="仿宋" w:hAnsi="仿宋" w:hint="eastAsia"/>
          <w:sz w:val="32"/>
          <w:szCs w:val="32"/>
        </w:rPr>
        <w:t>县健康</w:t>
      </w:r>
      <w:proofErr w:type="gramEnd"/>
      <w:r w:rsidRPr="004003EA">
        <w:rPr>
          <w:rFonts w:ascii="仿宋" w:eastAsia="仿宋" w:hAnsi="仿宋" w:hint="eastAsia"/>
          <w:sz w:val="32"/>
          <w:szCs w:val="32"/>
        </w:rPr>
        <w:t>县城示范建设经验，山阳县、丹凤县启动健康县城建设。每县区至少创建国家卫生镇1个、省级卫生镇2个。</w:t>
      </w:r>
    </w:p>
    <w:p w:rsidR="00AB7CBE" w:rsidRPr="004003EA" w:rsidRDefault="000B61DF" w:rsidP="004003EA">
      <w:pPr>
        <w:spacing w:afterLines="50" w:after="156"/>
        <w:ind w:firstLineChars="200" w:firstLine="640"/>
        <w:rPr>
          <w:rFonts w:ascii="仿宋" w:eastAsia="仿宋" w:hAnsi="仿宋"/>
          <w:sz w:val="32"/>
          <w:szCs w:val="32"/>
        </w:rPr>
      </w:pPr>
      <w:r w:rsidRPr="004003EA">
        <w:rPr>
          <w:rFonts w:ascii="仿宋" w:eastAsia="仿宋" w:hAnsi="仿宋" w:hint="eastAsia"/>
          <w:sz w:val="32"/>
          <w:szCs w:val="32"/>
        </w:rPr>
        <w:t>（五）深化医药卫生体制改革。以强基层、建机制、增活力、促发展、惠民生为出发点和落脚点，持续加快公立医院规范化、精细化、科学化管理水平。完善现代医院管理制度，全面落实党委领导下的院长负责制。探索建立总药师制</w:t>
      </w:r>
      <w:r w:rsidRPr="004003EA">
        <w:rPr>
          <w:rFonts w:ascii="仿宋" w:eastAsia="仿宋" w:hAnsi="仿宋" w:hint="eastAsia"/>
          <w:sz w:val="32"/>
          <w:szCs w:val="32"/>
        </w:rPr>
        <w:lastRenderedPageBreak/>
        <w:t>度，严格执行总会计师制度，做好药品使用监测、临床综合评价以及财务工作。制定出台基层医疗卫生单位“两个允许”政策，健全激励约束和薪酬水平动态调整机制，调动积极性和创造力，推动医疗卫生健康事业健康可持续发展。优化分级诊疗制度，总结推广丹凤县、镇安县国家级县域</w:t>
      </w:r>
      <w:proofErr w:type="gramStart"/>
      <w:r w:rsidRPr="004003EA">
        <w:rPr>
          <w:rFonts w:ascii="仿宋" w:eastAsia="仿宋" w:hAnsi="仿宋" w:hint="eastAsia"/>
          <w:sz w:val="32"/>
          <w:szCs w:val="32"/>
        </w:rPr>
        <w:t>医</w:t>
      </w:r>
      <w:proofErr w:type="gramEnd"/>
      <w:r w:rsidRPr="004003EA">
        <w:rPr>
          <w:rFonts w:ascii="仿宋" w:eastAsia="仿宋" w:hAnsi="仿宋" w:hint="eastAsia"/>
          <w:sz w:val="32"/>
          <w:szCs w:val="32"/>
        </w:rPr>
        <w:t>共</w:t>
      </w:r>
      <w:proofErr w:type="gramStart"/>
      <w:r w:rsidRPr="004003EA">
        <w:rPr>
          <w:rFonts w:ascii="仿宋" w:eastAsia="仿宋" w:hAnsi="仿宋" w:hint="eastAsia"/>
          <w:sz w:val="32"/>
          <w:szCs w:val="32"/>
        </w:rPr>
        <w:t>体建设</w:t>
      </w:r>
      <w:proofErr w:type="gramEnd"/>
      <w:r w:rsidRPr="004003EA">
        <w:rPr>
          <w:rFonts w:ascii="仿宋" w:eastAsia="仿宋" w:hAnsi="仿宋" w:hint="eastAsia"/>
          <w:sz w:val="32"/>
          <w:szCs w:val="32"/>
        </w:rPr>
        <w:t>试点经验，推进优质医疗资源共享下沉，县域就诊率持续巩固在90%以上。</w:t>
      </w:r>
    </w:p>
    <w:p w:rsidR="00AB7CBE" w:rsidRPr="004003EA" w:rsidRDefault="000B61DF" w:rsidP="004003EA">
      <w:pPr>
        <w:spacing w:afterLines="50" w:after="156"/>
        <w:ind w:firstLineChars="200" w:firstLine="640"/>
        <w:rPr>
          <w:rFonts w:ascii="仿宋" w:eastAsia="仿宋" w:hAnsi="仿宋"/>
          <w:sz w:val="32"/>
          <w:szCs w:val="32"/>
        </w:rPr>
      </w:pPr>
      <w:r w:rsidRPr="004003EA">
        <w:rPr>
          <w:rFonts w:ascii="仿宋" w:eastAsia="仿宋" w:hAnsi="仿宋" w:hint="eastAsia"/>
          <w:sz w:val="32"/>
          <w:szCs w:val="32"/>
        </w:rPr>
        <w:t>（六）全面提升医疗服务能力。巩固完善以“市级为中心、县区为龙头、镇村为基础、民营为补充”区域医疗服务体系。扎实推进市中心医院新建、市妇幼保健院迁建等重点项目。充分发挥市级质控中心、救治中心作用，提升全市医疗质量规范化、系统化、精细化、同质化管理水平。做实做</w:t>
      </w:r>
      <w:proofErr w:type="gramStart"/>
      <w:r w:rsidRPr="004003EA">
        <w:rPr>
          <w:rFonts w:ascii="仿宋" w:eastAsia="仿宋" w:hAnsi="仿宋" w:hint="eastAsia"/>
          <w:sz w:val="32"/>
          <w:szCs w:val="32"/>
        </w:rPr>
        <w:t>强宁商协作</w:t>
      </w:r>
      <w:proofErr w:type="gramEnd"/>
      <w:r w:rsidRPr="004003EA">
        <w:rPr>
          <w:rFonts w:ascii="仿宋" w:eastAsia="仿宋" w:hAnsi="仿宋" w:hint="eastAsia"/>
          <w:sz w:val="32"/>
          <w:szCs w:val="32"/>
        </w:rPr>
        <w:t>、西商协作等对口帮扶工作，不断增加协作深度和广度，积极引进新技术新项目。深入开展“优质服务基层行”活动，创建基本标准镇卫生院10家、推荐标准卫生院5家。推进“互联网+医疗健康”，统筹卫生健康信息平台建设，优化完善全民健康数据资源互联共享机制，持续改善群众就医感受。</w:t>
      </w:r>
    </w:p>
    <w:p w:rsidR="00AB7CBE" w:rsidRPr="004003EA" w:rsidRDefault="000B61DF" w:rsidP="004003EA">
      <w:pPr>
        <w:spacing w:afterLines="50" w:after="156"/>
        <w:ind w:firstLineChars="200" w:firstLine="640"/>
        <w:rPr>
          <w:rFonts w:ascii="仿宋" w:eastAsia="仿宋" w:hAnsi="仿宋"/>
          <w:sz w:val="32"/>
          <w:szCs w:val="32"/>
        </w:rPr>
      </w:pPr>
      <w:r w:rsidRPr="004003EA">
        <w:rPr>
          <w:rFonts w:ascii="仿宋" w:eastAsia="仿宋" w:hAnsi="仿宋" w:hint="eastAsia"/>
          <w:sz w:val="32"/>
          <w:szCs w:val="32"/>
        </w:rPr>
        <w:t>（七）推进中医药高质量发展。巩固完善</w:t>
      </w:r>
      <w:proofErr w:type="gramStart"/>
      <w:r w:rsidRPr="004003EA">
        <w:rPr>
          <w:rFonts w:ascii="仿宋" w:eastAsia="仿宋" w:hAnsi="仿宋" w:hint="eastAsia"/>
          <w:sz w:val="32"/>
          <w:szCs w:val="32"/>
        </w:rPr>
        <w:t>商洛市</w:t>
      </w:r>
      <w:proofErr w:type="gramEnd"/>
      <w:r w:rsidRPr="004003EA">
        <w:rPr>
          <w:rFonts w:ascii="仿宋" w:eastAsia="仿宋" w:hAnsi="仿宋" w:hint="eastAsia"/>
          <w:sz w:val="32"/>
          <w:szCs w:val="32"/>
        </w:rPr>
        <w:t>中医药工作联席会议制度，大力推进中医药传承精华、守正创新。加快推进市中医医院改造提升工程、商州区中医医院新建、柞水县中医医院搬迁等建设项目以及二级以上中医医院治</w:t>
      </w:r>
      <w:r w:rsidRPr="004003EA">
        <w:rPr>
          <w:rFonts w:ascii="仿宋" w:eastAsia="仿宋" w:hAnsi="仿宋" w:hint="eastAsia"/>
          <w:sz w:val="32"/>
          <w:szCs w:val="32"/>
        </w:rPr>
        <w:lastRenderedPageBreak/>
        <w:t>未病、康复等优势科室、特色专科建设，大力改善中医药服务基础。不断加强中医药人才培养配备和适宜技术推广使用，启动省级名中医传承工作室、示范中医馆建设。全市认定1-2个道地药材地标产品，中药材种植面积250万亩以上，认定10个中药材“定制药园”和中药产业扶贫基地。</w:t>
      </w:r>
    </w:p>
    <w:p w:rsidR="00AB7CBE" w:rsidRPr="004003EA" w:rsidRDefault="000B61DF" w:rsidP="004003EA">
      <w:pPr>
        <w:spacing w:afterLines="50" w:after="156"/>
        <w:ind w:firstLineChars="200" w:firstLine="640"/>
        <w:rPr>
          <w:rFonts w:ascii="仿宋" w:eastAsia="仿宋" w:hAnsi="仿宋"/>
          <w:sz w:val="32"/>
          <w:szCs w:val="32"/>
        </w:rPr>
      </w:pPr>
      <w:r w:rsidRPr="004003EA">
        <w:rPr>
          <w:rFonts w:ascii="仿宋" w:eastAsia="仿宋" w:hAnsi="仿宋" w:hint="eastAsia"/>
          <w:sz w:val="32"/>
          <w:szCs w:val="32"/>
        </w:rPr>
        <w:t>（八）规范开展公共卫生服务。持续完善公共卫生服务项目绩效考核和效果评价机制，推进公共卫生项目规范化、信息化管理，不断提高12类46项基本</w:t>
      </w:r>
      <w:proofErr w:type="gramStart"/>
      <w:r w:rsidRPr="004003EA">
        <w:rPr>
          <w:rFonts w:ascii="仿宋" w:eastAsia="仿宋" w:hAnsi="仿宋" w:hint="eastAsia"/>
          <w:sz w:val="32"/>
          <w:szCs w:val="32"/>
        </w:rPr>
        <w:t>公卫服务</w:t>
      </w:r>
      <w:proofErr w:type="gramEnd"/>
      <w:r w:rsidRPr="004003EA">
        <w:rPr>
          <w:rFonts w:ascii="仿宋" w:eastAsia="仿宋" w:hAnsi="仿宋" w:hint="eastAsia"/>
          <w:sz w:val="32"/>
          <w:szCs w:val="32"/>
        </w:rPr>
        <w:t>质量和服务效率。落实地方病防治专项行动和重点传染病</w:t>
      </w:r>
      <w:proofErr w:type="gramStart"/>
      <w:r w:rsidRPr="004003EA">
        <w:rPr>
          <w:rFonts w:ascii="仿宋" w:eastAsia="仿宋" w:hAnsi="仿宋" w:hint="eastAsia"/>
          <w:sz w:val="32"/>
          <w:szCs w:val="32"/>
        </w:rPr>
        <w:t>专病专防</w:t>
      </w:r>
      <w:proofErr w:type="gramEnd"/>
      <w:r w:rsidRPr="004003EA">
        <w:rPr>
          <w:rFonts w:ascii="仿宋" w:eastAsia="仿宋" w:hAnsi="仿宋" w:hint="eastAsia"/>
          <w:sz w:val="32"/>
          <w:szCs w:val="32"/>
        </w:rPr>
        <w:t>策略，精准落实防控措施。推进预防接种门诊规范化建设级管理水平，提升数字化接种门诊覆盖率。发挥危重</w:t>
      </w:r>
      <w:proofErr w:type="gramStart"/>
      <w:r w:rsidRPr="004003EA">
        <w:rPr>
          <w:rFonts w:ascii="仿宋" w:eastAsia="仿宋" w:hAnsi="仿宋" w:hint="eastAsia"/>
          <w:sz w:val="32"/>
          <w:szCs w:val="32"/>
        </w:rPr>
        <w:t>孕</w:t>
      </w:r>
      <w:proofErr w:type="gramEnd"/>
      <w:r w:rsidRPr="004003EA">
        <w:rPr>
          <w:rFonts w:ascii="仿宋" w:eastAsia="仿宋" w:hAnsi="仿宋" w:hint="eastAsia"/>
          <w:sz w:val="32"/>
          <w:szCs w:val="32"/>
        </w:rPr>
        <w:t>产妇、新生儿救治中心作用，提升全市危重</w:t>
      </w:r>
      <w:proofErr w:type="gramStart"/>
      <w:r w:rsidRPr="004003EA">
        <w:rPr>
          <w:rFonts w:ascii="仿宋" w:eastAsia="仿宋" w:hAnsi="仿宋" w:hint="eastAsia"/>
          <w:sz w:val="32"/>
          <w:szCs w:val="32"/>
        </w:rPr>
        <w:t>孕</w:t>
      </w:r>
      <w:proofErr w:type="gramEnd"/>
      <w:r w:rsidRPr="004003EA">
        <w:rPr>
          <w:rFonts w:ascii="仿宋" w:eastAsia="仿宋" w:hAnsi="仿宋" w:hint="eastAsia"/>
          <w:sz w:val="32"/>
          <w:szCs w:val="32"/>
        </w:rPr>
        <w:t>产妇、新生儿救治能力。优化计划生育服务水平，</w:t>
      </w:r>
      <w:proofErr w:type="gramStart"/>
      <w:r w:rsidRPr="004003EA">
        <w:rPr>
          <w:rFonts w:ascii="仿宋" w:eastAsia="仿宋" w:hAnsi="仿宋" w:hint="eastAsia"/>
          <w:sz w:val="32"/>
          <w:szCs w:val="32"/>
        </w:rPr>
        <w:t>全面落实全面落实计生奖扶</w:t>
      </w:r>
      <w:proofErr w:type="gramEnd"/>
      <w:r w:rsidRPr="004003EA">
        <w:rPr>
          <w:rFonts w:ascii="仿宋" w:eastAsia="仿宋" w:hAnsi="仿宋" w:hint="eastAsia"/>
          <w:sz w:val="32"/>
          <w:szCs w:val="32"/>
        </w:rPr>
        <w:t>政策。积极应对人口老龄化，做好“一老一下”照护服务，健全养老服务体系，全方位、全周期保障人民健康。</w:t>
      </w:r>
    </w:p>
    <w:p w:rsidR="00AB7CBE" w:rsidRPr="004003EA" w:rsidRDefault="000B61DF" w:rsidP="004003EA">
      <w:pPr>
        <w:spacing w:afterLines="50" w:after="156"/>
        <w:ind w:firstLineChars="200" w:firstLine="640"/>
        <w:rPr>
          <w:rFonts w:ascii="仿宋" w:eastAsia="仿宋" w:hAnsi="仿宋"/>
          <w:sz w:val="32"/>
          <w:szCs w:val="32"/>
        </w:rPr>
      </w:pPr>
      <w:r w:rsidRPr="004003EA">
        <w:rPr>
          <w:rFonts w:ascii="仿宋" w:eastAsia="仿宋" w:hAnsi="仿宋" w:hint="eastAsia"/>
          <w:sz w:val="32"/>
          <w:szCs w:val="32"/>
        </w:rPr>
        <w:t>（九）培育大健康产业增长极。突出商洛特色优势，围绕健康医药、绿色食品、健康养生等三大健康产业集群和</w:t>
      </w:r>
      <w:proofErr w:type="gramStart"/>
      <w:r w:rsidRPr="004003EA">
        <w:rPr>
          <w:rFonts w:ascii="仿宋" w:eastAsia="仿宋" w:hAnsi="仿宋" w:hint="eastAsia"/>
          <w:sz w:val="32"/>
          <w:szCs w:val="32"/>
        </w:rPr>
        <w:t>医养</w:t>
      </w:r>
      <w:proofErr w:type="gramEnd"/>
      <w:r w:rsidRPr="004003EA">
        <w:rPr>
          <w:rFonts w:ascii="仿宋" w:eastAsia="仿宋" w:hAnsi="仿宋" w:hint="eastAsia"/>
          <w:sz w:val="32"/>
          <w:szCs w:val="32"/>
        </w:rPr>
        <w:t>结合、健康养老、</w:t>
      </w:r>
      <w:proofErr w:type="gramStart"/>
      <w:r w:rsidRPr="004003EA">
        <w:rPr>
          <w:rFonts w:ascii="仿宋" w:eastAsia="仿宋" w:hAnsi="仿宋" w:hint="eastAsia"/>
          <w:sz w:val="32"/>
          <w:szCs w:val="32"/>
        </w:rPr>
        <w:t>文旅康养</w:t>
      </w:r>
      <w:proofErr w:type="gramEnd"/>
      <w:r w:rsidRPr="004003EA">
        <w:rPr>
          <w:rFonts w:ascii="仿宋" w:eastAsia="仿宋" w:hAnsi="仿宋" w:hint="eastAsia"/>
          <w:sz w:val="32"/>
          <w:szCs w:val="32"/>
        </w:rPr>
        <w:t>、体育健身、健康医药、健康食品等六大领域，科学编制大健康产业发展规划、精心谋划大健康产业项目。制定完善用地、融资、审批等配套政策，为大健康产业发展营造良好的发展环境、提供完备的要素保障。4月底前，完成规划编制、沙盘制作、展厅布置、口号</w:t>
      </w:r>
      <w:r w:rsidRPr="004003EA">
        <w:rPr>
          <w:rFonts w:ascii="仿宋" w:eastAsia="仿宋" w:hAnsi="仿宋" w:hint="eastAsia"/>
          <w:sz w:val="32"/>
          <w:szCs w:val="32"/>
        </w:rPr>
        <w:lastRenderedPageBreak/>
        <w:t>发布、论坛举办、宣传片拍摄等系列工作，全方位展示商洛大健康产业发展蓝图，不断扩大</w:t>
      </w:r>
      <w:proofErr w:type="gramStart"/>
      <w:r w:rsidRPr="004003EA">
        <w:rPr>
          <w:rFonts w:ascii="仿宋" w:eastAsia="仿宋" w:hAnsi="仿宋" w:hint="eastAsia"/>
          <w:sz w:val="32"/>
          <w:szCs w:val="32"/>
        </w:rPr>
        <w:t>大</w:t>
      </w:r>
      <w:proofErr w:type="gramEnd"/>
      <w:r w:rsidRPr="004003EA">
        <w:rPr>
          <w:rFonts w:ascii="仿宋" w:eastAsia="仿宋" w:hAnsi="仿宋" w:hint="eastAsia"/>
          <w:sz w:val="32"/>
          <w:szCs w:val="32"/>
        </w:rPr>
        <w:t xml:space="preserve">健康产业的影响力品牌知名度，全力打造“陕西慢病康养中心”“中国慢病康养之城”。 </w:t>
      </w:r>
    </w:p>
    <w:p w:rsidR="00AB7CBE" w:rsidRPr="00DA3E7D" w:rsidRDefault="000B61DF" w:rsidP="00DA3E7D">
      <w:pPr>
        <w:spacing w:afterLines="50" w:after="156"/>
        <w:ind w:firstLineChars="200" w:firstLine="420"/>
      </w:pPr>
      <w:r w:rsidRPr="00DA3E7D">
        <w:rPr>
          <w:rFonts w:hint="eastAsia"/>
        </w:rPr>
        <w:t>三、部门基本情况</w:t>
      </w:r>
      <w:r w:rsidRPr="00DA3E7D">
        <w:rPr>
          <w:rFonts w:hint="eastAsia"/>
        </w:rPr>
        <w:t xml:space="preserve">                                    </w:t>
      </w:r>
    </w:p>
    <w:tbl>
      <w:tblPr>
        <w:tblW w:w="87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425"/>
        <w:gridCol w:w="1302"/>
        <w:gridCol w:w="938"/>
        <w:gridCol w:w="637"/>
        <w:gridCol w:w="637"/>
        <w:gridCol w:w="640"/>
        <w:gridCol w:w="675"/>
      </w:tblGrid>
      <w:tr w:rsidR="00AB7CBE" w:rsidRPr="00D22CE6">
        <w:trPr>
          <w:trHeight w:val="368"/>
          <w:jc w:val="center"/>
        </w:trPr>
        <w:tc>
          <w:tcPr>
            <w:tcW w:w="472" w:type="dxa"/>
            <w:vMerge w:val="restart"/>
            <w:tcBorders>
              <w:top w:val="single" w:sz="4" w:space="0" w:color="000000"/>
              <w:left w:val="single" w:sz="4" w:space="0" w:color="000000"/>
              <w:bottom w:val="single" w:sz="4" w:space="0" w:color="000000"/>
              <w:right w:val="single" w:sz="4" w:space="0" w:color="000000"/>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序号</w:t>
            </w:r>
          </w:p>
        </w:tc>
        <w:tc>
          <w:tcPr>
            <w:tcW w:w="3425" w:type="dxa"/>
            <w:vMerge w:val="restart"/>
            <w:tcBorders>
              <w:top w:val="single" w:sz="4" w:space="0" w:color="000000"/>
              <w:left w:val="nil"/>
              <w:bottom w:val="single" w:sz="4" w:space="0" w:color="000000"/>
              <w:right w:val="single" w:sz="4" w:space="0" w:color="000000"/>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单位名称</w:t>
            </w:r>
          </w:p>
        </w:tc>
        <w:tc>
          <w:tcPr>
            <w:tcW w:w="1302" w:type="dxa"/>
            <w:vMerge w:val="restart"/>
            <w:tcBorders>
              <w:top w:val="single" w:sz="4" w:space="0" w:color="000000"/>
              <w:left w:val="nil"/>
              <w:bottom w:val="single" w:sz="4" w:space="0" w:color="000000"/>
              <w:right w:val="single" w:sz="4" w:space="0" w:color="000000"/>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单位</w:t>
            </w:r>
          </w:p>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性质</w:t>
            </w:r>
          </w:p>
        </w:tc>
        <w:tc>
          <w:tcPr>
            <w:tcW w:w="938" w:type="dxa"/>
            <w:vMerge w:val="restart"/>
            <w:tcBorders>
              <w:top w:val="single" w:sz="4" w:space="0" w:color="000000"/>
              <w:left w:val="nil"/>
              <w:bottom w:val="single" w:sz="4" w:space="0" w:color="000000"/>
              <w:right w:val="single" w:sz="4" w:space="0" w:color="000000"/>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经费管</w:t>
            </w:r>
          </w:p>
          <w:p w:rsidR="00AB7CBE" w:rsidRPr="00D22CE6" w:rsidRDefault="000B61DF">
            <w:pPr>
              <w:spacing w:line="480" w:lineRule="auto"/>
              <w:jc w:val="center"/>
              <w:rPr>
                <w:rFonts w:ascii="宋体" w:hAnsi="宋体" w:cs="宋体"/>
                <w:spacing w:val="28"/>
                <w:szCs w:val="21"/>
              </w:rPr>
            </w:pPr>
            <w:proofErr w:type="gramStart"/>
            <w:r w:rsidRPr="00D22CE6">
              <w:rPr>
                <w:rFonts w:ascii="宋体" w:hAnsi="宋体" w:cs="宋体" w:hint="eastAsia"/>
                <w:spacing w:val="28"/>
                <w:szCs w:val="21"/>
              </w:rPr>
              <w:t>理形式</w:t>
            </w:r>
            <w:proofErr w:type="gramEnd"/>
          </w:p>
        </w:tc>
        <w:tc>
          <w:tcPr>
            <w:tcW w:w="1913" w:type="dxa"/>
            <w:gridSpan w:val="3"/>
            <w:tcBorders>
              <w:top w:val="single" w:sz="4" w:space="0" w:color="000000"/>
              <w:left w:val="nil"/>
              <w:bottom w:val="single" w:sz="4" w:space="0" w:color="auto"/>
              <w:right w:val="single" w:sz="4" w:space="0" w:color="auto"/>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编制人数</w:t>
            </w:r>
          </w:p>
        </w:tc>
        <w:tc>
          <w:tcPr>
            <w:tcW w:w="675" w:type="dxa"/>
            <w:vMerge w:val="restart"/>
            <w:tcBorders>
              <w:top w:val="single" w:sz="4" w:space="0" w:color="000000"/>
              <w:left w:val="nil"/>
              <w:bottom w:val="single" w:sz="4" w:space="0" w:color="000000"/>
              <w:right w:val="single" w:sz="4" w:space="0" w:color="000000"/>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实有</w:t>
            </w:r>
          </w:p>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人数</w:t>
            </w:r>
          </w:p>
        </w:tc>
      </w:tr>
      <w:tr w:rsidR="00AB7CBE" w:rsidRPr="00D22CE6">
        <w:trPr>
          <w:trHeight w:val="1125"/>
          <w:jc w:val="center"/>
        </w:trPr>
        <w:tc>
          <w:tcPr>
            <w:tcW w:w="472" w:type="dxa"/>
            <w:vMerge/>
            <w:tcBorders>
              <w:top w:val="single" w:sz="4" w:space="0" w:color="000000"/>
              <w:left w:val="single" w:sz="4" w:space="0" w:color="000000"/>
              <w:bottom w:val="single" w:sz="4" w:space="0" w:color="000000"/>
              <w:right w:val="single" w:sz="4" w:space="0" w:color="000000"/>
            </w:tcBorders>
            <w:vAlign w:val="center"/>
          </w:tcPr>
          <w:p w:rsidR="00AB7CBE" w:rsidRPr="00D22CE6" w:rsidRDefault="00AB7CBE">
            <w:pPr>
              <w:spacing w:line="480" w:lineRule="auto"/>
              <w:jc w:val="center"/>
              <w:rPr>
                <w:rFonts w:ascii="宋体" w:hAnsi="宋体" w:cs="宋体"/>
                <w:spacing w:val="28"/>
                <w:szCs w:val="21"/>
              </w:rPr>
            </w:pPr>
          </w:p>
        </w:tc>
        <w:tc>
          <w:tcPr>
            <w:tcW w:w="3425" w:type="dxa"/>
            <w:vMerge/>
            <w:tcBorders>
              <w:top w:val="single" w:sz="4" w:space="0" w:color="000000"/>
              <w:left w:val="nil"/>
              <w:bottom w:val="single" w:sz="4" w:space="0" w:color="000000"/>
              <w:right w:val="single" w:sz="4" w:space="0" w:color="000000"/>
            </w:tcBorders>
            <w:vAlign w:val="center"/>
          </w:tcPr>
          <w:p w:rsidR="00AB7CBE" w:rsidRPr="00D22CE6" w:rsidRDefault="00AB7CBE">
            <w:pPr>
              <w:spacing w:line="480" w:lineRule="auto"/>
              <w:jc w:val="center"/>
              <w:rPr>
                <w:rFonts w:ascii="宋体" w:hAnsi="宋体" w:cs="宋体"/>
                <w:spacing w:val="28"/>
                <w:szCs w:val="21"/>
              </w:rPr>
            </w:pPr>
          </w:p>
        </w:tc>
        <w:tc>
          <w:tcPr>
            <w:tcW w:w="1302" w:type="dxa"/>
            <w:vMerge/>
            <w:tcBorders>
              <w:top w:val="single" w:sz="4" w:space="0" w:color="000000"/>
              <w:left w:val="nil"/>
              <w:bottom w:val="single" w:sz="4" w:space="0" w:color="000000"/>
              <w:right w:val="single" w:sz="4" w:space="0" w:color="000000"/>
            </w:tcBorders>
            <w:vAlign w:val="center"/>
          </w:tcPr>
          <w:p w:rsidR="00AB7CBE" w:rsidRPr="00D22CE6" w:rsidRDefault="00AB7CBE">
            <w:pPr>
              <w:spacing w:line="480" w:lineRule="auto"/>
              <w:jc w:val="center"/>
              <w:rPr>
                <w:rFonts w:ascii="宋体" w:hAnsi="宋体" w:cs="宋体"/>
                <w:spacing w:val="28"/>
                <w:szCs w:val="21"/>
              </w:rPr>
            </w:pPr>
          </w:p>
        </w:tc>
        <w:tc>
          <w:tcPr>
            <w:tcW w:w="938" w:type="dxa"/>
            <w:vMerge/>
            <w:tcBorders>
              <w:top w:val="single" w:sz="4" w:space="0" w:color="000000"/>
              <w:left w:val="nil"/>
              <w:bottom w:val="single" w:sz="4" w:space="0" w:color="000000"/>
              <w:right w:val="single" w:sz="4" w:space="0" w:color="000000"/>
            </w:tcBorders>
            <w:vAlign w:val="center"/>
          </w:tcPr>
          <w:p w:rsidR="00AB7CBE" w:rsidRPr="00D22CE6" w:rsidRDefault="00AB7CBE">
            <w:pPr>
              <w:spacing w:line="480" w:lineRule="auto"/>
              <w:jc w:val="center"/>
              <w:rPr>
                <w:rFonts w:ascii="宋体" w:hAnsi="宋体" w:cs="宋体"/>
                <w:spacing w:val="28"/>
                <w:szCs w:val="21"/>
              </w:rPr>
            </w:pPr>
          </w:p>
        </w:tc>
        <w:tc>
          <w:tcPr>
            <w:tcW w:w="637" w:type="dxa"/>
            <w:tcBorders>
              <w:top w:val="single" w:sz="4" w:space="0" w:color="auto"/>
              <w:left w:val="nil"/>
              <w:bottom w:val="single" w:sz="4" w:space="0" w:color="000000"/>
              <w:right w:val="single" w:sz="4" w:space="0" w:color="auto"/>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合计</w:t>
            </w:r>
          </w:p>
        </w:tc>
        <w:tc>
          <w:tcPr>
            <w:tcW w:w="637" w:type="dxa"/>
            <w:tcBorders>
              <w:top w:val="single" w:sz="4" w:space="0" w:color="auto"/>
              <w:left w:val="nil"/>
              <w:bottom w:val="single" w:sz="4" w:space="0" w:color="000000"/>
              <w:right w:val="single" w:sz="4" w:space="0" w:color="auto"/>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行政</w:t>
            </w:r>
          </w:p>
        </w:tc>
        <w:tc>
          <w:tcPr>
            <w:tcW w:w="640" w:type="dxa"/>
            <w:tcBorders>
              <w:top w:val="single" w:sz="4" w:space="0" w:color="auto"/>
              <w:left w:val="nil"/>
              <w:bottom w:val="single" w:sz="4" w:space="0" w:color="000000"/>
              <w:right w:val="single" w:sz="4" w:space="0" w:color="auto"/>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事业</w:t>
            </w:r>
          </w:p>
        </w:tc>
        <w:tc>
          <w:tcPr>
            <w:tcW w:w="675" w:type="dxa"/>
            <w:vMerge/>
            <w:tcBorders>
              <w:top w:val="single" w:sz="4" w:space="0" w:color="000000"/>
              <w:left w:val="nil"/>
              <w:bottom w:val="single" w:sz="4" w:space="0" w:color="000000"/>
              <w:right w:val="single" w:sz="4" w:space="0" w:color="000000"/>
            </w:tcBorders>
            <w:vAlign w:val="center"/>
          </w:tcPr>
          <w:p w:rsidR="00AB7CBE" w:rsidRPr="00D22CE6" w:rsidRDefault="00AB7CBE">
            <w:pPr>
              <w:spacing w:line="480" w:lineRule="auto"/>
              <w:jc w:val="center"/>
              <w:rPr>
                <w:rFonts w:ascii="宋体" w:hAnsi="宋体" w:cs="宋体"/>
                <w:spacing w:val="28"/>
                <w:szCs w:val="21"/>
              </w:rPr>
            </w:pPr>
          </w:p>
        </w:tc>
      </w:tr>
      <w:tr w:rsidR="00AB7CBE" w:rsidRPr="00D22CE6">
        <w:trPr>
          <w:trHeight w:val="369"/>
          <w:jc w:val="center"/>
        </w:trPr>
        <w:tc>
          <w:tcPr>
            <w:tcW w:w="472" w:type="dxa"/>
            <w:tcBorders>
              <w:top w:val="single" w:sz="4" w:space="0" w:color="000000"/>
              <w:left w:val="single" w:sz="4" w:space="0" w:color="000000"/>
              <w:bottom w:val="single" w:sz="4" w:space="0" w:color="auto"/>
              <w:right w:val="single" w:sz="4" w:space="0" w:color="000000"/>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1</w:t>
            </w:r>
          </w:p>
        </w:tc>
        <w:tc>
          <w:tcPr>
            <w:tcW w:w="3425" w:type="dxa"/>
            <w:tcBorders>
              <w:top w:val="single" w:sz="4" w:space="0" w:color="000000"/>
              <w:left w:val="nil"/>
              <w:bottom w:val="single" w:sz="4" w:space="0" w:color="auto"/>
              <w:right w:val="single" w:sz="4" w:space="0" w:color="000000"/>
            </w:tcBorders>
            <w:vAlign w:val="center"/>
          </w:tcPr>
          <w:p w:rsidR="00AB7CBE" w:rsidRPr="00D22CE6" w:rsidRDefault="000B61DF">
            <w:pPr>
              <w:spacing w:line="480" w:lineRule="auto"/>
              <w:jc w:val="center"/>
              <w:rPr>
                <w:rFonts w:ascii="宋体" w:hAnsi="宋体" w:cs="宋体"/>
                <w:spacing w:val="28"/>
                <w:szCs w:val="21"/>
              </w:rPr>
            </w:pPr>
            <w:proofErr w:type="gramStart"/>
            <w:r w:rsidRPr="00D22CE6">
              <w:rPr>
                <w:rFonts w:ascii="宋体" w:hAnsi="宋体" w:cs="宋体" w:hint="eastAsia"/>
                <w:spacing w:val="28"/>
                <w:szCs w:val="21"/>
              </w:rPr>
              <w:t>商洛市</w:t>
            </w:r>
            <w:proofErr w:type="gramEnd"/>
            <w:r w:rsidRPr="00D22CE6">
              <w:rPr>
                <w:rFonts w:ascii="宋体" w:hAnsi="宋体" w:cs="宋体" w:hint="eastAsia"/>
                <w:spacing w:val="28"/>
                <w:szCs w:val="21"/>
              </w:rPr>
              <w:t>卫生健康委员会（机关）</w:t>
            </w:r>
          </w:p>
        </w:tc>
        <w:tc>
          <w:tcPr>
            <w:tcW w:w="1302" w:type="dxa"/>
            <w:tcBorders>
              <w:top w:val="single" w:sz="4" w:space="0" w:color="000000"/>
              <w:left w:val="nil"/>
              <w:bottom w:val="single" w:sz="4" w:space="0" w:color="auto"/>
              <w:right w:val="single" w:sz="4" w:space="0" w:color="000000"/>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行政</w:t>
            </w:r>
          </w:p>
        </w:tc>
        <w:tc>
          <w:tcPr>
            <w:tcW w:w="938" w:type="dxa"/>
            <w:tcBorders>
              <w:top w:val="single" w:sz="4" w:space="0" w:color="000000"/>
              <w:left w:val="nil"/>
              <w:bottom w:val="single" w:sz="4" w:space="0" w:color="auto"/>
              <w:right w:val="single" w:sz="4" w:space="0" w:color="000000"/>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全额</w:t>
            </w:r>
          </w:p>
        </w:tc>
        <w:tc>
          <w:tcPr>
            <w:tcW w:w="637" w:type="dxa"/>
            <w:tcBorders>
              <w:top w:val="single" w:sz="4" w:space="0" w:color="000000"/>
              <w:left w:val="nil"/>
              <w:bottom w:val="single" w:sz="4" w:space="0" w:color="auto"/>
              <w:right w:val="single" w:sz="4" w:space="0" w:color="auto"/>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55</w:t>
            </w:r>
          </w:p>
        </w:tc>
        <w:tc>
          <w:tcPr>
            <w:tcW w:w="637" w:type="dxa"/>
            <w:tcBorders>
              <w:top w:val="single" w:sz="4" w:space="0" w:color="000000"/>
              <w:left w:val="nil"/>
              <w:bottom w:val="single" w:sz="4" w:space="0" w:color="auto"/>
              <w:right w:val="single" w:sz="4" w:space="0" w:color="auto"/>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36</w:t>
            </w:r>
          </w:p>
        </w:tc>
        <w:tc>
          <w:tcPr>
            <w:tcW w:w="640" w:type="dxa"/>
            <w:tcBorders>
              <w:top w:val="single" w:sz="4" w:space="0" w:color="000000"/>
              <w:left w:val="nil"/>
              <w:bottom w:val="single" w:sz="4" w:space="0" w:color="auto"/>
              <w:right w:val="single" w:sz="4" w:space="0" w:color="auto"/>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19</w:t>
            </w:r>
          </w:p>
        </w:tc>
        <w:tc>
          <w:tcPr>
            <w:tcW w:w="675" w:type="dxa"/>
            <w:tcBorders>
              <w:top w:val="single" w:sz="4" w:space="0" w:color="000000"/>
              <w:left w:val="nil"/>
              <w:bottom w:val="single" w:sz="4" w:space="0" w:color="auto"/>
              <w:right w:val="single" w:sz="4" w:space="0" w:color="000000"/>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48</w:t>
            </w:r>
          </w:p>
        </w:tc>
      </w:tr>
      <w:tr w:rsidR="00AB7CBE" w:rsidRPr="00D22CE6">
        <w:trPr>
          <w:trHeight w:val="368"/>
          <w:jc w:val="center"/>
        </w:trPr>
        <w:tc>
          <w:tcPr>
            <w:tcW w:w="472" w:type="dxa"/>
            <w:tcBorders>
              <w:top w:val="single" w:sz="4" w:space="0" w:color="auto"/>
              <w:left w:val="single" w:sz="4" w:space="0" w:color="000000"/>
              <w:bottom w:val="single" w:sz="4" w:space="0" w:color="auto"/>
              <w:right w:val="single" w:sz="4" w:space="0" w:color="000000"/>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2</w:t>
            </w:r>
          </w:p>
        </w:tc>
        <w:tc>
          <w:tcPr>
            <w:tcW w:w="3425" w:type="dxa"/>
            <w:tcBorders>
              <w:top w:val="single" w:sz="4" w:space="0" w:color="auto"/>
              <w:left w:val="nil"/>
              <w:bottom w:val="single" w:sz="4" w:space="0" w:color="auto"/>
              <w:right w:val="single" w:sz="4" w:space="0" w:color="000000"/>
            </w:tcBorders>
            <w:vAlign w:val="center"/>
          </w:tcPr>
          <w:p w:rsidR="00AB7CBE" w:rsidRPr="00D22CE6" w:rsidRDefault="000B61DF">
            <w:pPr>
              <w:spacing w:line="480" w:lineRule="auto"/>
              <w:jc w:val="center"/>
              <w:rPr>
                <w:rFonts w:ascii="宋体" w:hAnsi="宋体" w:cs="宋体"/>
                <w:spacing w:val="28"/>
                <w:szCs w:val="21"/>
              </w:rPr>
            </w:pPr>
            <w:proofErr w:type="gramStart"/>
            <w:r w:rsidRPr="00D22CE6">
              <w:rPr>
                <w:rFonts w:ascii="宋体" w:hAnsi="宋体" w:cs="宋体" w:hint="eastAsia"/>
                <w:spacing w:val="28"/>
                <w:szCs w:val="21"/>
              </w:rPr>
              <w:t>商洛市</w:t>
            </w:r>
            <w:proofErr w:type="gramEnd"/>
            <w:r w:rsidRPr="00D22CE6">
              <w:rPr>
                <w:rFonts w:ascii="宋体" w:hAnsi="宋体" w:cs="宋体" w:hint="eastAsia"/>
                <w:spacing w:val="28"/>
                <w:szCs w:val="21"/>
              </w:rPr>
              <w:t>计划生育协会</w:t>
            </w:r>
          </w:p>
        </w:tc>
        <w:tc>
          <w:tcPr>
            <w:tcW w:w="1302" w:type="dxa"/>
            <w:tcBorders>
              <w:top w:val="single" w:sz="4" w:space="0" w:color="auto"/>
              <w:left w:val="nil"/>
              <w:bottom w:val="single" w:sz="4" w:space="0" w:color="auto"/>
              <w:right w:val="single" w:sz="4" w:space="0" w:color="000000"/>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参公事业</w:t>
            </w:r>
          </w:p>
        </w:tc>
        <w:tc>
          <w:tcPr>
            <w:tcW w:w="938" w:type="dxa"/>
            <w:tcBorders>
              <w:top w:val="single" w:sz="4" w:space="0" w:color="auto"/>
              <w:left w:val="nil"/>
              <w:bottom w:val="single" w:sz="4" w:space="0" w:color="auto"/>
              <w:right w:val="single" w:sz="4" w:space="0" w:color="000000"/>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全额</w:t>
            </w:r>
          </w:p>
        </w:tc>
        <w:tc>
          <w:tcPr>
            <w:tcW w:w="637" w:type="dxa"/>
            <w:tcBorders>
              <w:top w:val="single" w:sz="4" w:space="0" w:color="auto"/>
              <w:left w:val="nil"/>
              <w:bottom w:val="single" w:sz="4" w:space="0" w:color="auto"/>
              <w:right w:val="single" w:sz="4" w:space="0" w:color="auto"/>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6</w:t>
            </w:r>
          </w:p>
        </w:tc>
        <w:tc>
          <w:tcPr>
            <w:tcW w:w="637" w:type="dxa"/>
            <w:tcBorders>
              <w:top w:val="single" w:sz="4" w:space="0" w:color="auto"/>
              <w:left w:val="nil"/>
              <w:bottom w:val="single" w:sz="4" w:space="0" w:color="auto"/>
              <w:right w:val="single" w:sz="4" w:space="0" w:color="auto"/>
            </w:tcBorders>
            <w:vAlign w:val="center"/>
          </w:tcPr>
          <w:p w:rsidR="00AB7CBE" w:rsidRPr="00D22CE6" w:rsidRDefault="00AB7CBE">
            <w:pPr>
              <w:spacing w:line="480" w:lineRule="auto"/>
              <w:jc w:val="center"/>
              <w:rPr>
                <w:rFonts w:ascii="宋体" w:hAnsi="宋体" w:cs="宋体"/>
                <w:spacing w:val="28"/>
                <w:szCs w:val="21"/>
              </w:rPr>
            </w:pPr>
          </w:p>
        </w:tc>
        <w:tc>
          <w:tcPr>
            <w:tcW w:w="640" w:type="dxa"/>
            <w:tcBorders>
              <w:top w:val="single" w:sz="4" w:space="0" w:color="auto"/>
              <w:left w:val="nil"/>
              <w:bottom w:val="single" w:sz="4" w:space="0" w:color="auto"/>
              <w:right w:val="single" w:sz="4" w:space="0" w:color="auto"/>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6</w:t>
            </w:r>
          </w:p>
        </w:tc>
        <w:tc>
          <w:tcPr>
            <w:tcW w:w="675" w:type="dxa"/>
            <w:tcBorders>
              <w:top w:val="single" w:sz="4" w:space="0" w:color="auto"/>
              <w:left w:val="nil"/>
              <w:bottom w:val="single" w:sz="4" w:space="0" w:color="auto"/>
              <w:right w:val="single" w:sz="4" w:space="0" w:color="000000"/>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5</w:t>
            </w:r>
          </w:p>
        </w:tc>
      </w:tr>
      <w:tr w:rsidR="00AB7CBE" w:rsidRPr="00D22CE6">
        <w:trPr>
          <w:trHeight w:val="369"/>
          <w:jc w:val="center"/>
        </w:trPr>
        <w:tc>
          <w:tcPr>
            <w:tcW w:w="472" w:type="dxa"/>
            <w:tcBorders>
              <w:top w:val="single" w:sz="4" w:space="0" w:color="auto"/>
              <w:left w:val="single" w:sz="4" w:space="0" w:color="000000"/>
              <w:bottom w:val="single" w:sz="4" w:space="0" w:color="auto"/>
              <w:right w:val="single" w:sz="4" w:space="0" w:color="000000"/>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3</w:t>
            </w:r>
          </w:p>
        </w:tc>
        <w:tc>
          <w:tcPr>
            <w:tcW w:w="3425" w:type="dxa"/>
            <w:tcBorders>
              <w:top w:val="single" w:sz="4" w:space="0" w:color="auto"/>
              <w:left w:val="nil"/>
              <w:bottom w:val="single" w:sz="4" w:space="0" w:color="auto"/>
              <w:right w:val="single" w:sz="4" w:space="0" w:color="000000"/>
            </w:tcBorders>
            <w:vAlign w:val="center"/>
          </w:tcPr>
          <w:p w:rsidR="00AB7CBE" w:rsidRPr="00D22CE6" w:rsidRDefault="000B61DF">
            <w:pPr>
              <w:spacing w:line="480" w:lineRule="auto"/>
              <w:jc w:val="center"/>
              <w:rPr>
                <w:rFonts w:ascii="宋体" w:hAnsi="宋体" w:cs="宋体"/>
                <w:spacing w:val="28"/>
                <w:szCs w:val="21"/>
              </w:rPr>
            </w:pPr>
            <w:proofErr w:type="gramStart"/>
            <w:r w:rsidRPr="00D22CE6">
              <w:rPr>
                <w:rFonts w:ascii="宋体" w:hAnsi="宋体" w:cs="宋体" w:hint="eastAsia"/>
                <w:spacing w:val="28"/>
                <w:szCs w:val="21"/>
              </w:rPr>
              <w:t>商洛市</w:t>
            </w:r>
            <w:proofErr w:type="gramEnd"/>
            <w:r w:rsidRPr="00D22CE6">
              <w:rPr>
                <w:rFonts w:ascii="宋体" w:hAnsi="宋体" w:cs="宋体" w:hint="eastAsia"/>
                <w:spacing w:val="28"/>
                <w:szCs w:val="21"/>
              </w:rPr>
              <w:t>疾病预防控制中心</w:t>
            </w:r>
          </w:p>
        </w:tc>
        <w:tc>
          <w:tcPr>
            <w:tcW w:w="1302" w:type="dxa"/>
            <w:tcBorders>
              <w:top w:val="single" w:sz="4" w:space="0" w:color="auto"/>
              <w:left w:val="nil"/>
              <w:bottom w:val="single" w:sz="4" w:space="0" w:color="auto"/>
              <w:right w:val="single" w:sz="4" w:space="0" w:color="000000"/>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参公事业</w:t>
            </w:r>
          </w:p>
        </w:tc>
        <w:tc>
          <w:tcPr>
            <w:tcW w:w="938" w:type="dxa"/>
            <w:tcBorders>
              <w:top w:val="single" w:sz="4" w:space="0" w:color="auto"/>
              <w:left w:val="nil"/>
              <w:bottom w:val="single" w:sz="4" w:space="0" w:color="auto"/>
              <w:right w:val="single" w:sz="4" w:space="0" w:color="000000"/>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全额</w:t>
            </w:r>
          </w:p>
        </w:tc>
        <w:tc>
          <w:tcPr>
            <w:tcW w:w="637" w:type="dxa"/>
            <w:tcBorders>
              <w:top w:val="single" w:sz="4" w:space="0" w:color="auto"/>
              <w:left w:val="nil"/>
              <w:bottom w:val="single" w:sz="4" w:space="0" w:color="auto"/>
              <w:right w:val="single" w:sz="4" w:space="0" w:color="auto"/>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84</w:t>
            </w:r>
          </w:p>
        </w:tc>
        <w:tc>
          <w:tcPr>
            <w:tcW w:w="637" w:type="dxa"/>
            <w:tcBorders>
              <w:top w:val="single" w:sz="4" w:space="0" w:color="auto"/>
              <w:left w:val="nil"/>
              <w:bottom w:val="single" w:sz="4" w:space="0" w:color="auto"/>
              <w:right w:val="single" w:sz="4" w:space="0" w:color="auto"/>
            </w:tcBorders>
            <w:vAlign w:val="center"/>
          </w:tcPr>
          <w:p w:rsidR="00AB7CBE" w:rsidRPr="00D22CE6" w:rsidRDefault="00AB7CBE">
            <w:pPr>
              <w:spacing w:line="480" w:lineRule="auto"/>
              <w:jc w:val="center"/>
              <w:rPr>
                <w:rFonts w:ascii="宋体" w:hAnsi="宋体" w:cs="宋体"/>
                <w:spacing w:val="28"/>
                <w:szCs w:val="21"/>
              </w:rPr>
            </w:pPr>
          </w:p>
        </w:tc>
        <w:tc>
          <w:tcPr>
            <w:tcW w:w="640" w:type="dxa"/>
            <w:tcBorders>
              <w:top w:val="single" w:sz="4" w:space="0" w:color="auto"/>
              <w:left w:val="nil"/>
              <w:bottom w:val="single" w:sz="4" w:space="0" w:color="auto"/>
              <w:right w:val="single" w:sz="4" w:space="0" w:color="auto"/>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84</w:t>
            </w:r>
          </w:p>
        </w:tc>
        <w:tc>
          <w:tcPr>
            <w:tcW w:w="675" w:type="dxa"/>
            <w:tcBorders>
              <w:top w:val="single" w:sz="4" w:space="0" w:color="auto"/>
              <w:left w:val="nil"/>
              <w:bottom w:val="single" w:sz="4" w:space="0" w:color="auto"/>
              <w:right w:val="single" w:sz="4" w:space="0" w:color="000000"/>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58</w:t>
            </w:r>
          </w:p>
        </w:tc>
      </w:tr>
      <w:tr w:rsidR="00AB7CBE" w:rsidRPr="00D22CE6">
        <w:trPr>
          <w:trHeight w:val="368"/>
          <w:jc w:val="center"/>
        </w:trPr>
        <w:tc>
          <w:tcPr>
            <w:tcW w:w="472" w:type="dxa"/>
            <w:tcBorders>
              <w:top w:val="single" w:sz="4" w:space="0" w:color="auto"/>
              <w:left w:val="single" w:sz="4" w:space="0" w:color="auto"/>
              <w:bottom w:val="single" w:sz="4" w:space="0" w:color="000000"/>
              <w:right w:val="single" w:sz="4" w:space="0" w:color="auto"/>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4</w:t>
            </w:r>
          </w:p>
        </w:tc>
        <w:tc>
          <w:tcPr>
            <w:tcW w:w="3425" w:type="dxa"/>
            <w:tcBorders>
              <w:top w:val="single" w:sz="4" w:space="0" w:color="auto"/>
              <w:left w:val="nil"/>
              <w:bottom w:val="single" w:sz="4" w:space="0" w:color="000000"/>
              <w:right w:val="single" w:sz="4" w:space="0" w:color="auto"/>
            </w:tcBorders>
            <w:vAlign w:val="center"/>
          </w:tcPr>
          <w:p w:rsidR="00AB7CBE" w:rsidRPr="00D22CE6" w:rsidRDefault="000B61DF">
            <w:pPr>
              <w:spacing w:line="480" w:lineRule="auto"/>
              <w:jc w:val="center"/>
              <w:rPr>
                <w:rFonts w:ascii="宋体" w:hAnsi="宋体" w:cs="宋体"/>
                <w:spacing w:val="28"/>
                <w:szCs w:val="21"/>
              </w:rPr>
            </w:pPr>
            <w:proofErr w:type="gramStart"/>
            <w:r w:rsidRPr="00D22CE6">
              <w:rPr>
                <w:rFonts w:ascii="宋体" w:hAnsi="宋体" w:cs="宋体" w:hint="eastAsia"/>
                <w:spacing w:val="28"/>
                <w:szCs w:val="21"/>
              </w:rPr>
              <w:t>商洛市</w:t>
            </w:r>
            <w:proofErr w:type="gramEnd"/>
            <w:r w:rsidRPr="00D22CE6">
              <w:rPr>
                <w:rFonts w:ascii="宋体" w:hAnsi="宋体" w:cs="宋体" w:hint="eastAsia"/>
                <w:spacing w:val="28"/>
                <w:szCs w:val="21"/>
              </w:rPr>
              <w:t>卫生计生监督执法支队</w:t>
            </w:r>
          </w:p>
        </w:tc>
        <w:tc>
          <w:tcPr>
            <w:tcW w:w="1302" w:type="dxa"/>
            <w:tcBorders>
              <w:top w:val="single" w:sz="4" w:space="0" w:color="auto"/>
              <w:left w:val="nil"/>
              <w:bottom w:val="single" w:sz="4" w:space="0" w:color="000000"/>
              <w:right w:val="single" w:sz="4" w:space="0" w:color="000000"/>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参公事业</w:t>
            </w:r>
          </w:p>
        </w:tc>
        <w:tc>
          <w:tcPr>
            <w:tcW w:w="938" w:type="dxa"/>
            <w:tcBorders>
              <w:top w:val="single" w:sz="4" w:space="0" w:color="auto"/>
              <w:left w:val="nil"/>
              <w:bottom w:val="single" w:sz="4" w:space="0" w:color="000000"/>
              <w:right w:val="single" w:sz="4" w:space="0" w:color="000000"/>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全额</w:t>
            </w:r>
          </w:p>
        </w:tc>
        <w:tc>
          <w:tcPr>
            <w:tcW w:w="637" w:type="dxa"/>
            <w:tcBorders>
              <w:top w:val="single" w:sz="4" w:space="0" w:color="auto"/>
              <w:left w:val="nil"/>
              <w:bottom w:val="single" w:sz="4" w:space="0" w:color="000000"/>
              <w:right w:val="single" w:sz="4" w:space="0" w:color="auto"/>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29</w:t>
            </w:r>
          </w:p>
        </w:tc>
        <w:tc>
          <w:tcPr>
            <w:tcW w:w="637" w:type="dxa"/>
            <w:tcBorders>
              <w:top w:val="single" w:sz="4" w:space="0" w:color="auto"/>
              <w:left w:val="nil"/>
              <w:bottom w:val="single" w:sz="4" w:space="0" w:color="000000"/>
              <w:right w:val="single" w:sz="4" w:space="0" w:color="auto"/>
            </w:tcBorders>
            <w:vAlign w:val="center"/>
          </w:tcPr>
          <w:p w:rsidR="00AB7CBE" w:rsidRPr="00D22CE6" w:rsidRDefault="00AB7CBE">
            <w:pPr>
              <w:spacing w:line="480" w:lineRule="auto"/>
              <w:jc w:val="center"/>
              <w:rPr>
                <w:rFonts w:ascii="宋体" w:hAnsi="宋体" w:cs="宋体"/>
                <w:spacing w:val="28"/>
                <w:szCs w:val="21"/>
              </w:rPr>
            </w:pPr>
          </w:p>
        </w:tc>
        <w:tc>
          <w:tcPr>
            <w:tcW w:w="640" w:type="dxa"/>
            <w:tcBorders>
              <w:top w:val="single" w:sz="4" w:space="0" w:color="auto"/>
              <w:left w:val="nil"/>
              <w:bottom w:val="single" w:sz="4" w:space="0" w:color="000000"/>
              <w:right w:val="single" w:sz="4" w:space="0" w:color="auto"/>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29</w:t>
            </w:r>
          </w:p>
        </w:tc>
        <w:tc>
          <w:tcPr>
            <w:tcW w:w="675" w:type="dxa"/>
            <w:tcBorders>
              <w:top w:val="single" w:sz="4" w:space="0" w:color="auto"/>
              <w:left w:val="nil"/>
              <w:bottom w:val="single" w:sz="4" w:space="0" w:color="000000"/>
              <w:right w:val="single" w:sz="4" w:space="0" w:color="000000"/>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27</w:t>
            </w:r>
          </w:p>
        </w:tc>
      </w:tr>
      <w:tr w:rsidR="00AB7CBE" w:rsidRPr="00D22CE6">
        <w:trPr>
          <w:trHeight w:val="90"/>
          <w:jc w:val="center"/>
        </w:trPr>
        <w:tc>
          <w:tcPr>
            <w:tcW w:w="472" w:type="dxa"/>
            <w:tcBorders>
              <w:top w:val="single" w:sz="4" w:space="0" w:color="auto"/>
              <w:left w:val="single" w:sz="4" w:space="0" w:color="auto"/>
              <w:bottom w:val="single" w:sz="4" w:space="0" w:color="auto"/>
              <w:right w:val="single" w:sz="4" w:space="0" w:color="auto"/>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5</w:t>
            </w:r>
          </w:p>
        </w:tc>
        <w:tc>
          <w:tcPr>
            <w:tcW w:w="3425" w:type="dxa"/>
            <w:tcBorders>
              <w:top w:val="single" w:sz="4" w:space="0" w:color="auto"/>
              <w:left w:val="nil"/>
              <w:bottom w:val="single" w:sz="4" w:space="0" w:color="auto"/>
              <w:right w:val="single" w:sz="4" w:space="0" w:color="auto"/>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商洛市中心血站</w:t>
            </w:r>
          </w:p>
        </w:tc>
        <w:tc>
          <w:tcPr>
            <w:tcW w:w="1302" w:type="dxa"/>
            <w:tcBorders>
              <w:top w:val="single" w:sz="4" w:space="0" w:color="auto"/>
              <w:left w:val="nil"/>
              <w:bottom w:val="single" w:sz="4" w:space="0" w:color="auto"/>
              <w:right w:val="single" w:sz="4" w:space="0" w:color="auto"/>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事业</w:t>
            </w:r>
          </w:p>
        </w:tc>
        <w:tc>
          <w:tcPr>
            <w:tcW w:w="938" w:type="dxa"/>
            <w:tcBorders>
              <w:top w:val="single" w:sz="4" w:space="0" w:color="auto"/>
              <w:left w:val="nil"/>
              <w:bottom w:val="single" w:sz="4" w:space="0" w:color="auto"/>
              <w:right w:val="single" w:sz="4" w:space="0" w:color="auto"/>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定补</w:t>
            </w:r>
          </w:p>
        </w:tc>
        <w:tc>
          <w:tcPr>
            <w:tcW w:w="637" w:type="dxa"/>
            <w:tcBorders>
              <w:top w:val="single" w:sz="4" w:space="0" w:color="auto"/>
              <w:left w:val="nil"/>
              <w:bottom w:val="single" w:sz="4" w:space="0" w:color="auto"/>
              <w:right w:val="single" w:sz="4" w:space="0" w:color="auto"/>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57</w:t>
            </w:r>
          </w:p>
        </w:tc>
        <w:tc>
          <w:tcPr>
            <w:tcW w:w="637" w:type="dxa"/>
            <w:tcBorders>
              <w:top w:val="single" w:sz="4" w:space="0" w:color="auto"/>
              <w:left w:val="nil"/>
              <w:bottom w:val="single" w:sz="4" w:space="0" w:color="auto"/>
              <w:right w:val="single" w:sz="4" w:space="0" w:color="auto"/>
            </w:tcBorders>
            <w:vAlign w:val="center"/>
          </w:tcPr>
          <w:p w:rsidR="00AB7CBE" w:rsidRPr="00D22CE6" w:rsidRDefault="00AB7CBE">
            <w:pPr>
              <w:spacing w:line="480" w:lineRule="auto"/>
              <w:jc w:val="center"/>
              <w:rPr>
                <w:rFonts w:ascii="宋体" w:hAnsi="宋体" w:cs="宋体"/>
                <w:spacing w:val="28"/>
                <w:szCs w:val="21"/>
              </w:rPr>
            </w:pPr>
          </w:p>
        </w:tc>
        <w:tc>
          <w:tcPr>
            <w:tcW w:w="640" w:type="dxa"/>
            <w:tcBorders>
              <w:top w:val="single" w:sz="4" w:space="0" w:color="auto"/>
              <w:left w:val="nil"/>
              <w:bottom w:val="single" w:sz="4" w:space="0" w:color="auto"/>
              <w:right w:val="single" w:sz="4" w:space="0" w:color="auto"/>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57</w:t>
            </w:r>
          </w:p>
        </w:tc>
        <w:tc>
          <w:tcPr>
            <w:tcW w:w="675" w:type="dxa"/>
            <w:tcBorders>
              <w:top w:val="single" w:sz="4" w:space="0" w:color="auto"/>
              <w:left w:val="nil"/>
              <w:bottom w:val="single" w:sz="4" w:space="0" w:color="auto"/>
              <w:right w:val="single" w:sz="4" w:space="0" w:color="auto"/>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53</w:t>
            </w:r>
          </w:p>
        </w:tc>
      </w:tr>
      <w:tr w:rsidR="00AB7CBE" w:rsidRPr="00D22CE6">
        <w:trPr>
          <w:trHeight w:val="368"/>
          <w:jc w:val="center"/>
        </w:trPr>
        <w:tc>
          <w:tcPr>
            <w:tcW w:w="472" w:type="dxa"/>
            <w:tcBorders>
              <w:top w:val="single" w:sz="4" w:space="0" w:color="auto"/>
              <w:left w:val="single" w:sz="4" w:space="0" w:color="auto"/>
              <w:bottom w:val="single" w:sz="4" w:space="0" w:color="auto"/>
              <w:right w:val="single" w:sz="4" w:space="0" w:color="auto"/>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6</w:t>
            </w:r>
          </w:p>
        </w:tc>
        <w:tc>
          <w:tcPr>
            <w:tcW w:w="3425" w:type="dxa"/>
            <w:tcBorders>
              <w:top w:val="single" w:sz="4" w:space="0" w:color="auto"/>
              <w:left w:val="nil"/>
              <w:bottom w:val="single" w:sz="4" w:space="0" w:color="auto"/>
              <w:right w:val="single" w:sz="4" w:space="0" w:color="auto"/>
            </w:tcBorders>
            <w:vAlign w:val="center"/>
          </w:tcPr>
          <w:p w:rsidR="00AB7CBE" w:rsidRPr="00D22CE6" w:rsidRDefault="000B61DF">
            <w:pPr>
              <w:spacing w:line="480" w:lineRule="auto"/>
              <w:jc w:val="center"/>
              <w:rPr>
                <w:rFonts w:ascii="宋体" w:hAnsi="宋体" w:cs="宋体"/>
                <w:spacing w:val="28"/>
                <w:szCs w:val="21"/>
              </w:rPr>
            </w:pPr>
            <w:proofErr w:type="gramStart"/>
            <w:r w:rsidRPr="00D22CE6">
              <w:rPr>
                <w:rFonts w:ascii="宋体" w:hAnsi="宋体" w:cs="宋体" w:hint="eastAsia"/>
                <w:spacing w:val="28"/>
                <w:szCs w:val="21"/>
              </w:rPr>
              <w:t>商洛市</w:t>
            </w:r>
            <w:proofErr w:type="gramEnd"/>
            <w:r w:rsidRPr="00D22CE6">
              <w:rPr>
                <w:rFonts w:ascii="宋体" w:hAnsi="宋体" w:cs="宋体" w:hint="eastAsia"/>
                <w:spacing w:val="28"/>
                <w:szCs w:val="21"/>
              </w:rPr>
              <w:t>妇幼保健计生中心</w:t>
            </w:r>
          </w:p>
        </w:tc>
        <w:tc>
          <w:tcPr>
            <w:tcW w:w="1302" w:type="dxa"/>
            <w:tcBorders>
              <w:top w:val="single" w:sz="4" w:space="0" w:color="auto"/>
              <w:left w:val="nil"/>
              <w:bottom w:val="single" w:sz="4" w:space="0" w:color="auto"/>
              <w:right w:val="single" w:sz="4" w:space="0" w:color="auto"/>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事业</w:t>
            </w:r>
          </w:p>
        </w:tc>
        <w:tc>
          <w:tcPr>
            <w:tcW w:w="938" w:type="dxa"/>
            <w:tcBorders>
              <w:top w:val="single" w:sz="4" w:space="0" w:color="auto"/>
              <w:left w:val="nil"/>
              <w:bottom w:val="single" w:sz="4" w:space="0" w:color="auto"/>
              <w:right w:val="single" w:sz="4" w:space="0" w:color="auto"/>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全额</w:t>
            </w:r>
          </w:p>
        </w:tc>
        <w:tc>
          <w:tcPr>
            <w:tcW w:w="637" w:type="dxa"/>
            <w:tcBorders>
              <w:top w:val="single" w:sz="4" w:space="0" w:color="auto"/>
              <w:left w:val="nil"/>
              <w:bottom w:val="single" w:sz="4" w:space="0" w:color="auto"/>
              <w:right w:val="single" w:sz="4" w:space="0" w:color="auto"/>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36</w:t>
            </w:r>
          </w:p>
        </w:tc>
        <w:tc>
          <w:tcPr>
            <w:tcW w:w="637" w:type="dxa"/>
            <w:tcBorders>
              <w:top w:val="single" w:sz="4" w:space="0" w:color="auto"/>
              <w:left w:val="nil"/>
              <w:bottom w:val="single" w:sz="4" w:space="0" w:color="auto"/>
              <w:right w:val="single" w:sz="4" w:space="0" w:color="auto"/>
            </w:tcBorders>
            <w:vAlign w:val="center"/>
          </w:tcPr>
          <w:p w:rsidR="00AB7CBE" w:rsidRPr="00D22CE6" w:rsidRDefault="00AB7CBE">
            <w:pPr>
              <w:spacing w:line="480" w:lineRule="auto"/>
              <w:jc w:val="center"/>
              <w:rPr>
                <w:rFonts w:ascii="宋体" w:hAnsi="宋体" w:cs="宋体"/>
                <w:spacing w:val="28"/>
                <w:szCs w:val="21"/>
              </w:rPr>
            </w:pPr>
          </w:p>
        </w:tc>
        <w:tc>
          <w:tcPr>
            <w:tcW w:w="640" w:type="dxa"/>
            <w:tcBorders>
              <w:top w:val="single" w:sz="4" w:space="0" w:color="auto"/>
              <w:left w:val="nil"/>
              <w:bottom w:val="single" w:sz="4" w:space="0" w:color="auto"/>
              <w:right w:val="single" w:sz="4" w:space="0" w:color="auto"/>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36</w:t>
            </w:r>
          </w:p>
        </w:tc>
        <w:tc>
          <w:tcPr>
            <w:tcW w:w="675" w:type="dxa"/>
            <w:tcBorders>
              <w:top w:val="single" w:sz="4" w:space="0" w:color="auto"/>
              <w:left w:val="nil"/>
              <w:bottom w:val="single" w:sz="4" w:space="0" w:color="auto"/>
              <w:right w:val="single" w:sz="4" w:space="0" w:color="auto"/>
            </w:tcBorders>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35</w:t>
            </w:r>
          </w:p>
        </w:tc>
      </w:tr>
      <w:tr w:rsidR="00AB7CBE" w:rsidRPr="00D22CE6">
        <w:trPr>
          <w:trHeight w:val="369"/>
          <w:jc w:val="center"/>
        </w:trPr>
        <w:tc>
          <w:tcPr>
            <w:tcW w:w="3897" w:type="dxa"/>
            <w:gridSpan w:val="2"/>
            <w:tcBorders>
              <w:top w:val="single" w:sz="4" w:space="0" w:color="auto"/>
              <w:left w:val="single" w:sz="4" w:space="0" w:color="auto"/>
              <w:bottom w:val="single" w:sz="4" w:space="0" w:color="auto"/>
              <w:right w:val="single" w:sz="4" w:space="0" w:color="auto"/>
            </w:tcBorders>
            <w:vAlign w:val="center"/>
          </w:tcPr>
          <w:p w:rsidR="00AB7CBE" w:rsidRPr="00D22CE6" w:rsidRDefault="000B61DF" w:rsidP="00DA3E7D">
            <w:pPr>
              <w:spacing w:afterLines="50" w:after="156" w:line="480" w:lineRule="auto"/>
              <w:ind w:firstLineChars="200" w:firstLine="532"/>
              <w:jc w:val="center"/>
              <w:rPr>
                <w:rFonts w:ascii="宋体" w:hAnsi="宋体" w:cs="宋体"/>
                <w:spacing w:val="28"/>
                <w:szCs w:val="21"/>
              </w:rPr>
            </w:pPr>
            <w:r w:rsidRPr="00D22CE6">
              <w:rPr>
                <w:rFonts w:ascii="宋体" w:hAnsi="宋体" w:cs="宋体" w:hint="eastAsia"/>
                <w:spacing w:val="28"/>
                <w:szCs w:val="21"/>
              </w:rPr>
              <w:t>合     计</w:t>
            </w:r>
          </w:p>
        </w:tc>
        <w:tc>
          <w:tcPr>
            <w:tcW w:w="1302" w:type="dxa"/>
            <w:tcBorders>
              <w:top w:val="single" w:sz="4" w:space="0" w:color="auto"/>
              <w:left w:val="nil"/>
              <w:bottom w:val="single" w:sz="4" w:space="0" w:color="auto"/>
              <w:right w:val="single" w:sz="4" w:space="0" w:color="auto"/>
            </w:tcBorders>
            <w:vAlign w:val="center"/>
          </w:tcPr>
          <w:p w:rsidR="00AB7CBE" w:rsidRPr="00D22CE6" w:rsidRDefault="00AB7CBE" w:rsidP="00DA3E7D">
            <w:pPr>
              <w:spacing w:afterLines="50" w:after="156" w:line="480" w:lineRule="auto"/>
              <w:ind w:firstLineChars="200" w:firstLine="532"/>
              <w:jc w:val="center"/>
              <w:rPr>
                <w:rFonts w:ascii="宋体" w:hAnsi="宋体" w:cs="宋体"/>
                <w:spacing w:val="28"/>
                <w:szCs w:val="21"/>
              </w:rPr>
            </w:pPr>
          </w:p>
        </w:tc>
        <w:tc>
          <w:tcPr>
            <w:tcW w:w="938" w:type="dxa"/>
            <w:tcBorders>
              <w:top w:val="single" w:sz="4" w:space="0" w:color="auto"/>
              <w:left w:val="nil"/>
              <w:bottom w:val="single" w:sz="4" w:space="0" w:color="auto"/>
              <w:right w:val="single" w:sz="4" w:space="0" w:color="auto"/>
            </w:tcBorders>
            <w:vAlign w:val="center"/>
          </w:tcPr>
          <w:p w:rsidR="00AB7CBE" w:rsidRPr="00D22CE6" w:rsidRDefault="00AB7CBE" w:rsidP="00DA3E7D">
            <w:pPr>
              <w:spacing w:afterLines="50" w:after="156" w:line="480" w:lineRule="auto"/>
              <w:ind w:firstLineChars="200" w:firstLine="532"/>
              <w:jc w:val="center"/>
              <w:rPr>
                <w:rFonts w:ascii="宋体" w:hAnsi="宋体" w:cs="宋体"/>
                <w:spacing w:val="28"/>
                <w:szCs w:val="21"/>
              </w:rPr>
            </w:pPr>
          </w:p>
        </w:tc>
        <w:tc>
          <w:tcPr>
            <w:tcW w:w="637" w:type="dxa"/>
            <w:tcBorders>
              <w:top w:val="single" w:sz="4" w:space="0" w:color="auto"/>
              <w:left w:val="nil"/>
              <w:bottom w:val="single" w:sz="4" w:space="0" w:color="auto"/>
              <w:right w:val="single" w:sz="4" w:space="0" w:color="auto"/>
            </w:tcBorders>
            <w:vAlign w:val="center"/>
          </w:tcPr>
          <w:p w:rsidR="00AB7CBE" w:rsidRPr="00D22CE6" w:rsidRDefault="000B61DF" w:rsidP="00DA3E7D">
            <w:pPr>
              <w:spacing w:afterLines="50" w:after="156" w:line="480" w:lineRule="auto"/>
              <w:ind w:firstLineChars="200" w:firstLine="532"/>
              <w:jc w:val="center"/>
              <w:rPr>
                <w:rFonts w:ascii="宋体" w:hAnsi="宋体" w:cs="宋体"/>
                <w:spacing w:val="28"/>
                <w:szCs w:val="21"/>
              </w:rPr>
            </w:pPr>
            <w:r w:rsidRPr="00D22CE6">
              <w:rPr>
                <w:rFonts w:ascii="宋体" w:hAnsi="宋体" w:cs="宋体" w:hint="eastAsia"/>
                <w:spacing w:val="28"/>
                <w:szCs w:val="21"/>
              </w:rPr>
              <w:t>267</w:t>
            </w:r>
          </w:p>
        </w:tc>
        <w:tc>
          <w:tcPr>
            <w:tcW w:w="637" w:type="dxa"/>
            <w:tcBorders>
              <w:top w:val="single" w:sz="4" w:space="0" w:color="auto"/>
              <w:left w:val="nil"/>
              <w:bottom w:val="single" w:sz="4" w:space="0" w:color="auto"/>
              <w:right w:val="single" w:sz="4" w:space="0" w:color="auto"/>
            </w:tcBorders>
            <w:vAlign w:val="center"/>
          </w:tcPr>
          <w:p w:rsidR="00AB7CBE" w:rsidRPr="00D22CE6" w:rsidRDefault="000B61DF" w:rsidP="00DA3E7D">
            <w:pPr>
              <w:spacing w:afterLines="50" w:after="156" w:line="480" w:lineRule="auto"/>
              <w:ind w:firstLineChars="200" w:firstLine="532"/>
              <w:jc w:val="center"/>
              <w:rPr>
                <w:rFonts w:ascii="宋体" w:hAnsi="宋体" w:cs="宋体"/>
                <w:spacing w:val="28"/>
                <w:szCs w:val="21"/>
              </w:rPr>
            </w:pPr>
            <w:r w:rsidRPr="00D22CE6">
              <w:rPr>
                <w:rFonts w:ascii="宋体" w:hAnsi="宋体" w:cs="宋体" w:hint="eastAsia"/>
                <w:spacing w:val="28"/>
                <w:szCs w:val="21"/>
              </w:rPr>
              <w:t>36</w:t>
            </w:r>
          </w:p>
        </w:tc>
        <w:tc>
          <w:tcPr>
            <w:tcW w:w="640" w:type="dxa"/>
            <w:tcBorders>
              <w:top w:val="single" w:sz="4" w:space="0" w:color="auto"/>
              <w:left w:val="nil"/>
              <w:bottom w:val="single" w:sz="4" w:space="0" w:color="auto"/>
              <w:right w:val="single" w:sz="4" w:space="0" w:color="auto"/>
            </w:tcBorders>
            <w:vAlign w:val="center"/>
          </w:tcPr>
          <w:p w:rsidR="00AB7CBE" w:rsidRPr="00D22CE6" w:rsidRDefault="000B61DF" w:rsidP="00DA3E7D">
            <w:pPr>
              <w:spacing w:afterLines="50" w:after="156" w:line="480" w:lineRule="auto"/>
              <w:ind w:firstLineChars="200" w:firstLine="532"/>
              <w:jc w:val="center"/>
              <w:rPr>
                <w:rFonts w:ascii="宋体" w:hAnsi="宋体" w:cs="宋体"/>
                <w:spacing w:val="28"/>
                <w:szCs w:val="21"/>
              </w:rPr>
            </w:pPr>
            <w:r w:rsidRPr="00D22CE6">
              <w:rPr>
                <w:rFonts w:ascii="宋体" w:hAnsi="宋体" w:cs="宋体" w:hint="eastAsia"/>
                <w:spacing w:val="28"/>
                <w:szCs w:val="21"/>
              </w:rPr>
              <w:t>231</w:t>
            </w:r>
          </w:p>
        </w:tc>
        <w:tc>
          <w:tcPr>
            <w:tcW w:w="675" w:type="dxa"/>
            <w:tcBorders>
              <w:top w:val="single" w:sz="4" w:space="0" w:color="auto"/>
              <w:left w:val="nil"/>
              <w:bottom w:val="single" w:sz="4" w:space="0" w:color="auto"/>
              <w:right w:val="single" w:sz="4" w:space="0" w:color="auto"/>
            </w:tcBorders>
            <w:vAlign w:val="center"/>
          </w:tcPr>
          <w:p w:rsidR="00AB7CBE" w:rsidRPr="00D22CE6" w:rsidRDefault="000B61DF" w:rsidP="00DA3E7D">
            <w:pPr>
              <w:spacing w:afterLines="50" w:after="156" w:line="480" w:lineRule="auto"/>
              <w:ind w:firstLineChars="200" w:firstLine="532"/>
              <w:jc w:val="center"/>
              <w:rPr>
                <w:rFonts w:ascii="宋体" w:hAnsi="宋体" w:cs="宋体"/>
                <w:spacing w:val="28"/>
                <w:szCs w:val="21"/>
              </w:rPr>
            </w:pPr>
            <w:r w:rsidRPr="00D22CE6">
              <w:rPr>
                <w:rFonts w:ascii="宋体" w:hAnsi="宋体" w:cs="宋体" w:hint="eastAsia"/>
                <w:spacing w:val="28"/>
                <w:szCs w:val="21"/>
              </w:rPr>
              <w:t>226</w:t>
            </w:r>
          </w:p>
        </w:tc>
      </w:tr>
    </w:tbl>
    <w:p w:rsidR="00AB7CBE" w:rsidRPr="00DA3E7D" w:rsidRDefault="00DA3E7D" w:rsidP="00DA3E7D">
      <w:pPr>
        <w:spacing w:afterLines="50" w:after="156"/>
        <w:ind w:firstLineChars="200" w:firstLine="420"/>
      </w:pPr>
      <w:r>
        <w:rPr>
          <w:rFonts w:hint="eastAsia"/>
        </w:rPr>
        <w:t>四、</w:t>
      </w:r>
      <w:r w:rsidR="000B61DF" w:rsidRPr="00DA3E7D">
        <w:rPr>
          <w:rFonts w:hint="eastAsia"/>
        </w:rPr>
        <w:t>部门单位资产情况说明</w:t>
      </w:r>
    </w:p>
    <w:p w:rsidR="00AB7CBE" w:rsidRPr="00DA3E7D" w:rsidRDefault="000B61DF" w:rsidP="00DA3E7D">
      <w:pPr>
        <w:spacing w:afterLines="50" w:after="156"/>
        <w:ind w:firstLineChars="200" w:firstLine="420"/>
      </w:pPr>
      <w:r w:rsidRPr="00DA3E7D">
        <w:rPr>
          <w:rFonts w:hint="eastAsia"/>
        </w:rPr>
        <w:t>截止</w:t>
      </w:r>
      <w:r w:rsidRPr="00DA3E7D">
        <w:rPr>
          <w:rFonts w:hint="eastAsia"/>
        </w:rPr>
        <w:t>2020</w:t>
      </w:r>
      <w:r w:rsidRPr="00DA3E7D">
        <w:rPr>
          <w:rFonts w:hint="eastAsia"/>
        </w:rPr>
        <w:t>年</w:t>
      </w:r>
      <w:r w:rsidRPr="00DA3E7D">
        <w:rPr>
          <w:rFonts w:hint="eastAsia"/>
        </w:rPr>
        <w:t>10</w:t>
      </w:r>
      <w:r w:rsidRPr="00DA3E7D">
        <w:rPr>
          <w:rFonts w:hint="eastAsia"/>
        </w:rPr>
        <w:t>月底，部门总资产</w:t>
      </w:r>
      <w:r w:rsidRPr="00DA3E7D">
        <w:rPr>
          <w:rFonts w:hint="eastAsia"/>
        </w:rPr>
        <w:t>22705348.17</w:t>
      </w:r>
      <w:r w:rsidRPr="00DA3E7D">
        <w:rPr>
          <w:rFonts w:hint="eastAsia"/>
        </w:rPr>
        <w:t>元。其中：</w:t>
      </w:r>
      <w:r w:rsidRPr="00DA3E7D">
        <w:rPr>
          <w:rFonts w:hint="eastAsia"/>
        </w:rPr>
        <w:t>1</w:t>
      </w:r>
      <w:r w:rsidRPr="00DA3E7D">
        <w:rPr>
          <w:rFonts w:hint="eastAsia"/>
        </w:rPr>
        <w:t>、流动资产为</w:t>
      </w:r>
      <w:r w:rsidRPr="00DA3E7D">
        <w:rPr>
          <w:rFonts w:hint="eastAsia"/>
        </w:rPr>
        <w:t>19010852.17</w:t>
      </w:r>
      <w:r w:rsidRPr="00DA3E7D">
        <w:rPr>
          <w:rFonts w:hint="eastAsia"/>
        </w:rPr>
        <w:t>元；</w:t>
      </w:r>
      <w:r w:rsidRPr="00DA3E7D">
        <w:rPr>
          <w:rFonts w:hint="eastAsia"/>
        </w:rPr>
        <w:t>2</w:t>
      </w:r>
      <w:r w:rsidRPr="00DA3E7D">
        <w:rPr>
          <w:rFonts w:hint="eastAsia"/>
        </w:rPr>
        <w:t>、固定资产为</w:t>
      </w:r>
      <w:r w:rsidRPr="00DA3E7D">
        <w:rPr>
          <w:rFonts w:hint="eastAsia"/>
        </w:rPr>
        <w:t>3694496</w:t>
      </w:r>
      <w:r w:rsidRPr="00DA3E7D">
        <w:rPr>
          <w:rFonts w:hint="eastAsia"/>
        </w:rPr>
        <w:t>元；</w:t>
      </w:r>
      <w:r w:rsidRPr="00DA3E7D">
        <w:rPr>
          <w:rFonts w:hint="eastAsia"/>
        </w:rPr>
        <w:t>3</w:t>
      </w:r>
      <w:r w:rsidRPr="00DA3E7D">
        <w:rPr>
          <w:rFonts w:hint="eastAsia"/>
        </w:rPr>
        <w:t>、无形资产</w:t>
      </w:r>
      <w:r w:rsidRPr="00DA3E7D">
        <w:rPr>
          <w:rFonts w:hint="eastAsia"/>
        </w:rPr>
        <w:t>0</w:t>
      </w:r>
      <w:r w:rsidRPr="00DA3E7D">
        <w:rPr>
          <w:rFonts w:hint="eastAsia"/>
        </w:rPr>
        <w:t>元；</w:t>
      </w:r>
      <w:r w:rsidRPr="00DA3E7D">
        <w:rPr>
          <w:rFonts w:hint="eastAsia"/>
        </w:rPr>
        <w:t>4</w:t>
      </w:r>
      <w:r w:rsidRPr="00DA3E7D">
        <w:rPr>
          <w:rFonts w:hint="eastAsia"/>
        </w:rPr>
        <w:t>、长期投资</w:t>
      </w:r>
      <w:r w:rsidRPr="00DA3E7D">
        <w:rPr>
          <w:rFonts w:hint="eastAsia"/>
        </w:rPr>
        <w:t>0</w:t>
      </w:r>
      <w:r w:rsidRPr="00DA3E7D">
        <w:rPr>
          <w:rFonts w:hint="eastAsia"/>
        </w:rPr>
        <w:t>元；</w:t>
      </w:r>
      <w:r w:rsidRPr="00DA3E7D">
        <w:rPr>
          <w:rFonts w:hint="eastAsia"/>
        </w:rPr>
        <w:t>5</w:t>
      </w:r>
      <w:r w:rsidRPr="00DA3E7D">
        <w:rPr>
          <w:rFonts w:hint="eastAsia"/>
        </w:rPr>
        <w:t>、其他资产</w:t>
      </w:r>
      <w:r w:rsidRPr="00DA3E7D">
        <w:rPr>
          <w:rFonts w:hint="eastAsia"/>
        </w:rPr>
        <w:t>0</w:t>
      </w:r>
      <w:r w:rsidRPr="00DA3E7D">
        <w:rPr>
          <w:rFonts w:hint="eastAsia"/>
        </w:rPr>
        <w:t>元</w:t>
      </w:r>
    </w:p>
    <w:p w:rsidR="00AB7CBE" w:rsidRPr="00DA3E7D" w:rsidRDefault="00AB7CBE" w:rsidP="00DA3E7D">
      <w:pPr>
        <w:spacing w:afterLines="50" w:after="156"/>
        <w:ind w:firstLineChars="200" w:firstLine="420"/>
      </w:pPr>
    </w:p>
    <w:p w:rsidR="00AB7CBE" w:rsidRPr="00DA3E7D" w:rsidRDefault="000B61DF" w:rsidP="00DA3E7D">
      <w:pPr>
        <w:spacing w:afterLines="50" w:after="156"/>
        <w:ind w:firstLineChars="200" w:firstLine="420"/>
      </w:pPr>
      <w:r w:rsidRPr="00DA3E7D">
        <w:rPr>
          <w:rFonts w:hint="eastAsia"/>
        </w:rPr>
        <w:t>五、</w:t>
      </w:r>
      <w:r w:rsidRPr="00DA3E7D">
        <w:rPr>
          <w:rFonts w:hint="eastAsia"/>
        </w:rPr>
        <w:t>2020</w:t>
      </w:r>
      <w:r w:rsidRPr="00DA3E7D">
        <w:rPr>
          <w:rFonts w:hint="eastAsia"/>
        </w:rPr>
        <w:t>年部门收支预算编制的依据及测算说明</w:t>
      </w:r>
    </w:p>
    <w:p w:rsidR="00AB7CBE" w:rsidRPr="00DA3E7D" w:rsidRDefault="000B61DF" w:rsidP="00DA3E7D">
      <w:pPr>
        <w:spacing w:afterLines="50" w:after="156"/>
        <w:ind w:firstLineChars="200" w:firstLine="420"/>
      </w:pPr>
      <w:r w:rsidRPr="00DA3E7D">
        <w:rPr>
          <w:rFonts w:hint="eastAsia"/>
        </w:rPr>
        <w:t>（一）人员经费</w:t>
      </w:r>
    </w:p>
    <w:p w:rsidR="00AB7CBE" w:rsidRPr="00DA3E7D" w:rsidRDefault="000B61DF" w:rsidP="00DA3E7D">
      <w:pPr>
        <w:spacing w:afterLines="50" w:after="156"/>
        <w:ind w:firstLineChars="200" w:firstLine="420"/>
      </w:pPr>
      <w:r w:rsidRPr="00DA3E7D">
        <w:rPr>
          <w:rFonts w:hint="eastAsia"/>
        </w:rPr>
        <w:lastRenderedPageBreak/>
        <w:t>核定的范围为单位实有正式职工，含工人、军队转业干部、下派、离岗人员，不包括临时人员。总编制数</w:t>
      </w:r>
      <w:r w:rsidRPr="00DA3E7D">
        <w:rPr>
          <w:rFonts w:hint="eastAsia"/>
        </w:rPr>
        <w:t>267</w:t>
      </w:r>
      <w:r w:rsidRPr="00DA3E7D">
        <w:rPr>
          <w:rFonts w:hint="eastAsia"/>
        </w:rPr>
        <w:t>人，实有</w:t>
      </w:r>
      <w:r w:rsidRPr="00DA3E7D">
        <w:rPr>
          <w:rFonts w:hint="eastAsia"/>
        </w:rPr>
        <w:t>226</w:t>
      </w:r>
      <w:r w:rsidRPr="00DA3E7D">
        <w:rPr>
          <w:rFonts w:hint="eastAsia"/>
        </w:rPr>
        <w:t>人，其中行政编制</w:t>
      </w:r>
      <w:r w:rsidRPr="00DA3E7D">
        <w:rPr>
          <w:rFonts w:hint="eastAsia"/>
        </w:rPr>
        <w:t>36</w:t>
      </w:r>
      <w:r w:rsidRPr="00DA3E7D">
        <w:rPr>
          <w:rFonts w:hint="eastAsia"/>
        </w:rPr>
        <w:t>人，实有</w:t>
      </w:r>
      <w:r w:rsidRPr="00DA3E7D">
        <w:rPr>
          <w:rFonts w:hint="eastAsia"/>
        </w:rPr>
        <w:t>34</w:t>
      </w:r>
      <w:r w:rsidRPr="00DA3E7D">
        <w:rPr>
          <w:rFonts w:hint="eastAsia"/>
        </w:rPr>
        <w:t>人；事业编制</w:t>
      </w:r>
      <w:r w:rsidRPr="00DA3E7D">
        <w:rPr>
          <w:rFonts w:hint="eastAsia"/>
        </w:rPr>
        <w:t>231</w:t>
      </w:r>
      <w:r w:rsidRPr="00DA3E7D">
        <w:rPr>
          <w:rFonts w:hint="eastAsia"/>
        </w:rPr>
        <w:t>人，实有</w:t>
      </w:r>
      <w:r w:rsidRPr="00DA3E7D">
        <w:rPr>
          <w:rFonts w:hint="eastAsia"/>
        </w:rPr>
        <w:t>192</w:t>
      </w:r>
      <w:r w:rsidRPr="00DA3E7D">
        <w:rPr>
          <w:rFonts w:hint="eastAsia"/>
        </w:rPr>
        <w:t>人。人员经费支出主要是按照国家规定的工资福利政策标准，按单位</w:t>
      </w:r>
      <w:r w:rsidRPr="00DA3E7D">
        <w:rPr>
          <w:rFonts w:hint="eastAsia"/>
        </w:rPr>
        <w:t>2019</w:t>
      </w:r>
      <w:r w:rsidRPr="00DA3E7D">
        <w:rPr>
          <w:rFonts w:hint="eastAsia"/>
        </w:rPr>
        <w:t>年</w:t>
      </w:r>
      <w:r w:rsidRPr="00DA3E7D">
        <w:rPr>
          <w:rFonts w:hint="eastAsia"/>
        </w:rPr>
        <w:t>10</w:t>
      </w:r>
      <w:r w:rsidRPr="00DA3E7D">
        <w:rPr>
          <w:rFonts w:hint="eastAsia"/>
        </w:rPr>
        <w:t>月底在册人数测算填报。</w:t>
      </w:r>
    </w:p>
    <w:p w:rsidR="00AB7CBE" w:rsidRPr="00DA3E7D" w:rsidRDefault="000B61DF" w:rsidP="00DA3E7D">
      <w:pPr>
        <w:spacing w:afterLines="50" w:after="156"/>
        <w:ind w:firstLineChars="200" w:firstLine="420"/>
      </w:pPr>
      <w:r w:rsidRPr="00DA3E7D">
        <w:rPr>
          <w:rFonts w:hint="eastAsia"/>
        </w:rPr>
        <w:t>（二）日常公用经费</w:t>
      </w:r>
    </w:p>
    <w:p w:rsidR="00AB7CBE" w:rsidRPr="00DA3E7D" w:rsidRDefault="000B61DF" w:rsidP="00DA3E7D">
      <w:pPr>
        <w:spacing w:afterLines="50" w:after="156"/>
        <w:ind w:firstLineChars="200" w:firstLine="420"/>
      </w:pPr>
      <w:r w:rsidRPr="00DA3E7D">
        <w:rPr>
          <w:rFonts w:hint="eastAsia"/>
        </w:rPr>
        <w:t>日常公用经费根据机构正常运转和日常工作任务需要测算填报。</w:t>
      </w:r>
    </w:p>
    <w:p w:rsidR="00AB7CBE" w:rsidRPr="00DA3E7D" w:rsidRDefault="000B61DF" w:rsidP="00DA3E7D">
      <w:pPr>
        <w:spacing w:afterLines="50" w:after="156"/>
        <w:ind w:firstLineChars="200" w:firstLine="420"/>
      </w:pPr>
      <w:r w:rsidRPr="00DA3E7D">
        <w:rPr>
          <w:rFonts w:hint="eastAsia"/>
        </w:rPr>
        <w:t>（三）</w:t>
      </w:r>
      <w:r w:rsidRPr="00DA3E7D">
        <w:rPr>
          <w:rFonts w:hint="eastAsia"/>
        </w:rPr>
        <w:t>2021</w:t>
      </w:r>
      <w:r w:rsidRPr="00DA3E7D">
        <w:rPr>
          <w:rFonts w:hint="eastAsia"/>
        </w:rPr>
        <w:t>年收支情况</w:t>
      </w:r>
    </w:p>
    <w:p w:rsidR="00AB7CBE" w:rsidRPr="00DA3E7D" w:rsidRDefault="000B61DF" w:rsidP="00DA3E7D">
      <w:pPr>
        <w:spacing w:afterLines="50" w:after="156"/>
        <w:ind w:firstLineChars="200" w:firstLine="420"/>
        <w:rPr>
          <w:highlight w:val="yellow"/>
        </w:rPr>
      </w:pPr>
      <w:r w:rsidRPr="00DA3E7D">
        <w:rPr>
          <w:rFonts w:hint="eastAsia"/>
        </w:rPr>
        <w:t>2021</w:t>
      </w:r>
      <w:r w:rsidRPr="00DA3E7D">
        <w:rPr>
          <w:rFonts w:hint="eastAsia"/>
        </w:rPr>
        <w:t>年预算收入总计</w:t>
      </w:r>
      <w:r w:rsidRPr="00DA3E7D">
        <w:rPr>
          <w:rFonts w:hint="eastAsia"/>
        </w:rPr>
        <w:t>2608.58</w:t>
      </w:r>
      <w:r w:rsidRPr="00DA3E7D">
        <w:rPr>
          <w:rFonts w:hint="eastAsia"/>
        </w:rPr>
        <w:t>万元，全部为一般公共预算拨款。</w:t>
      </w:r>
    </w:p>
    <w:p w:rsidR="00AB7CBE" w:rsidRPr="00DA3E7D" w:rsidRDefault="000B61DF" w:rsidP="00DA3E7D">
      <w:pPr>
        <w:spacing w:afterLines="50" w:after="156"/>
        <w:ind w:firstLineChars="200" w:firstLine="420"/>
      </w:pPr>
      <w:r w:rsidRPr="00DA3E7D">
        <w:rPr>
          <w:rFonts w:hint="eastAsia"/>
        </w:rPr>
        <w:t>2021</w:t>
      </w:r>
      <w:r w:rsidRPr="00DA3E7D">
        <w:rPr>
          <w:rFonts w:hint="eastAsia"/>
        </w:rPr>
        <w:t>年本部门预算支出</w:t>
      </w:r>
      <w:r w:rsidRPr="00DA3E7D">
        <w:rPr>
          <w:rFonts w:hint="eastAsia"/>
        </w:rPr>
        <w:t>2608.58</w:t>
      </w:r>
      <w:r w:rsidRPr="00DA3E7D">
        <w:rPr>
          <w:rFonts w:hint="eastAsia"/>
        </w:rPr>
        <w:t>万元。其中</w:t>
      </w:r>
      <w:r w:rsidRPr="00DA3E7D">
        <w:rPr>
          <w:rFonts w:hint="eastAsia"/>
        </w:rPr>
        <w:t>:</w:t>
      </w:r>
      <w:r w:rsidRPr="00DA3E7D">
        <w:rPr>
          <w:rFonts w:hint="eastAsia"/>
        </w:rPr>
        <w:t>工资福利支出</w:t>
      </w:r>
      <w:r w:rsidRPr="00DA3E7D">
        <w:rPr>
          <w:rFonts w:hint="eastAsia"/>
        </w:rPr>
        <w:t>2425.48</w:t>
      </w:r>
      <w:r w:rsidRPr="00DA3E7D">
        <w:rPr>
          <w:rFonts w:hint="eastAsia"/>
        </w:rPr>
        <w:t>万元、商品和服务支出</w:t>
      </w:r>
      <w:r w:rsidRPr="00DA3E7D">
        <w:rPr>
          <w:rFonts w:hint="eastAsia"/>
        </w:rPr>
        <w:t>145.74</w:t>
      </w:r>
      <w:r w:rsidRPr="00DA3E7D">
        <w:rPr>
          <w:rFonts w:hint="eastAsia"/>
        </w:rPr>
        <w:t>万元、对个人和家庭的补助支出</w:t>
      </w:r>
      <w:r w:rsidRPr="00DA3E7D">
        <w:rPr>
          <w:rFonts w:hint="eastAsia"/>
        </w:rPr>
        <w:t>37.36</w:t>
      </w:r>
      <w:r w:rsidRPr="00DA3E7D">
        <w:rPr>
          <w:rFonts w:hint="eastAsia"/>
        </w:rPr>
        <w:t>万元。</w:t>
      </w:r>
    </w:p>
    <w:p w:rsidR="00DA3E7D" w:rsidRDefault="00DA3E7D" w:rsidP="00DA3E7D">
      <w:pPr>
        <w:ind w:firstLineChars="100" w:firstLine="266"/>
        <w:jc w:val="center"/>
        <w:rPr>
          <w:rFonts w:ascii="宋体" w:hAnsi="宋体" w:cs="宋体"/>
          <w:spacing w:val="28"/>
          <w:szCs w:val="21"/>
        </w:rPr>
      </w:pPr>
    </w:p>
    <w:p w:rsidR="00AB7CBE" w:rsidRPr="00D22CE6" w:rsidRDefault="000B61DF" w:rsidP="00DA3E7D">
      <w:pPr>
        <w:ind w:firstLineChars="100" w:firstLine="266"/>
        <w:jc w:val="center"/>
        <w:rPr>
          <w:rFonts w:ascii="宋体" w:hAnsi="宋体" w:cs="宋体"/>
          <w:spacing w:val="28"/>
          <w:szCs w:val="21"/>
        </w:rPr>
      </w:pPr>
      <w:proofErr w:type="gramStart"/>
      <w:r w:rsidRPr="00D22CE6">
        <w:rPr>
          <w:rFonts w:ascii="宋体" w:hAnsi="宋体" w:cs="宋体" w:hint="eastAsia"/>
          <w:spacing w:val="28"/>
          <w:szCs w:val="21"/>
        </w:rPr>
        <w:t>商洛市</w:t>
      </w:r>
      <w:proofErr w:type="gramEnd"/>
      <w:r w:rsidRPr="00D22CE6">
        <w:rPr>
          <w:rFonts w:ascii="宋体" w:hAnsi="宋体" w:cs="宋体" w:hint="eastAsia"/>
          <w:spacing w:val="28"/>
          <w:szCs w:val="21"/>
        </w:rPr>
        <w:t>卫生健康委员会2021年收支预算总表</w:t>
      </w:r>
    </w:p>
    <w:p w:rsidR="00AB7CBE" w:rsidRPr="00D22CE6" w:rsidRDefault="000B61DF" w:rsidP="00DA3E7D">
      <w:pPr>
        <w:pStyle w:val="a0"/>
        <w:jc w:val="right"/>
        <w:rPr>
          <w:rFonts w:ascii="宋体" w:hAnsi="宋体"/>
          <w:szCs w:val="21"/>
        </w:rPr>
      </w:pPr>
      <w:r w:rsidRPr="00D22CE6">
        <w:rPr>
          <w:rFonts w:ascii="宋体" w:hAnsi="宋体" w:cs="宋体" w:hint="eastAsia"/>
          <w:spacing w:val="28"/>
          <w:szCs w:val="21"/>
        </w:rPr>
        <w:t xml:space="preserve">                              单位：万元</w:t>
      </w:r>
    </w:p>
    <w:tbl>
      <w:tblPr>
        <w:tblpPr w:leftFromText="180" w:rightFromText="180" w:vertAnchor="text" w:horzAnchor="page" w:tblpX="1645" w:tblpY="524"/>
        <w:tblOverlap w:val="neve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2"/>
        <w:gridCol w:w="1205"/>
        <w:gridCol w:w="3115"/>
        <w:gridCol w:w="1257"/>
      </w:tblGrid>
      <w:tr w:rsidR="00AB7CBE" w:rsidRPr="00D22CE6">
        <w:trPr>
          <w:trHeight w:val="127"/>
        </w:trPr>
        <w:tc>
          <w:tcPr>
            <w:tcW w:w="4187" w:type="dxa"/>
            <w:gridSpan w:val="2"/>
            <w:vAlign w:val="center"/>
          </w:tcPr>
          <w:p w:rsidR="00AB7CBE" w:rsidRPr="00D22CE6" w:rsidRDefault="000B61DF">
            <w:pPr>
              <w:jc w:val="center"/>
              <w:rPr>
                <w:rFonts w:ascii="宋体" w:hAnsi="宋体" w:cs="宋体"/>
                <w:spacing w:val="28"/>
                <w:szCs w:val="21"/>
              </w:rPr>
            </w:pPr>
            <w:r w:rsidRPr="00D22CE6">
              <w:rPr>
                <w:rFonts w:ascii="宋体" w:hAnsi="宋体" w:cs="宋体" w:hint="eastAsia"/>
                <w:spacing w:val="28"/>
                <w:szCs w:val="21"/>
              </w:rPr>
              <w:t>收          入</w:t>
            </w:r>
          </w:p>
        </w:tc>
        <w:tc>
          <w:tcPr>
            <w:tcW w:w="4372" w:type="dxa"/>
            <w:gridSpan w:val="2"/>
            <w:vAlign w:val="center"/>
          </w:tcPr>
          <w:p w:rsidR="00AB7CBE" w:rsidRPr="00D22CE6" w:rsidRDefault="000B61DF">
            <w:pPr>
              <w:jc w:val="center"/>
              <w:rPr>
                <w:rFonts w:ascii="宋体" w:hAnsi="宋体" w:cs="宋体"/>
                <w:spacing w:val="28"/>
                <w:szCs w:val="21"/>
              </w:rPr>
            </w:pPr>
            <w:r w:rsidRPr="00D22CE6">
              <w:rPr>
                <w:rFonts w:ascii="宋体" w:hAnsi="宋体" w:cs="宋体" w:hint="eastAsia"/>
                <w:spacing w:val="28"/>
                <w:szCs w:val="21"/>
              </w:rPr>
              <w:t>支          出</w:t>
            </w:r>
          </w:p>
        </w:tc>
      </w:tr>
      <w:tr w:rsidR="00AB7CBE" w:rsidRPr="00D22CE6">
        <w:trPr>
          <w:trHeight w:val="770"/>
        </w:trPr>
        <w:tc>
          <w:tcPr>
            <w:tcW w:w="2982" w:type="dxa"/>
            <w:vAlign w:val="center"/>
          </w:tcPr>
          <w:p w:rsidR="00AB7CBE" w:rsidRPr="00D22CE6" w:rsidRDefault="000B61DF">
            <w:pPr>
              <w:jc w:val="center"/>
              <w:rPr>
                <w:rFonts w:ascii="宋体" w:hAnsi="宋体" w:cs="宋体"/>
                <w:spacing w:val="28"/>
                <w:szCs w:val="21"/>
              </w:rPr>
            </w:pPr>
            <w:r w:rsidRPr="00D22CE6">
              <w:rPr>
                <w:rFonts w:ascii="宋体" w:hAnsi="宋体" w:cs="宋体" w:hint="eastAsia"/>
                <w:spacing w:val="28"/>
                <w:szCs w:val="21"/>
              </w:rPr>
              <w:t>项        目</w:t>
            </w:r>
          </w:p>
        </w:tc>
        <w:tc>
          <w:tcPr>
            <w:tcW w:w="1205" w:type="dxa"/>
            <w:vAlign w:val="center"/>
          </w:tcPr>
          <w:p w:rsidR="00AB7CBE" w:rsidRPr="00D22CE6" w:rsidRDefault="000B61DF">
            <w:pPr>
              <w:jc w:val="center"/>
              <w:rPr>
                <w:rFonts w:ascii="宋体" w:hAnsi="宋体" w:cs="宋体"/>
                <w:spacing w:val="28"/>
                <w:szCs w:val="21"/>
              </w:rPr>
            </w:pPr>
            <w:r w:rsidRPr="00D22CE6">
              <w:rPr>
                <w:rFonts w:ascii="宋体" w:hAnsi="宋体" w:cs="宋体" w:hint="eastAsia"/>
                <w:spacing w:val="28"/>
                <w:szCs w:val="21"/>
              </w:rPr>
              <w:t>预算数</w:t>
            </w:r>
          </w:p>
        </w:tc>
        <w:tc>
          <w:tcPr>
            <w:tcW w:w="3115" w:type="dxa"/>
            <w:vAlign w:val="center"/>
          </w:tcPr>
          <w:p w:rsidR="00AB7CBE" w:rsidRPr="00D22CE6" w:rsidRDefault="000B61DF">
            <w:pPr>
              <w:jc w:val="center"/>
              <w:rPr>
                <w:rFonts w:ascii="宋体" w:hAnsi="宋体" w:cs="宋体"/>
                <w:spacing w:val="28"/>
                <w:szCs w:val="21"/>
              </w:rPr>
            </w:pPr>
            <w:r w:rsidRPr="00D22CE6">
              <w:rPr>
                <w:rFonts w:ascii="宋体" w:hAnsi="宋体" w:cs="宋体" w:hint="eastAsia"/>
                <w:spacing w:val="28"/>
                <w:szCs w:val="21"/>
              </w:rPr>
              <w:t>项        目</w:t>
            </w:r>
          </w:p>
        </w:tc>
        <w:tc>
          <w:tcPr>
            <w:tcW w:w="1257" w:type="dxa"/>
            <w:vAlign w:val="center"/>
          </w:tcPr>
          <w:p w:rsidR="00AB7CBE" w:rsidRPr="00D22CE6" w:rsidRDefault="000B61DF">
            <w:pPr>
              <w:jc w:val="center"/>
              <w:rPr>
                <w:rFonts w:ascii="宋体" w:hAnsi="宋体" w:cs="宋体"/>
                <w:spacing w:val="28"/>
                <w:szCs w:val="21"/>
              </w:rPr>
            </w:pPr>
            <w:r w:rsidRPr="00D22CE6">
              <w:rPr>
                <w:rFonts w:ascii="宋体" w:hAnsi="宋体" w:cs="宋体" w:hint="eastAsia"/>
                <w:spacing w:val="28"/>
                <w:szCs w:val="21"/>
              </w:rPr>
              <w:t>预算数</w:t>
            </w:r>
          </w:p>
        </w:tc>
      </w:tr>
      <w:tr w:rsidR="00AB7CBE" w:rsidRPr="00D22CE6">
        <w:trPr>
          <w:trHeight w:val="1216"/>
        </w:trPr>
        <w:tc>
          <w:tcPr>
            <w:tcW w:w="2982" w:type="dxa"/>
            <w:vAlign w:val="center"/>
          </w:tcPr>
          <w:p w:rsidR="00AB7CBE" w:rsidRPr="00D22CE6" w:rsidRDefault="000B61DF">
            <w:pPr>
              <w:spacing w:line="480" w:lineRule="auto"/>
              <w:rPr>
                <w:rFonts w:ascii="宋体" w:hAnsi="宋体" w:cs="宋体"/>
                <w:spacing w:val="28"/>
                <w:szCs w:val="21"/>
              </w:rPr>
            </w:pPr>
            <w:r w:rsidRPr="00D22CE6">
              <w:rPr>
                <w:rFonts w:ascii="宋体" w:hAnsi="宋体" w:cs="宋体" w:hint="eastAsia"/>
                <w:spacing w:val="28"/>
                <w:szCs w:val="21"/>
              </w:rPr>
              <w:t>一、公共预算拨款</w:t>
            </w:r>
          </w:p>
        </w:tc>
        <w:tc>
          <w:tcPr>
            <w:tcW w:w="1205"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2608.58</w:t>
            </w:r>
          </w:p>
        </w:tc>
        <w:tc>
          <w:tcPr>
            <w:tcW w:w="3115" w:type="dxa"/>
            <w:vAlign w:val="center"/>
          </w:tcPr>
          <w:p w:rsidR="00AB7CBE" w:rsidRPr="00D22CE6" w:rsidRDefault="000B61DF">
            <w:pPr>
              <w:spacing w:line="480" w:lineRule="auto"/>
              <w:rPr>
                <w:rFonts w:ascii="宋体" w:hAnsi="宋体" w:cs="宋体"/>
                <w:spacing w:val="28"/>
                <w:szCs w:val="21"/>
              </w:rPr>
            </w:pPr>
            <w:r w:rsidRPr="00D22CE6">
              <w:rPr>
                <w:rFonts w:ascii="宋体" w:hAnsi="宋体" w:cs="宋体" w:hint="eastAsia"/>
                <w:spacing w:val="28"/>
                <w:szCs w:val="21"/>
              </w:rPr>
              <w:t>一、基本支出</w:t>
            </w:r>
          </w:p>
        </w:tc>
        <w:tc>
          <w:tcPr>
            <w:tcW w:w="1257"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2608.58</w:t>
            </w:r>
          </w:p>
        </w:tc>
      </w:tr>
      <w:tr w:rsidR="00AB7CBE" w:rsidRPr="00D22CE6">
        <w:trPr>
          <w:trHeight w:val="1216"/>
        </w:trPr>
        <w:tc>
          <w:tcPr>
            <w:tcW w:w="2982" w:type="dxa"/>
            <w:vAlign w:val="center"/>
          </w:tcPr>
          <w:p w:rsidR="00AB7CBE" w:rsidRPr="00D22CE6" w:rsidRDefault="000B61DF">
            <w:pPr>
              <w:spacing w:line="480" w:lineRule="auto"/>
              <w:rPr>
                <w:rFonts w:ascii="宋体" w:hAnsi="宋体" w:cs="宋体"/>
                <w:spacing w:val="28"/>
                <w:szCs w:val="21"/>
              </w:rPr>
            </w:pPr>
            <w:r w:rsidRPr="00D22CE6">
              <w:rPr>
                <w:rFonts w:ascii="宋体" w:hAnsi="宋体" w:cs="宋体" w:hint="eastAsia"/>
                <w:spacing w:val="28"/>
                <w:szCs w:val="21"/>
              </w:rPr>
              <w:t>二、政府性基金拨款</w:t>
            </w:r>
          </w:p>
        </w:tc>
        <w:tc>
          <w:tcPr>
            <w:tcW w:w="1205" w:type="dxa"/>
            <w:vAlign w:val="center"/>
          </w:tcPr>
          <w:p w:rsidR="00AB7CBE" w:rsidRPr="00D22CE6" w:rsidRDefault="00AB7CBE">
            <w:pPr>
              <w:spacing w:line="480" w:lineRule="auto"/>
              <w:jc w:val="center"/>
              <w:rPr>
                <w:rFonts w:ascii="宋体" w:hAnsi="宋体" w:cs="宋体"/>
                <w:spacing w:val="28"/>
                <w:szCs w:val="21"/>
              </w:rPr>
            </w:pPr>
          </w:p>
        </w:tc>
        <w:tc>
          <w:tcPr>
            <w:tcW w:w="3115" w:type="dxa"/>
            <w:vAlign w:val="center"/>
          </w:tcPr>
          <w:p w:rsidR="00AB7CBE" w:rsidRPr="00D22CE6" w:rsidRDefault="000B61DF">
            <w:pPr>
              <w:spacing w:line="480" w:lineRule="auto"/>
              <w:rPr>
                <w:rFonts w:ascii="宋体" w:hAnsi="宋体" w:cs="宋体"/>
                <w:spacing w:val="28"/>
                <w:szCs w:val="21"/>
              </w:rPr>
            </w:pPr>
            <w:r w:rsidRPr="00D22CE6">
              <w:rPr>
                <w:rFonts w:ascii="宋体" w:hAnsi="宋体" w:cs="宋体" w:hint="eastAsia"/>
                <w:spacing w:val="28"/>
                <w:szCs w:val="21"/>
              </w:rPr>
              <w:t>1.工资福利支出</w:t>
            </w:r>
          </w:p>
        </w:tc>
        <w:tc>
          <w:tcPr>
            <w:tcW w:w="1257"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2425.48</w:t>
            </w:r>
          </w:p>
        </w:tc>
      </w:tr>
      <w:tr w:rsidR="00AB7CBE" w:rsidRPr="00D22CE6">
        <w:trPr>
          <w:trHeight w:val="264"/>
        </w:trPr>
        <w:tc>
          <w:tcPr>
            <w:tcW w:w="2982" w:type="dxa"/>
            <w:vAlign w:val="center"/>
          </w:tcPr>
          <w:p w:rsidR="00AB7CBE" w:rsidRPr="00D22CE6" w:rsidRDefault="000B61DF">
            <w:pPr>
              <w:spacing w:line="480" w:lineRule="auto"/>
              <w:rPr>
                <w:rFonts w:ascii="宋体" w:hAnsi="宋体" w:cs="宋体"/>
                <w:spacing w:val="28"/>
                <w:szCs w:val="21"/>
              </w:rPr>
            </w:pPr>
            <w:r w:rsidRPr="00D22CE6">
              <w:rPr>
                <w:rFonts w:ascii="宋体" w:hAnsi="宋体" w:cs="宋体" w:hint="eastAsia"/>
                <w:spacing w:val="28"/>
                <w:szCs w:val="21"/>
              </w:rPr>
              <w:t>三、事业收入</w:t>
            </w:r>
          </w:p>
        </w:tc>
        <w:tc>
          <w:tcPr>
            <w:tcW w:w="1205" w:type="dxa"/>
            <w:vAlign w:val="center"/>
          </w:tcPr>
          <w:p w:rsidR="00AB7CBE" w:rsidRPr="00D22CE6" w:rsidRDefault="00AB7CBE">
            <w:pPr>
              <w:spacing w:line="480" w:lineRule="auto"/>
              <w:jc w:val="center"/>
              <w:rPr>
                <w:rFonts w:ascii="宋体" w:hAnsi="宋体" w:cs="宋体"/>
                <w:spacing w:val="28"/>
                <w:szCs w:val="21"/>
              </w:rPr>
            </w:pPr>
          </w:p>
        </w:tc>
        <w:tc>
          <w:tcPr>
            <w:tcW w:w="3115" w:type="dxa"/>
            <w:vAlign w:val="center"/>
          </w:tcPr>
          <w:p w:rsidR="00AB7CBE" w:rsidRPr="00D22CE6" w:rsidRDefault="000B61DF">
            <w:pPr>
              <w:spacing w:line="480" w:lineRule="auto"/>
              <w:rPr>
                <w:rFonts w:ascii="宋体" w:hAnsi="宋体" w:cs="宋体"/>
                <w:spacing w:val="28"/>
                <w:szCs w:val="21"/>
              </w:rPr>
            </w:pPr>
            <w:r w:rsidRPr="00D22CE6">
              <w:rPr>
                <w:rFonts w:ascii="宋体" w:hAnsi="宋体" w:cs="宋体" w:hint="eastAsia"/>
                <w:spacing w:val="28"/>
                <w:szCs w:val="21"/>
              </w:rPr>
              <w:t>2.对个人和家庭的补助支出</w:t>
            </w:r>
          </w:p>
        </w:tc>
        <w:tc>
          <w:tcPr>
            <w:tcW w:w="1257"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37.36</w:t>
            </w:r>
          </w:p>
        </w:tc>
      </w:tr>
      <w:tr w:rsidR="00AB7CBE" w:rsidRPr="00D22CE6">
        <w:trPr>
          <w:trHeight w:val="1216"/>
        </w:trPr>
        <w:tc>
          <w:tcPr>
            <w:tcW w:w="2982" w:type="dxa"/>
            <w:vAlign w:val="center"/>
          </w:tcPr>
          <w:p w:rsidR="00AB7CBE" w:rsidRPr="00D22CE6" w:rsidRDefault="000B61DF">
            <w:pPr>
              <w:spacing w:line="480" w:lineRule="auto"/>
              <w:rPr>
                <w:rFonts w:ascii="宋体" w:hAnsi="宋体" w:cs="宋体"/>
                <w:spacing w:val="28"/>
                <w:szCs w:val="21"/>
              </w:rPr>
            </w:pPr>
            <w:r w:rsidRPr="00D22CE6">
              <w:rPr>
                <w:rFonts w:ascii="宋体" w:hAnsi="宋体" w:cs="宋体" w:hint="eastAsia"/>
                <w:spacing w:val="28"/>
                <w:szCs w:val="21"/>
              </w:rPr>
              <w:t>纳入财政专户管理的教育收费</w:t>
            </w:r>
          </w:p>
        </w:tc>
        <w:tc>
          <w:tcPr>
            <w:tcW w:w="1205" w:type="dxa"/>
            <w:vAlign w:val="center"/>
          </w:tcPr>
          <w:p w:rsidR="00AB7CBE" w:rsidRPr="00D22CE6" w:rsidRDefault="00AB7CBE">
            <w:pPr>
              <w:spacing w:line="480" w:lineRule="auto"/>
              <w:jc w:val="center"/>
              <w:rPr>
                <w:rFonts w:ascii="宋体" w:hAnsi="宋体" w:cs="宋体"/>
                <w:spacing w:val="28"/>
                <w:szCs w:val="21"/>
              </w:rPr>
            </w:pPr>
          </w:p>
        </w:tc>
        <w:tc>
          <w:tcPr>
            <w:tcW w:w="3115" w:type="dxa"/>
            <w:vAlign w:val="center"/>
          </w:tcPr>
          <w:p w:rsidR="00AB7CBE" w:rsidRPr="00D22CE6" w:rsidRDefault="000B61DF">
            <w:pPr>
              <w:spacing w:line="480" w:lineRule="auto"/>
              <w:rPr>
                <w:rFonts w:ascii="宋体" w:hAnsi="宋体" w:cs="宋体"/>
                <w:spacing w:val="28"/>
                <w:szCs w:val="21"/>
              </w:rPr>
            </w:pPr>
            <w:r w:rsidRPr="00D22CE6">
              <w:rPr>
                <w:rFonts w:ascii="宋体" w:hAnsi="宋体" w:cs="宋体" w:hint="eastAsia"/>
                <w:spacing w:val="28"/>
                <w:szCs w:val="21"/>
              </w:rPr>
              <w:t>3.日常公用经费</w:t>
            </w:r>
          </w:p>
        </w:tc>
        <w:tc>
          <w:tcPr>
            <w:tcW w:w="1257"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145.74</w:t>
            </w:r>
          </w:p>
        </w:tc>
      </w:tr>
      <w:tr w:rsidR="00AB7CBE" w:rsidRPr="00D22CE6">
        <w:trPr>
          <w:trHeight w:val="613"/>
        </w:trPr>
        <w:tc>
          <w:tcPr>
            <w:tcW w:w="2982" w:type="dxa"/>
            <w:vAlign w:val="center"/>
          </w:tcPr>
          <w:p w:rsidR="00AB7CBE" w:rsidRPr="00D22CE6" w:rsidRDefault="000B61DF">
            <w:pPr>
              <w:spacing w:line="480" w:lineRule="auto"/>
              <w:rPr>
                <w:rFonts w:ascii="宋体" w:hAnsi="宋体" w:cs="宋体"/>
                <w:spacing w:val="28"/>
                <w:szCs w:val="21"/>
              </w:rPr>
            </w:pPr>
            <w:r w:rsidRPr="00D22CE6">
              <w:rPr>
                <w:rFonts w:ascii="宋体" w:hAnsi="宋体" w:cs="宋体" w:hint="eastAsia"/>
                <w:spacing w:val="28"/>
                <w:szCs w:val="21"/>
              </w:rPr>
              <w:t>其他事业收入</w:t>
            </w:r>
          </w:p>
        </w:tc>
        <w:tc>
          <w:tcPr>
            <w:tcW w:w="1205" w:type="dxa"/>
            <w:vAlign w:val="center"/>
          </w:tcPr>
          <w:p w:rsidR="00AB7CBE" w:rsidRPr="00D22CE6" w:rsidRDefault="00AB7CBE">
            <w:pPr>
              <w:spacing w:line="480" w:lineRule="auto"/>
              <w:jc w:val="center"/>
              <w:rPr>
                <w:rFonts w:ascii="宋体" w:hAnsi="宋体" w:cs="宋体"/>
                <w:spacing w:val="28"/>
                <w:szCs w:val="21"/>
              </w:rPr>
            </w:pPr>
          </w:p>
        </w:tc>
        <w:tc>
          <w:tcPr>
            <w:tcW w:w="3115" w:type="dxa"/>
            <w:vAlign w:val="center"/>
          </w:tcPr>
          <w:p w:rsidR="00AB7CBE" w:rsidRPr="00D22CE6" w:rsidRDefault="000B61DF">
            <w:pPr>
              <w:spacing w:line="480" w:lineRule="auto"/>
              <w:rPr>
                <w:rFonts w:ascii="宋体" w:hAnsi="宋体" w:cs="宋体"/>
                <w:spacing w:val="28"/>
                <w:szCs w:val="21"/>
              </w:rPr>
            </w:pPr>
            <w:r w:rsidRPr="00D22CE6">
              <w:rPr>
                <w:rFonts w:ascii="宋体" w:hAnsi="宋体" w:cs="宋体" w:hint="eastAsia"/>
                <w:spacing w:val="28"/>
                <w:szCs w:val="21"/>
              </w:rPr>
              <w:t>二、项目支出</w:t>
            </w:r>
          </w:p>
        </w:tc>
        <w:tc>
          <w:tcPr>
            <w:tcW w:w="1257" w:type="dxa"/>
            <w:vAlign w:val="center"/>
          </w:tcPr>
          <w:p w:rsidR="00AB7CBE" w:rsidRPr="00D22CE6" w:rsidRDefault="00AB7CBE">
            <w:pPr>
              <w:spacing w:line="480" w:lineRule="auto"/>
              <w:jc w:val="center"/>
              <w:rPr>
                <w:rFonts w:ascii="宋体" w:hAnsi="宋体" w:cs="宋体"/>
                <w:spacing w:val="28"/>
                <w:szCs w:val="21"/>
              </w:rPr>
            </w:pPr>
          </w:p>
        </w:tc>
      </w:tr>
      <w:tr w:rsidR="00AB7CBE" w:rsidRPr="00D22CE6">
        <w:trPr>
          <w:trHeight w:val="1216"/>
        </w:trPr>
        <w:tc>
          <w:tcPr>
            <w:tcW w:w="2982" w:type="dxa"/>
            <w:vAlign w:val="center"/>
          </w:tcPr>
          <w:p w:rsidR="00AB7CBE" w:rsidRPr="00D22CE6" w:rsidRDefault="000B61DF">
            <w:pPr>
              <w:spacing w:line="480" w:lineRule="auto"/>
              <w:rPr>
                <w:rFonts w:ascii="宋体" w:hAnsi="宋体" w:cs="宋体"/>
                <w:spacing w:val="28"/>
                <w:szCs w:val="21"/>
              </w:rPr>
            </w:pPr>
            <w:r w:rsidRPr="00D22CE6">
              <w:rPr>
                <w:rFonts w:ascii="宋体" w:hAnsi="宋体" w:cs="宋体" w:hint="eastAsia"/>
                <w:spacing w:val="28"/>
                <w:szCs w:val="21"/>
              </w:rPr>
              <w:t>四、上级补助收入</w:t>
            </w:r>
          </w:p>
        </w:tc>
        <w:tc>
          <w:tcPr>
            <w:tcW w:w="1205" w:type="dxa"/>
            <w:vAlign w:val="center"/>
          </w:tcPr>
          <w:p w:rsidR="00AB7CBE" w:rsidRPr="00D22CE6" w:rsidRDefault="00AB7CBE">
            <w:pPr>
              <w:spacing w:line="480" w:lineRule="auto"/>
              <w:jc w:val="center"/>
              <w:rPr>
                <w:rFonts w:ascii="宋体" w:hAnsi="宋体" w:cs="宋体"/>
                <w:spacing w:val="28"/>
                <w:szCs w:val="21"/>
              </w:rPr>
            </w:pPr>
          </w:p>
        </w:tc>
        <w:tc>
          <w:tcPr>
            <w:tcW w:w="3115" w:type="dxa"/>
            <w:vAlign w:val="center"/>
          </w:tcPr>
          <w:p w:rsidR="00AB7CBE" w:rsidRPr="00D22CE6" w:rsidRDefault="000B61DF">
            <w:pPr>
              <w:spacing w:line="480" w:lineRule="auto"/>
              <w:rPr>
                <w:rFonts w:ascii="宋体" w:hAnsi="宋体" w:cs="宋体"/>
                <w:spacing w:val="28"/>
                <w:szCs w:val="21"/>
              </w:rPr>
            </w:pPr>
            <w:r w:rsidRPr="00D22CE6">
              <w:rPr>
                <w:rFonts w:ascii="宋体" w:hAnsi="宋体" w:cs="宋体" w:hint="eastAsia"/>
                <w:spacing w:val="28"/>
                <w:szCs w:val="21"/>
              </w:rPr>
              <w:t>三、事业单位经营支出</w:t>
            </w:r>
          </w:p>
        </w:tc>
        <w:tc>
          <w:tcPr>
            <w:tcW w:w="1257" w:type="dxa"/>
            <w:vAlign w:val="center"/>
          </w:tcPr>
          <w:p w:rsidR="00AB7CBE" w:rsidRPr="00D22CE6" w:rsidRDefault="00AB7CBE">
            <w:pPr>
              <w:spacing w:line="480" w:lineRule="auto"/>
              <w:jc w:val="center"/>
              <w:rPr>
                <w:rFonts w:ascii="宋体" w:hAnsi="宋体" w:cs="宋体"/>
                <w:spacing w:val="28"/>
                <w:szCs w:val="21"/>
              </w:rPr>
            </w:pPr>
          </w:p>
        </w:tc>
      </w:tr>
      <w:tr w:rsidR="00AB7CBE" w:rsidRPr="00D22CE6">
        <w:trPr>
          <w:trHeight w:val="1216"/>
        </w:trPr>
        <w:tc>
          <w:tcPr>
            <w:tcW w:w="2982" w:type="dxa"/>
            <w:vAlign w:val="center"/>
          </w:tcPr>
          <w:p w:rsidR="00AB7CBE" w:rsidRPr="00D22CE6" w:rsidRDefault="000B61DF">
            <w:pPr>
              <w:spacing w:line="480" w:lineRule="auto"/>
              <w:rPr>
                <w:rFonts w:ascii="宋体" w:hAnsi="宋体" w:cs="宋体"/>
                <w:spacing w:val="28"/>
                <w:szCs w:val="21"/>
              </w:rPr>
            </w:pPr>
            <w:r w:rsidRPr="00D22CE6">
              <w:rPr>
                <w:rFonts w:ascii="宋体" w:hAnsi="宋体" w:cs="宋体" w:hint="eastAsia"/>
                <w:spacing w:val="28"/>
                <w:szCs w:val="21"/>
              </w:rPr>
              <w:lastRenderedPageBreak/>
              <w:t>五、事业单位经营收入</w:t>
            </w:r>
          </w:p>
        </w:tc>
        <w:tc>
          <w:tcPr>
            <w:tcW w:w="1205" w:type="dxa"/>
            <w:vAlign w:val="center"/>
          </w:tcPr>
          <w:p w:rsidR="00AB7CBE" w:rsidRPr="00D22CE6" w:rsidRDefault="00AB7CBE">
            <w:pPr>
              <w:spacing w:line="480" w:lineRule="auto"/>
              <w:jc w:val="center"/>
              <w:rPr>
                <w:rFonts w:ascii="宋体" w:hAnsi="宋体" w:cs="宋体"/>
                <w:spacing w:val="28"/>
                <w:szCs w:val="21"/>
              </w:rPr>
            </w:pPr>
          </w:p>
        </w:tc>
        <w:tc>
          <w:tcPr>
            <w:tcW w:w="3115" w:type="dxa"/>
            <w:vAlign w:val="center"/>
          </w:tcPr>
          <w:p w:rsidR="00AB7CBE" w:rsidRPr="00D22CE6" w:rsidRDefault="00AB7CBE">
            <w:pPr>
              <w:spacing w:line="480" w:lineRule="auto"/>
              <w:rPr>
                <w:rFonts w:ascii="宋体" w:hAnsi="宋体" w:cs="宋体"/>
                <w:spacing w:val="28"/>
                <w:szCs w:val="21"/>
              </w:rPr>
            </w:pPr>
          </w:p>
        </w:tc>
        <w:tc>
          <w:tcPr>
            <w:tcW w:w="1257" w:type="dxa"/>
            <w:vAlign w:val="center"/>
          </w:tcPr>
          <w:p w:rsidR="00AB7CBE" w:rsidRPr="00D22CE6" w:rsidRDefault="00AB7CBE">
            <w:pPr>
              <w:spacing w:line="480" w:lineRule="auto"/>
              <w:jc w:val="center"/>
              <w:rPr>
                <w:rFonts w:ascii="宋体" w:hAnsi="宋体" w:cs="宋体"/>
                <w:spacing w:val="28"/>
                <w:szCs w:val="21"/>
              </w:rPr>
            </w:pPr>
          </w:p>
        </w:tc>
      </w:tr>
      <w:tr w:rsidR="00AB7CBE" w:rsidRPr="00D22CE6">
        <w:trPr>
          <w:trHeight w:val="613"/>
        </w:trPr>
        <w:tc>
          <w:tcPr>
            <w:tcW w:w="2982" w:type="dxa"/>
            <w:vAlign w:val="center"/>
          </w:tcPr>
          <w:p w:rsidR="00AB7CBE" w:rsidRPr="00D22CE6" w:rsidRDefault="000B61DF">
            <w:pPr>
              <w:spacing w:line="480" w:lineRule="auto"/>
              <w:rPr>
                <w:rFonts w:ascii="宋体" w:hAnsi="宋体" w:cs="宋体"/>
                <w:spacing w:val="28"/>
                <w:szCs w:val="21"/>
              </w:rPr>
            </w:pPr>
            <w:r w:rsidRPr="00D22CE6">
              <w:rPr>
                <w:rFonts w:ascii="宋体" w:hAnsi="宋体" w:cs="宋体" w:hint="eastAsia"/>
                <w:spacing w:val="28"/>
                <w:szCs w:val="21"/>
              </w:rPr>
              <w:t>六、其他收入</w:t>
            </w:r>
          </w:p>
        </w:tc>
        <w:tc>
          <w:tcPr>
            <w:tcW w:w="1205" w:type="dxa"/>
            <w:vAlign w:val="center"/>
          </w:tcPr>
          <w:p w:rsidR="00AB7CBE" w:rsidRPr="00D22CE6" w:rsidRDefault="00AB7CBE">
            <w:pPr>
              <w:spacing w:line="480" w:lineRule="auto"/>
              <w:jc w:val="center"/>
              <w:rPr>
                <w:rFonts w:ascii="宋体" w:hAnsi="宋体" w:cs="宋体"/>
                <w:spacing w:val="28"/>
                <w:szCs w:val="21"/>
              </w:rPr>
            </w:pPr>
          </w:p>
        </w:tc>
        <w:tc>
          <w:tcPr>
            <w:tcW w:w="3115" w:type="dxa"/>
            <w:vAlign w:val="center"/>
          </w:tcPr>
          <w:p w:rsidR="00AB7CBE" w:rsidRPr="00D22CE6" w:rsidRDefault="00AB7CBE">
            <w:pPr>
              <w:spacing w:line="480" w:lineRule="auto"/>
              <w:rPr>
                <w:rFonts w:ascii="宋体" w:hAnsi="宋体" w:cs="宋体"/>
                <w:spacing w:val="28"/>
                <w:szCs w:val="21"/>
              </w:rPr>
            </w:pPr>
          </w:p>
        </w:tc>
        <w:tc>
          <w:tcPr>
            <w:tcW w:w="1257" w:type="dxa"/>
            <w:vAlign w:val="center"/>
          </w:tcPr>
          <w:p w:rsidR="00AB7CBE" w:rsidRPr="00D22CE6" w:rsidRDefault="00AB7CBE">
            <w:pPr>
              <w:spacing w:line="480" w:lineRule="auto"/>
              <w:jc w:val="center"/>
              <w:rPr>
                <w:rFonts w:ascii="宋体" w:hAnsi="宋体" w:cs="宋体"/>
                <w:spacing w:val="28"/>
                <w:szCs w:val="21"/>
              </w:rPr>
            </w:pPr>
          </w:p>
        </w:tc>
      </w:tr>
      <w:tr w:rsidR="00AB7CBE" w:rsidRPr="00D22CE6">
        <w:trPr>
          <w:trHeight w:val="1225"/>
        </w:trPr>
        <w:tc>
          <w:tcPr>
            <w:tcW w:w="2982" w:type="dxa"/>
            <w:vAlign w:val="center"/>
          </w:tcPr>
          <w:p w:rsidR="00AB7CBE" w:rsidRPr="00D22CE6" w:rsidRDefault="000B61DF">
            <w:pPr>
              <w:spacing w:line="480" w:lineRule="auto"/>
              <w:rPr>
                <w:rFonts w:ascii="宋体" w:hAnsi="宋体" w:cs="宋体"/>
                <w:spacing w:val="28"/>
                <w:szCs w:val="21"/>
              </w:rPr>
            </w:pPr>
            <w:r w:rsidRPr="00D22CE6">
              <w:rPr>
                <w:rFonts w:ascii="宋体" w:hAnsi="宋体" w:cs="宋体" w:hint="eastAsia"/>
                <w:spacing w:val="28"/>
                <w:szCs w:val="21"/>
              </w:rPr>
              <w:t>本年收入合计</w:t>
            </w:r>
          </w:p>
        </w:tc>
        <w:tc>
          <w:tcPr>
            <w:tcW w:w="1205"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2608.58</w:t>
            </w:r>
          </w:p>
        </w:tc>
        <w:tc>
          <w:tcPr>
            <w:tcW w:w="3115" w:type="dxa"/>
            <w:vAlign w:val="center"/>
          </w:tcPr>
          <w:p w:rsidR="00AB7CBE" w:rsidRPr="00D22CE6" w:rsidRDefault="000B61DF">
            <w:pPr>
              <w:spacing w:line="480" w:lineRule="auto"/>
              <w:rPr>
                <w:rFonts w:ascii="宋体" w:hAnsi="宋体" w:cs="宋体"/>
                <w:spacing w:val="28"/>
                <w:szCs w:val="21"/>
              </w:rPr>
            </w:pPr>
            <w:r w:rsidRPr="00D22CE6">
              <w:rPr>
                <w:rFonts w:ascii="宋体" w:hAnsi="宋体" w:cs="宋体" w:hint="eastAsia"/>
                <w:spacing w:val="28"/>
                <w:szCs w:val="21"/>
              </w:rPr>
              <w:t>本年支出合计</w:t>
            </w:r>
          </w:p>
        </w:tc>
        <w:tc>
          <w:tcPr>
            <w:tcW w:w="1257"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2608.58</w:t>
            </w:r>
          </w:p>
        </w:tc>
      </w:tr>
    </w:tbl>
    <w:p w:rsidR="00AB7CBE" w:rsidRPr="00D22CE6" w:rsidRDefault="00AB7CBE">
      <w:pPr>
        <w:spacing w:line="480" w:lineRule="auto"/>
        <w:jc w:val="center"/>
        <w:rPr>
          <w:rFonts w:ascii="宋体" w:hAnsi="宋体" w:cs="宋体"/>
          <w:spacing w:val="28"/>
          <w:szCs w:val="21"/>
        </w:rPr>
      </w:pPr>
    </w:p>
    <w:p w:rsidR="00AB7CBE" w:rsidRPr="00D22CE6" w:rsidRDefault="000B61DF" w:rsidP="00DA3E7D">
      <w:pPr>
        <w:spacing w:line="480" w:lineRule="auto"/>
        <w:jc w:val="center"/>
        <w:rPr>
          <w:rFonts w:ascii="宋体" w:hAnsi="宋体" w:cs="宋体"/>
          <w:szCs w:val="21"/>
        </w:rPr>
      </w:pPr>
      <w:proofErr w:type="gramStart"/>
      <w:r w:rsidRPr="00D22CE6">
        <w:rPr>
          <w:rFonts w:ascii="宋体" w:hAnsi="宋体" w:cs="宋体" w:hint="eastAsia"/>
          <w:szCs w:val="21"/>
        </w:rPr>
        <w:t>商洛市</w:t>
      </w:r>
      <w:proofErr w:type="gramEnd"/>
      <w:r w:rsidRPr="00D22CE6">
        <w:rPr>
          <w:rFonts w:ascii="宋体" w:hAnsi="宋体" w:cs="宋体" w:hint="eastAsia"/>
          <w:szCs w:val="21"/>
        </w:rPr>
        <w:t>卫生健康委员会2021年公共预算拨款支出明细表</w:t>
      </w:r>
    </w:p>
    <w:p w:rsidR="00AB7CBE" w:rsidRPr="00D22CE6" w:rsidRDefault="000B61DF">
      <w:pPr>
        <w:spacing w:line="480" w:lineRule="auto"/>
        <w:jc w:val="right"/>
        <w:rPr>
          <w:rFonts w:ascii="宋体" w:hAnsi="宋体" w:cs="宋体"/>
          <w:spacing w:val="28"/>
          <w:szCs w:val="21"/>
        </w:rPr>
      </w:pPr>
      <w:r w:rsidRPr="00D22CE6">
        <w:rPr>
          <w:rFonts w:ascii="宋体" w:hAnsi="宋体" w:cs="宋体" w:hint="eastAsia"/>
          <w:spacing w:val="28"/>
          <w:szCs w:val="21"/>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3145"/>
        <w:gridCol w:w="1387"/>
        <w:gridCol w:w="1388"/>
        <w:gridCol w:w="1388"/>
      </w:tblGrid>
      <w:tr w:rsidR="00AB7CBE" w:rsidRPr="00D22CE6">
        <w:trPr>
          <w:trHeight w:val="410"/>
          <w:jc w:val="center"/>
        </w:trPr>
        <w:tc>
          <w:tcPr>
            <w:tcW w:w="4540" w:type="dxa"/>
            <w:gridSpan w:val="2"/>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支出功能分类</w:t>
            </w:r>
          </w:p>
        </w:tc>
        <w:tc>
          <w:tcPr>
            <w:tcW w:w="4162" w:type="dxa"/>
            <w:gridSpan w:val="3"/>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预  算  数</w:t>
            </w:r>
          </w:p>
        </w:tc>
      </w:tr>
      <w:tr w:rsidR="00AB7CBE" w:rsidRPr="00D22CE6">
        <w:trPr>
          <w:trHeight w:val="411"/>
          <w:jc w:val="center"/>
        </w:trPr>
        <w:tc>
          <w:tcPr>
            <w:tcW w:w="1396"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科目编码</w:t>
            </w:r>
          </w:p>
        </w:tc>
        <w:tc>
          <w:tcPr>
            <w:tcW w:w="3145"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科目名称</w:t>
            </w:r>
          </w:p>
        </w:tc>
        <w:tc>
          <w:tcPr>
            <w:tcW w:w="1387"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合 计</w:t>
            </w:r>
          </w:p>
        </w:tc>
        <w:tc>
          <w:tcPr>
            <w:tcW w:w="1388"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基本支出</w:t>
            </w:r>
          </w:p>
        </w:tc>
        <w:tc>
          <w:tcPr>
            <w:tcW w:w="1388"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项目支出</w:t>
            </w:r>
          </w:p>
        </w:tc>
      </w:tr>
      <w:tr w:rsidR="00AB7CBE" w:rsidRPr="00D22CE6">
        <w:trPr>
          <w:trHeight w:val="410"/>
          <w:jc w:val="center"/>
        </w:trPr>
        <w:tc>
          <w:tcPr>
            <w:tcW w:w="4540" w:type="dxa"/>
            <w:gridSpan w:val="2"/>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合        计</w:t>
            </w:r>
          </w:p>
        </w:tc>
        <w:tc>
          <w:tcPr>
            <w:tcW w:w="1387"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2608.58</w:t>
            </w:r>
          </w:p>
        </w:tc>
        <w:tc>
          <w:tcPr>
            <w:tcW w:w="1388"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2608.58</w:t>
            </w:r>
          </w:p>
        </w:tc>
        <w:tc>
          <w:tcPr>
            <w:tcW w:w="1388" w:type="dxa"/>
            <w:vAlign w:val="center"/>
          </w:tcPr>
          <w:p w:rsidR="00AB7CBE" w:rsidRPr="00D22CE6" w:rsidRDefault="00AB7CBE">
            <w:pPr>
              <w:spacing w:line="480" w:lineRule="auto"/>
              <w:jc w:val="center"/>
              <w:rPr>
                <w:rFonts w:ascii="宋体" w:hAnsi="宋体" w:cs="宋体"/>
                <w:spacing w:val="28"/>
                <w:szCs w:val="21"/>
              </w:rPr>
            </w:pPr>
          </w:p>
        </w:tc>
      </w:tr>
      <w:tr w:rsidR="00AB7CBE" w:rsidRPr="00D22CE6">
        <w:trPr>
          <w:trHeight w:val="411"/>
          <w:jc w:val="center"/>
        </w:trPr>
        <w:tc>
          <w:tcPr>
            <w:tcW w:w="1396"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2100101</w:t>
            </w:r>
          </w:p>
        </w:tc>
        <w:tc>
          <w:tcPr>
            <w:tcW w:w="3145"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行政运行</w:t>
            </w:r>
          </w:p>
        </w:tc>
        <w:tc>
          <w:tcPr>
            <w:tcW w:w="1387" w:type="dxa"/>
            <w:vAlign w:val="center"/>
          </w:tcPr>
          <w:p w:rsidR="00AB7CBE" w:rsidRPr="00D22CE6" w:rsidRDefault="00AB7CBE">
            <w:pPr>
              <w:spacing w:line="480" w:lineRule="auto"/>
              <w:jc w:val="center"/>
              <w:rPr>
                <w:rFonts w:ascii="宋体" w:hAnsi="宋体" w:cs="宋体"/>
                <w:spacing w:val="28"/>
                <w:szCs w:val="21"/>
              </w:rPr>
            </w:pPr>
          </w:p>
        </w:tc>
        <w:tc>
          <w:tcPr>
            <w:tcW w:w="1388"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668.82</w:t>
            </w:r>
          </w:p>
        </w:tc>
        <w:tc>
          <w:tcPr>
            <w:tcW w:w="1388" w:type="dxa"/>
            <w:vAlign w:val="center"/>
          </w:tcPr>
          <w:p w:rsidR="00AB7CBE" w:rsidRPr="00D22CE6" w:rsidRDefault="00AB7CBE">
            <w:pPr>
              <w:spacing w:line="480" w:lineRule="auto"/>
              <w:jc w:val="center"/>
              <w:rPr>
                <w:rFonts w:ascii="宋体" w:hAnsi="宋体" w:cs="宋体"/>
                <w:spacing w:val="28"/>
                <w:szCs w:val="21"/>
              </w:rPr>
            </w:pPr>
          </w:p>
        </w:tc>
      </w:tr>
      <w:tr w:rsidR="00AB7CBE" w:rsidRPr="00D22CE6">
        <w:trPr>
          <w:trHeight w:val="411"/>
          <w:jc w:val="center"/>
        </w:trPr>
        <w:tc>
          <w:tcPr>
            <w:tcW w:w="1396"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2100402</w:t>
            </w:r>
          </w:p>
        </w:tc>
        <w:tc>
          <w:tcPr>
            <w:tcW w:w="3145"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卫生监督</w:t>
            </w:r>
          </w:p>
        </w:tc>
        <w:tc>
          <w:tcPr>
            <w:tcW w:w="1387" w:type="dxa"/>
            <w:vAlign w:val="center"/>
          </w:tcPr>
          <w:p w:rsidR="00AB7CBE" w:rsidRPr="00D22CE6" w:rsidRDefault="00AB7CBE">
            <w:pPr>
              <w:spacing w:line="480" w:lineRule="auto"/>
              <w:jc w:val="center"/>
              <w:rPr>
                <w:rFonts w:ascii="宋体" w:hAnsi="宋体" w:cs="宋体"/>
                <w:spacing w:val="28"/>
                <w:szCs w:val="21"/>
              </w:rPr>
            </w:pPr>
          </w:p>
        </w:tc>
        <w:tc>
          <w:tcPr>
            <w:tcW w:w="1388"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339.79</w:t>
            </w:r>
          </w:p>
        </w:tc>
        <w:tc>
          <w:tcPr>
            <w:tcW w:w="1388" w:type="dxa"/>
            <w:vAlign w:val="center"/>
          </w:tcPr>
          <w:p w:rsidR="00AB7CBE" w:rsidRPr="00D22CE6" w:rsidRDefault="00AB7CBE">
            <w:pPr>
              <w:spacing w:line="480" w:lineRule="auto"/>
              <w:jc w:val="center"/>
              <w:rPr>
                <w:rFonts w:ascii="宋体" w:hAnsi="宋体" w:cs="宋体"/>
                <w:spacing w:val="28"/>
                <w:szCs w:val="21"/>
              </w:rPr>
            </w:pPr>
          </w:p>
        </w:tc>
      </w:tr>
      <w:tr w:rsidR="00AB7CBE" w:rsidRPr="00D22CE6">
        <w:trPr>
          <w:trHeight w:val="411"/>
          <w:jc w:val="center"/>
        </w:trPr>
        <w:tc>
          <w:tcPr>
            <w:tcW w:w="1396"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2100401</w:t>
            </w:r>
          </w:p>
        </w:tc>
        <w:tc>
          <w:tcPr>
            <w:tcW w:w="3145"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疾病预防控制</w:t>
            </w:r>
          </w:p>
        </w:tc>
        <w:tc>
          <w:tcPr>
            <w:tcW w:w="1387" w:type="dxa"/>
            <w:vAlign w:val="center"/>
          </w:tcPr>
          <w:p w:rsidR="00AB7CBE" w:rsidRPr="00D22CE6" w:rsidRDefault="00AB7CBE">
            <w:pPr>
              <w:spacing w:line="480" w:lineRule="auto"/>
              <w:jc w:val="center"/>
              <w:rPr>
                <w:rFonts w:ascii="宋体" w:hAnsi="宋体" w:cs="宋体"/>
                <w:spacing w:val="28"/>
                <w:szCs w:val="21"/>
              </w:rPr>
            </w:pPr>
          </w:p>
        </w:tc>
        <w:tc>
          <w:tcPr>
            <w:tcW w:w="1388"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667.18</w:t>
            </w:r>
          </w:p>
        </w:tc>
        <w:tc>
          <w:tcPr>
            <w:tcW w:w="1388" w:type="dxa"/>
            <w:vAlign w:val="center"/>
          </w:tcPr>
          <w:p w:rsidR="00AB7CBE" w:rsidRPr="00D22CE6" w:rsidRDefault="00AB7CBE">
            <w:pPr>
              <w:spacing w:line="480" w:lineRule="auto"/>
              <w:jc w:val="center"/>
              <w:rPr>
                <w:rFonts w:ascii="宋体" w:hAnsi="宋体" w:cs="宋体"/>
                <w:spacing w:val="28"/>
                <w:szCs w:val="21"/>
              </w:rPr>
            </w:pPr>
          </w:p>
        </w:tc>
      </w:tr>
      <w:tr w:rsidR="00AB7CBE" w:rsidRPr="00D22CE6">
        <w:trPr>
          <w:trHeight w:val="411"/>
          <w:jc w:val="center"/>
        </w:trPr>
        <w:tc>
          <w:tcPr>
            <w:tcW w:w="1396"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2100406</w:t>
            </w:r>
          </w:p>
        </w:tc>
        <w:tc>
          <w:tcPr>
            <w:tcW w:w="3145"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采供血机构</w:t>
            </w:r>
          </w:p>
        </w:tc>
        <w:tc>
          <w:tcPr>
            <w:tcW w:w="1387" w:type="dxa"/>
            <w:vAlign w:val="center"/>
          </w:tcPr>
          <w:p w:rsidR="00AB7CBE" w:rsidRPr="00D22CE6" w:rsidRDefault="00AB7CBE">
            <w:pPr>
              <w:spacing w:line="480" w:lineRule="auto"/>
              <w:jc w:val="center"/>
              <w:rPr>
                <w:rFonts w:ascii="宋体" w:hAnsi="宋体" w:cs="宋体"/>
                <w:spacing w:val="28"/>
                <w:szCs w:val="21"/>
              </w:rPr>
            </w:pPr>
          </w:p>
        </w:tc>
        <w:tc>
          <w:tcPr>
            <w:tcW w:w="1388"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401.79</w:t>
            </w:r>
          </w:p>
        </w:tc>
        <w:tc>
          <w:tcPr>
            <w:tcW w:w="1388" w:type="dxa"/>
            <w:vAlign w:val="center"/>
          </w:tcPr>
          <w:p w:rsidR="00AB7CBE" w:rsidRPr="00D22CE6" w:rsidRDefault="00AB7CBE">
            <w:pPr>
              <w:spacing w:line="480" w:lineRule="auto"/>
              <w:jc w:val="center"/>
              <w:rPr>
                <w:rFonts w:ascii="宋体" w:hAnsi="宋体" w:cs="宋体"/>
                <w:spacing w:val="28"/>
                <w:szCs w:val="21"/>
              </w:rPr>
            </w:pPr>
          </w:p>
        </w:tc>
      </w:tr>
      <w:tr w:rsidR="00AB7CBE" w:rsidRPr="00D22CE6">
        <w:trPr>
          <w:trHeight w:val="411"/>
          <w:jc w:val="center"/>
        </w:trPr>
        <w:tc>
          <w:tcPr>
            <w:tcW w:w="1396"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2100403</w:t>
            </w:r>
          </w:p>
        </w:tc>
        <w:tc>
          <w:tcPr>
            <w:tcW w:w="3145"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妇幼保健</w:t>
            </w:r>
          </w:p>
        </w:tc>
        <w:tc>
          <w:tcPr>
            <w:tcW w:w="1387" w:type="dxa"/>
            <w:vAlign w:val="center"/>
          </w:tcPr>
          <w:p w:rsidR="00AB7CBE" w:rsidRPr="00D22CE6" w:rsidRDefault="00AB7CBE">
            <w:pPr>
              <w:spacing w:line="480" w:lineRule="auto"/>
              <w:jc w:val="center"/>
              <w:rPr>
                <w:rFonts w:ascii="宋体" w:hAnsi="宋体" w:cs="宋体"/>
                <w:spacing w:val="28"/>
                <w:szCs w:val="21"/>
              </w:rPr>
            </w:pPr>
          </w:p>
        </w:tc>
        <w:tc>
          <w:tcPr>
            <w:tcW w:w="1388"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484.69</w:t>
            </w:r>
          </w:p>
        </w:tc>
        <w:tc>
          <w:tcPr>
            <w:tcW w:w="1388" w:type="dxa"/>
            <w:vAlign w:val="center"/>
          </w:tcPr>
          <w:p w:rsidR="00AB7CBE" w:rsidRPr="00D22CE6" w:rsidRDefault="00AB7CBE">
            <w:pPr>
              <w:spacing w:line="480" w:lineRule="auto"/>
              <w:jc w:val="center"/>
              <w:rPr>
                <w:rFonts w:ascii="宋体" w:hAnsi="宋体" w:cs="宋体"/>
                <w:spacing w:val="28"/>
                <w:szCs w:val="21"/>
              </w:rPr>
            </w:pPr>
          </w:p>
        </w:tc>
      </w:tr>
      <w:tr w:rsidR="00AB7CBE" w:rsidRPr="00D22CE6">
        <w:trPr>
          <w:trHeight w:val="411"/>
          <w:jc w:val="center"/>
        </w:trPr>
        <w:tc>
          <w:tcPr>
            <w:tcW w:w="1396"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2100799</w:t>
            </w:r>
          </w:p>
        </w:tc>
        <w:tc>
          <w:tcPr>
            <w:tcW w:w="3145"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其他计划生育事务支出</w:t>
            </w:r>
          </w:p>
        </w:tc>
        <w:tc>
          <w:tcPr>
            <w:tcW w:w="1387" w:type="dxa"/>
            <w:vAlign w:val="center"/>
          </w:tcPr>
          <w:p w:rsidR="00AB7CBE" w:rsidRPr="00D22CE6" w:rsidRDefault="00AB7CBE">
            <w:pPr>
              <w:spacing w:line="480" w:lineRule="auto"/>
              <w:jc w:val="center"/>
              <w:rPr>
                <w:rFonts w:ascii="宋体" w:hAnsi="宋体" w:cs="宋体"/>
                <w:spacing w:val="28"/>
                <w:szCs w:val="21"/>
              </w:rPr>
            </w:pPr>
          </w:p>
        </w:tc>
        <w:tc>
          <w:tcPr>
            <w:tcW w:w="1388"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46.30</w:t>
            </w:r>
          </w:p>
        </w:tc>
        <w:tc>
          <w:tcPr>
            <w:tcW w:w="1388" w:type="dxa"/>
            <w:vAlign w:val="center"/>
          </w:tcPr>
          <w:p w:rsidR="00AB7CBE" w:rsidRPr="00D22CE6" w:rsidRDefault="00AB7CBE">
            <w:pPr>
              <w:spacing w:line="480" w:lineRule="auto"/>
              <w:jc w:val="center"/>
              <w:rPr>
                <w:rFonts w:ascii="宋体" w:hAnsi="宋体" w:cs="宋体"/>
                <w:spacing w:val="28"/>
                <w:szCs w:val="21"/>
              </w:rPr>
            </w:pPr>
          </w:p>
        </w:tc>
      </w:tr>
    </w:tbl>
    <w:p w:rsidR="00AB7CBE" w:rsidRDefault="00AB7CBE">
      <w:pPr>
        <w:spacing w:line="480" w:lineRule="auto"/>
        <w:rPr>
          <w:rFonts w:ascii="宋体" w:hAnsi="宋体" w:cs="宋体"/>
          <w:spacing w:val="28"/>
          <w:szCs w:val="21"/>
        </w:rPr>
      </w:pPr>
    </w:p>
    <w:p w:rsidR="00DA3E7D" w:rsidRPr="00DA3E7D" w:rsidRDefault="00DA3E7D" w:rsidP="00DA3E7D">
      <w:pPr>
        <w:pStyle w:val="a0"/>
      </w:pPr>
    </w:p>
    <w:p w:rsidR="00AB7CBE" w:rsidRPr="00D22CE6" w:rsidRDefault="000B61DF" w:rsidP="00DA3E7D">
      <w:pPr>
        <w:spacing w:line="480" w:lineRule="auto"/>
        <w:jc w:val="center"/>
        <w:rPr>
          <w:rFonts w:ascii="宋体" w:hAnsi="宋体" w:cs="宋体"/>
          <w:spacing w:val="28"/>
          <w:szCs w:val="21"/>
        </w:rPr>
      </w:pPr>
      <w:proofErr w:type="gramStart"/>
      <w:r w:rsidRPr="00D22CE6">
        <w:rPr>
          <w:rFonts w:ascii="宋体" w:hAnsi="宋体" w:cs="宋体" w:hint="eastAsia"/>
          <w:spacing w:val="28"/>
          <w:szCs w:val="21"/>
        </w:rPr>
        <w:t>商洛市</w:t>
      </w:r>
      <w:proofErr w:type="gramEnd"/>
      <w:r w:rsidRPr="00D22CE6">
        <w:rPr>
          <w:rFonts w:ascii="宋体" w:hAnsi="宋体" w:cs="宋体" w:hint="eastAsia"/>
          <w:spacing w:val="28"/>
          <w:szCs w:val="21"/>
        </w:rPr>
        <w:t>卫生健康委员会2021年公共预算拨款</w:t>
      </w:r>
    </w:p>
    <w:p w:rsidR="00AB7CBE" w:rsidRPr="00D22CE6" w:rsidRDefault="000B61DF" w:rsidP="00DA3E7D">
      <w:pPr>
        <w:spacing w:line="480" w:lineRule="auto"/>
        <w:jc w:val="center"/>
        <w:rPr>
          <w:rFonts w:ascii="宋体" w:hAnsi="宋体" w:cs="宋体"/>
          <w:spacing w:val="28"/>
          <w:szCs w:val="21"/>
        </w:rPr>
      </w:pPr>
      <w:r w:rsidRPr="00D22CE6">
        <w:rPr>
          <w:rFonts w:ascii="宋体" w:hAnsi="宋体" w:cs="宋体" w:hint="eastAsia"/>
          <w:spacing w:val="28"/>
          <w:szCs w:val="21"/>
        </w:rPr>
        <w:t>安排的“三公”经费支出明细表</w:t>
      </w:r>
    </w:p>
    <w:p w:rsidR="00AB7CBE" w:rsidRPr="00D22CE6" w:rsidRDefault="000B61DF">
      <w:pPr>
        <w:spacing w:line="480" w:lineRule="auto"/>
        <w:jc w:val="right"/>
        <w:rPr>
          <w:rFonts w:ascii="宋体" w:hAnsi="宋体" w:cs="宋体"/>
          <w:spacing w:val="28"/>
          <w:szCs w:val="21"/>
        </w:rPr>
      </w:pPr>
      <w:r w:rsidRPr="00D22CE6">
        <w:rPr>
          <w:rFonts w:ascii="宋体" w:hAnsi="宋体" w:cs="宋体" w:hint="eastAsia"/>
          <w:spacing w:val="28"/>
          <w:szCs w:val="21"/>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36"/>
        <w:gridCol w:w="1050"/>
        <w:gridCol w:w="977"/>
        <w:gridCol w:w="1207"/>
        <w:gridCol w:w="1234"/>
        <w:gridCol w:w="1875"/>
        <w:gridCol w:w="1131"/>
      </w:tblGrid>
      <w:tr w:rsidR="00AB7CBE" w:rsidRPr="00D22CE6">
        <w:trPr>
          <w:trHeight w:val="542"/>
          <w:jc w:val="center"/>
        </w:trPr>
        <w:tc>
          <w:tcPr>
            <w:tcW w:w="1236" w:type="dxa"/>
            <w:vMerge w:val="restart"/>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lastRenderedPageBreak/>
              <w:t>单位名称</w:t>
            </w:r>
          </w:p>
        </w:tc>
        <w:tc>
          <w:tcPr>
            <w:tcW w:w="1050" w:type="dxa"/>
            <w:vMerge w:val="restart"/>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合计</w:t>
            </w:r>
          </w:p>
        </w:tc>
        <w:tc>
          <w:tcPr>
            <w:tcW w:w="977" w:type="dxa"/>
            <w:vMerge w:val="restart"/>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因公出</w:t>
            </w:r>
          </w:p>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国（境）费</w:t>
            </w:r>
          </w:p>
        </w:tc>
        <w:tc>
          <w:tcPr>
            <w:tcW w:w="4316" w:type="dxa"/>
            <w:gridSpan w:val="3"/>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公务用车购置及运行维护费</w:t>
            </w:r>
          </w:p>
        </w:tc>
        <w:tc>
          <w:tcPr>
            <w:tcW w:w="1131" w:type="dxa"/>
            <w:vMerge w:val="restart"/>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公务接待费</w:t>
            </w:r>
          </w:p>
        </w:tc>
      </w:tr>
      <w:tr w:rsidR="00AB7CBE" w:rsidRPr="00D22CE6">
        <w:trPr>
          <w:trHeight w:val="542"/>
          <w:jc w:val="center"/>
        </w:trPr>
        <w:tc>
          <w:tcPr>
            <w:tcW w:w="1236" w:type="dxa"/>
            <w:vMerge/>
            <w:vAlign w:val="center"/>
          </w:tcPr>
          <w:p w:rsidR="00AB7CBE" w:rsidRPr="00D22CE6" w:rsidRDefault="00AB7CBE">
            <w:pPr>
              <w:spacing w:line="480" w:lineRule="auto"/>
              <w:jc w:val="center"/>
              <w:rPr>
                <w:rFonts w:ascii="宋体" w:hAnsi="宋体" w:cs="宋体"/>
                <w:spacing w:val="28"/>
                <w:szCs w:val="21"/>
              </w:rPr>
            </w:pPr>
          </w:p>
        </w:tc>
        <w:tc>
          <w:tcPr>
            <w:tcW w:w="1050" w:type="dxa"/>
            <w:vMerge/>
            <w:vAlign w:val="center"/>
          </w:tcPr>
          <w:p w:rsidR="00AB7CBE" w:rsidRPr="00D22CE6" w:rsidRDefault="00AB7CBE">
            <w:pPr>
              <w:spacing w:line="480" w:lineRule="auto"/>
              <w:jc w:val="center"/>
              <w:rPr>
                <w:rFonts w:ascii="宋体" w:hAnsi="宋体" w:cs="宋体"/>
                <w:spacing w:val="28"/>
                <w:szCs w:val="21"/>
              </w:rPr>
            </w:pPr>
          </w:p>
        </w:tc>
        <w:tc>
          <w:tcPr>
            <w:tcW w:w="977" w:type="dxa"/>
            <w:vMerge/>
            <w:vAlign w:val="center"/>
          </w:tcPr>
          <w:p w:rsidR="00AB7CBE" w:rsidRPr="00D22CE6" w:rsidRDefault="00AB7CBE">
            <w:pPr>
              <w:spacing w:line="480" w:lineRule="auto"/>
              <w:jc w:val="center"/>
              <w:rPr>
                <w:rFonts w:ascii="宋体" w:hAnsi="宋体" w:cs="宋体"/>
                <w:spacing w:val="28"/>
                <w:szCs w:val="21"/>
              </w:rPr>
            </w:pPr>
          </w:p>
        </w:tc>
        <w:tc>
          <w:tcPr>
            <w:tcW w:w="1207"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小计</w:t>
            </w:r>
          </w:p>
        </w:tc>
        <w:tc>
          <w:tcPr>
            <w:tcW w:w="1234"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公务用车购置费</w:t>
            </w:r>
          </w:p>
        </w:tc>
        <w:tc>
          <w:tcPr>
            <w:tcW w:w="1875"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公务用车运行</w:t>
            </w:r>
          </w:p>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维护费</w:t>
            </w:r>
          </w:p>
        </w:tc>
        <w:tc>
          <w:tcPr>
            <w:tcW w:w="1131" w:type="dxa"/>
            <w:vMerge/>
            <w:vAlign w:val="center"/>
          </w:tcPr>
          <w:p w:rsidR="00AB7CBE" w:rsidRPr="00D22CE6" w:rsidRDefault="00AB7CBE">
            <w:pPr>
              <w:spacing w:line="480" w:lineRule="auto"/>
              <w:jc w:val="center"/>
              <w:rPr>
                <w:rFonts w:ascii="宋体" w:hAnsi="宋体" w:cs="宋体"/>
                <w:spacing w:val="28"/>
                <w:szCs w:val="21"/>
              </w:rPr>
            </w:pPr>
          </w:p>
        </w:tc>
      </w:tr>
      <w:tr w:rsidR="00AB7CBE" w:rsidRPr="00D22CE6">
        <w:trPr>
          <w:trHeight w:val="543"/>
          <w:jc w:val="center"/>
        </w:trPr>
        <w:tc>
          <w:tcPr>
            <w:tcW w:w="1236"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市卫健委</w:t>
            </w:r>
          </w:p>
        </w:tc>
        <w:tc>
          <w:tcPr>
            <w:tcW w:w="1050"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19.74</w:t>
            </w:r>
          </w:p>
        </w:tc>
        <w:tc>
          <w:tcPr>
            <w:tcW w:w="977" w:type="dxa"/>
            <w:vAlign w:val="center"/>
          </w:tcPr>
          <w:p w:rsidR="00AB7CBE" w:rsidRPr="00D22CE6" w:rsidRDefault="00AB7CBE">
            <w:pPr>
              <w:spacing w:line="480" w:lineRule="auto"/>
              <w:jc w:val="center"/>
              <w:rPr>
                <w:rFonts w:ascii="宋体" w:hAnsi="宋体" w:cs="宋体"/>
                <w:spacing w:val="28"/>
                <w:szCs w:val="21"/>
              </w:rPr>
            </w:pPr>
          </w:p>
        </w:tc>
        <w:tc>
          <w:tcPr>
            <w:tcW w:w="1207" w:type="dxa"/>
            <w:vAlign w:val="center"/>
          </w:tcPr>
          <w:p w:rsidR="00AB7CBE" w:rsidRPr="00D22CE6" w:rsidRDefault="00AB7CBE">
            <w:pPr>
              <w:spacing w:line="480" w:lineRule="auto"/>
              <w:jc w:val="center"/>
              <w:rPr>
                <w:rFonts w:ascii="宋体" w:hAnsi="宋体" w:cs="宋体"/>
                <w:spacing w:val="28"/>
                <w:szCs w:val="21"/>
              </w:rPr>
            </w:pPr>
          </w:p>
        </w:tc>
        <w:tc>
          <w:tcPr>
            <w:tcW w:w="1234" w:type="dxa"/>
            <w:vAlign w:val="center"/>
          </w:tcPr>
          <w:p w:rsidR="00AB7CBE" w:rsidRPr="00D22CE6" w:rsidRDefault="00AB7CBE">
            <w:pPr>
              <w:spacing w:line="480" w:lineRule="auto"/>
              <w:jc w:val="center"/>
              <w:rPr>
                <w:rFonts w:ascii="宋体" w:hAnsi="宋体" w:cs="宋体"/>
                <w:spacing w:val="28"/>
                <w:szCs w:val="21"/>
              </w:rPr>
            </w:pPr>
          </w:p>
        </w:tc>
        <w:tc>
          <w:tcPr>
            <w:tcW w:w="1875"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15</w:t>
            </w:r>
          </w:p>
        </w:tc>
        <w:tc>
          <w:tcPr>
            <w:tcW w:w="1131" w:type="dxa"/>
            <w:vAlign w:val="center"/>
          </w:tcPr>
          <w:p w:rsidR="00AB7CBE" w:rsidRPr="00D22CE6" w:rsidRDefault="000B61DF">
            <w:pPr>
              <w:spacing w:line="480" w:lineRule="auto"/>
              <w:jc w:val="center"/>
              <w:rPr>
                <w:rFonts w:ascii="宋体" w:hAnsi="宋体" w:cs="宋体"/>
                <w:spacing w:val="28"/>
                <w:szCs w:val="21"/>
              </w:rPr>
            </w:pPr>
            <w:r w:rsidRPr="00D22CE6">
              <w:rPr>
                <w:rFonts w:ascii="宋体" w:hAnsi="宋体" w:cs="宋体" w:hint="eastAsia"/>
                <w:spacing w:val="28"/>
                <w:szCs w:val="21"/>
              </w:rPr>
              <w:t>4.74</w:t>
            </w:r>
          </w:p>
        </w:tc>
      </w:tr>
    </w:tbl>
    <w:p w:rsidR="00AB7CBE" w:rsidRPr="00D22CE6" w:rsidRDefault="00AB7CBE">
      <w:pPr>
        <w:rPr>
          <w:rFonts w:ascii="宋体" w:hAnsi="宋体" w:cs="宋体"/>
          <w:spacing w:val="28"/>
          <w:szCs w:val="21"/>
        </w:rPr>
      </w:pPr>
    </w:p>
    <w:sectPr w:rsidR="00AB7CBE" w:rsidRPr="00D22CE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88D" w:rsidRDefault="0096188D" w:rsidP="00D22CE6">
      <w:r>
        <w:separator/>
      </w:r>
    </w:p>
  </w:endnote>
  <w:endnote w:type="continuationSeparator" w:id="0">
    <w:p w:rsidR="0096188D" w:rsidRDefault="0096188D" w:rsidP="00D2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88D" w:rsidRDefault="0096188D" w:rsidP="00D22CE6">
      <w:r>
        <w:separator/>
      </w:r>
    </w:p>
  </w:footnote>
  <w:footnote w:type="continuationSeparator" w:id="0">
    <w:p w:rsidR="0096188D" w:rsidRDefault="0096188D" w:rsidP="00D22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8409A6"/>
    <w:multiLevelType w:val="singleLevel"/>
    <w:tmpl w:val="878409A6"/>
    <w:lvl w:ilvl="0">
      <w:start w:val="4"/>
      <w:numFmt w:val="chineseCounting"/>
      <w:suff w:val="nothing"/>
      <w:lvlText w:val="%1、"/>
      <w:lvlJc w:val="left"/>
      <w:rPr>
        <w:rFonts w:hint="eastAsia"/>
      </w:rPr>
    </w:lvl>
  </w:abstractNum>
  <w:abstractNum w:abstractNumId="1">
    <w:nsid w:val="8E81C33D"/>
    <w:multiLevelType w:val="singleLevel"/>
    <w:tmpl w:val="8E81C33D"/>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CBE"/>
    <w:rsid w:val="000B61DF"/>
    <w:rsid w:val="004003EA"/>
    <w:rsid w:val="0096188D"/>
    <w:rsid w:val="00AB7CBE"/>
    <w:rsid w:val="00D22CE6"/>
    <w:rsid w:val="00DA3E7D"/>
    <w:rsid w:val="0A2102F8"/>
    <w:rsid w:val="124D4AFD"/>
    <w:rsid w:val="153A6EFA"/>
    <w:rsid w:val="16BA46A3"/>
    <w:rsid w:val="18ED54E4"/>
    <w:rsid w:val="1946074B"/>
    <w:rsid w:val="1C190E8A"/>
    <w:rsid w:val="2E387FC9"/>
    <w:rsid w:val="32E4094C"/>
    <w:rsid w:val="33C91685"/>
    <w:rsid w:val="380D0ABC"/>
    <w:rsid w:val="41FF3FE6"/>
    <w:rsid w:val="4BBF3166"/>
    <w:rsid w:val="5A2D00FE"/>
    <w:rsid w:val="5E0A1811"/>
    <w:rsid w:val="65A64B31"/>
    <w:rsid w:val="69420D98"/>
    <w:rsid w:val="6AEB6AC5"/>
    <w:rsid w:val="712F547A"/>
    <w:rsid w:val="75FE0F71"/>
    <w:rsid w:val="7C924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cs="黑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8"/>
    <w:qFormat/>
    <w:pPr>
      <w:spacing w:before="100" w:beforeAutospacing="1"/>
    </w:pPr>
  </w:style>
  <w:style w:type="paragraph" w:styleId="8">
    <w:name w:val="index 8"/>
    <w:basedOn w:val="a"/>
    <w:next w:val="a"/>
    <w:uiPriority w:val="99"/>
    <w:unhideWhenUsed/>
    <w:qFormat/>
    <w:pPr>
      <w:ind w:leftChars="1400" w:left="1400"/>
    </w:pPr>
  </w:style>
  <w:style w:type="paragraph" w:styleId="a4">
    <w:name w:val="header"/>
    <w:basedOn w:val="a"/>
    <w:link w:val="Char"/>
    <w:rsid w:val="00D22C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D22CE6"/>
    <w:rPr>
      <w:rFonts w:cs="黑体"/>
      <w:kern w:val="2"/>
      <w:sz w:val="18"/>
      <w:szCs w:val="18"/>
    </w:rPr>
  </w:style>
  <w:style w:type="paragraph" w:styleId="a5">
    <w:name w:val="footer"/>
    <w:basedOn w:val="a"/>
    <w:link w:val="Char0"/>
    <w:rsid w:val="00D22CE6"/>
    <w:pPr>
      <w:tabs>
        <w:tab w:val="center" w:pos="4153"/>
        <w:tab w:val="right" w:pos="8306"/>
      </w:tabs>
      <w:snapToGrid w:val="0"/>
      <w:jc w:val="left"/>
    </w:pPr>
    <w:rPr>
      <w:sz w:val="18"/>
      <w:szCs w:val="18"/>
    </w:rPr>
  </w:style>
  <w:style w:type="character" w:customStyle="1" w:styleId="Char0">
    <w:name w:val="页脚 Char"/>
    <w:basedOn w:val="a1"/>
    <w:link w:val="a5"/>
    <w:rsid w:val="00D22CE6"/>
    <w:rPr>
      <w:rFonts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cs="黑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8"/>
    <w:qFormat/>
    <w:pPr>
      <w:spacing w:before="100" w:beforeAutospacing="1"/>
    </w:pPr>
  </w:style>
  <w:style w:type="paragraph" w:styleId="8">
    <w:name w:val="index 8"/>
    <w:basedOn w:val="a"/>
    <w:next w:val="a"/>
    <w:uiPriority w:val="99"/>
    <w:unhideWhenUsed/>
    <w:qFormat/>
    <w:pPr>
      <w:ind w:leftChars="1400" w:left="1400"/>
    </w:pPr>
  </w:style>
  <w:style w:type="paragraph" w:styleId="a4">
    <w:name w:val="header"/>
    <w:basedOn w:val="a"/>
    <w:link w:val="Char"/>
    <w:rsid w:val="00D22C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D22CE6"/>
    <w:rPr>
      <w:rFonts w:cs="黑体"/>
      <w:kern w:val="2"/>
      <w:sz w:val="18"/>
      <w:szCs w:val="18"/>
    </w:rPr>
  </w:style>
  <w:style w:type="paragraph" w:styleId="a5">
    <w:name w:val="footer"/>
    <w:basedOn w:val="a"/>
    <w:link w:val="Char0"/>
    <w:rsid w:val="00D22CE6"/>
    <w:pPr>
      <w:tabs>
        <w:tab w:val="center" w:pos="4153"/>
        <w:tab w:val="right" w:pos="8306"/>
      </w:tabs>
      <w:snapToGrid w:val="0"/>
      <w:jc w:val="left"/>
    </w:pPr>
    <w:rPr>
      <w:sz w:val="18"/>
      <w:szCs w:val="18"/>
    </w:rPr>
  </w:style>
  <w:style w:type="character" w:customStyle="1" w:styleId="Char0">
    <w:name w:val="页脚 Char"/>
    <w:basedOn w:val="a1"/>
    <w:link w:val="a5"/>
    <w:rsid w:val="00D22CE6"/>
    <w:rPr>
      <w:rFonts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838</Words>
  <Characters>4779</Characters>
  <Application>Microsoft Office Word</Application>
  <DocSecurity>0</DocSecurity>
  <Lines>39</Lines>
  <Paragraphs>11</Paragraphs>
  <ScaleCrop>false</ScaleCrop>
  <Company>xt256.com</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用户卫生健康委员会</cp:lastModifiedBy>
  <cp:revision>2</cp:revision>
  <cp:lastPrinted>2021-01-21T02:33:00Z</cp:lastPrinted>
  <dcterms:created xsi:type="dcterms:W3CDTF">2021-05-09T15:48:00Z</dcterms:created>
  <dcterms:modified xsi:type="dcterms:W3CDTF">2021-05-09T15:48:00Z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