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商洛市卫生健康委员会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sz w:val="32"/>
          <w:szCs w:val="32"/>
        </w:rPr>
        <w:t>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sz w:val="32"/>
          <w:szCs w:val="32"/>
        </w:rPr>
        <w:t>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1" w:afterLines="1500"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依据部门三定方案，</w:t>
      </w:r>
      <w:r>
        <w:rPr>
          <w:rFonts w:hint="eastAsia" w:ascii="仿宋" w:hAnsi="仿宋" w:eastAsia="仿宋" w:cs="仿宋"/>
          <w:sz w:val="32"/>
          <w:szCs w:val="32"/>
        </w:rPr>
        <w:t>根据省委办公厅、省政府办公厅《关干印发(商洛市机构改革方案〉的通知》(陕办字(2019) 32号)精神，设立市卫生健康委员会，为市政府工作部门，正县级规各。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2019年度根据本级机构改革方案，撤销</w:t>
      </w:r>
      <w:r>
        <w:rPr>
          <w:rFonts w:hint="eastAsia" w:ascii="仿宋" w:hAnsi="仿宋" w:eastAsia="仿宋" w:cs="仿宋"/>
          <w:sz w:val="32"/>
          <w:szCs w:val="32"/>
        </w:rPr>
        <w:t>市爱国卫生运动委员会办公室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建制，其职责划转整合至卫生健康委员会本级。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市卫生健康委员会主要职责：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党中央关于卫生健康工作的方针政策和决策部署，全面落实省委、市委工作要求，始终坚持党对卫生健康工作的集中统一领导，注重预防为主和健康促进、注重工作重心下移和资源下沉、注重提高服务质量和水平，深化医药卫生体制改革，树立大卫生、大健康理念，努力为人民群众提供全方位全周期健康服务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贯彻卫生健康工作的法律法规和政策规定，组织拟订全市国民健康政策，协调推进健康商洛战略实施:拟订全市卫生健康规划和政策措施，组织实施卫生健康地方标准和技术规范:统筹规划全市卫生健康资源配置;指导区域卫生健康规划编制和实施:负责卫生健康信息化建设，依法组织实施统计调查:制定并组织实施推进卫生健康基本公共服务均等化、普惠化、便捷化和公共资源向基层延伸等政策措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二)贯彻落实中、省关于深化医药卫生体制改革重大方针政策，研究提出全市深化医药卫生体制改革重大政策、措施的建议，协调推进全市深化医药卫生体制改革;名织深化公立医院综合改革，健全现代医院管理制度，制定并实施推动卫生健康公共服务提供主体多元化、方式多样化的政策措施，提出全市药品和医疗服务价格政策的建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(三)制定并组织落实全市疾病预防控制现划、免疫规划及严重危害人民健康公共卫生问题的干预措施;负责卫生应急工作，组织指导全市突发公共卫生事件的预防控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</w:t>
      </w:r>
      <w:r>
        <w:rPr>
          <w:rFonts w:hint="eastAsia" w:ascii="仿宋" w:hAnsi="仿宋" w:eastAsia="仿宋" w:cs="仿宋"/>
          <w:sz w:val="32"/>
          <w:szCs w:val="32"/>
        </w:rPr>
        <w:t>和各类突发公共事件的医疗卫生救援;发布法定报告传染病疫情信息、突发公共卫生事件应急处置信息。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(四)组织实施并协调落实应对人口老龄七政策措施;负责推进全市老年健康服务体系建设和医养结合工作，推动老龄事业和产业发展，促进医疗与旅游、体育、食品和工联网等行业深度融合。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(五)组织实施国家基本药物制度，贯彻执行国家药物政策、国家药品法典和国家基本药物目录，开展药品走用监测、临床综合评价和短缺药品预警，提出基本药物生产鼓励扶持政策建议。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负责落实职贵范围内的职业卫生、射卫生、环境卫生、学校卫生、公共场所卫生、饮用水卫生管理的规范标准和政策措施:负责传染病防治监督，建立健全卫生健康综合监督体系:组织实施食品安全风险监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)负责对全市医疗机构、医疗服务行业的日常监管:建立健全医疗服务评价和监督管理体系:会同有关部门贯彻执行卫生健康专业技术人员资格准入标准;制定全市医疗机构及其医疗服务、医疗技术、医疗质量、医疗安全以及采供血机构管理的规范、标准和卫生健康专业技术人员执业规则、服务规范并组织实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(八)贯彻落实计划生育政策，负责计划生育管理和服务工作，开展人口监测预警，研究提出人口与家庭发展相关政策建议，制定优生优育和提高出生人口素质的政策措施并组织实施。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(九)拟订并组织实施全市基层卫生健康服务、妇幼健康发展规划和政策措施，指导基层医疗卫生、妇幼健康服务体系建设;建立健全基层卫生健康机构运行新机制和乡村医生管理制度。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组织拟订全市卫生健康人才发展和科技发展规划，指导卫生健康人才队伍建设，推进卫生健康科技创新发展;协同指导院校医学教育工作，会同有关部门开展国家住院医师、专科医A师和全科医生规范化培训等毕业后医学教育和继续医学教育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(十一)负责卫生健康宣传、健康教育、健康促进等工作;根据中、省要求，组织卫生健康对外交流合作与卫生援外工作。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(十二）</w:t>
      </w:r>
      <w:r>
        <w:rPr>
          <w:rFonts w:hint="eastAsia" w:ascii="仿宋" w:hAnsi="仿宋" w:eastAsia="仿宋" w:cs="仿宋"/>
          <w:sz w:val="32"/>
          <w:szCs w:val="32"/>
        </w:rPr>
        <w:t>贯彻落实国家中医药事业发展政策、法规，指导全市中医药医疗、科研、教育和中西医结合、中医药健康服务等工作;组织实施全市各类中医医疗、保健等机构的管理规范和技术标准;贯彻执行中药材炮制、调剂、临床使用等管理规范、技术标准并推广应用，参与拟订中药产业发展规划和产业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(十三)负责本行业领域的安全生产监督管理工作。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指导市计划生育协会业务工作。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(十五)完成市委、市政府交办的其他任务。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、13个内设机构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规划科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法规科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疾病预防控制科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医政医管科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基层卫生健康科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中医药管理科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老龄健康科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妇幼健康和家庭发展科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职业健康科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健康促进科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人事教育科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党委办公室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640" w:leftChars="20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、委属委管单位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strike w:val="0"/>
          <w:color w:val="auto"/>
          <w:position w:val="-1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商洛市疾病预防控制中心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商洛市卫生计生监督执法支队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商洛市中心血站、商洛市妇幼保健计划生育服务中心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position w:val="-1"/>
          <w:sz w:val="32"/>
          <w:szCs w:val="32"/>
          <w:u w:val="none"/>
        </w:rPr>
        <w:t>商洛市计划生育协会</w:t>
      </w: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position w:val="-1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position w:val="-1"/>
          <w:sz w:val="32"/>
          <w:szCs w:val="32"/>
          <w:u w:val="none"/>
          <w:lang w:val="en-US" w:eastAsia="zh-CN"/>
        </w:rPr>
        <w:t>商洛市中心医院；商洛市中医医院；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position w:val="-1"/>
          <w:sz w:val="32"/>
          <w:szCs w:val="32"/>
          <w:u w:val="none"/>
        </w:rPr>
        <w:t>商洛国际医学中心医院有限公司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position w:val="-1"/>
          <w:sz w:val="32"/>
          <w:szCs w:val="32"/>
          <w:u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二、2020年度部门工作任务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认真学习贯彻党的十九大精神和十九大提出的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“实施健康中国战略”新要求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坚持以习近平新时代中国特色社会主义思想为指导，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结合习近平总书记来陕重要讲话精神，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准对接人民群众健康需求，补短板、强弱项，持续深化医改、改善医疗服务水平、实施健康扶贫工程，加强基层医疗卫生服务体系建设和疾病防控工作，深入开展爱国卫生运动，传承发展中医药事业，大力发展健康产业，改革完善计划生育服务管理，促进卫生计生事业更加平稳更加充分发展，不断增强人民群众的获得幸福感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全市孕产妇死亡率控制在20/10万以内，婴儿死亡率控制在8‰以内，人口自增率控制在6.6‰以内，城乡居民参保率达到98%以上，为三个商洛建设提供良好的健康支撑和人口保障。重点抓好以下六方面工作。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一是加大医改工作力度。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扎实推进公立医院改革试点市建设，全面深化公立医院改革。推进实施新农合市级统筹，全面实现就医异地结算。巩固完善分级诊疗制度，确保实现90%的病人在县域内就诊的目标。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二是加强计划生育工作。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加大督导考核力度，确保人口计划圆满完成。综合治理出生人口性别比，确保趋于正常范围。深入推进流动人口卫生计生服务均等化。深化幸福家庭创建，积极推进健康养老工作。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三是强化公共卫生服务。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深化国家卫生城市创建工作，力争通过省级验收。加强疾病预防控制，做好卫生应急处置工作。强化公共卫生项目实施质量，加大卫计综合监督执法。全力做好妇幼健康服务项目，提高妇幼健康水平。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四是提升医疗服务质量。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深入开展提升医疗服务质量行动计划，完善医疗服务质量管理控制评价体系，推行医师多点执业管理，不断提高群众对医疗卫生的满意度。巩固提高国家基层中医药示范县建设成果，大力发展中医药事业。</w:t>
      </w:r>
    </w:p>
    <w:p>
      <w:pPr>
        <w:pBdr>
          <w:bottom w:val="single" w:color="FFFFFF" w:sz="4" w:space="31"/>
        </w:pBdr>
        <w:tabs>
          <w:tab w:val="left" w:pos="0"/>
        </w:tabs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五是加快基层基础建设。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完成县镇卫生计生技术服务机构整合工作。加快市中心医院改扩建项目建设，创三甲顺利通过验收。建成市级卫生信息平台，全面投入运行。加大基层服务体系建设力度，提高镇村医疗服务能力。</w:t>
      </w:r>
    </w:p>
    <w:p>
      <w:pPr>
        <w:pBdr>
          <w:bottom w:val="single" w:color="FFFFFF" w:sz="4" w:space="31"/>
        </w:pBdr>
        <w:tabs>
          <w:tab w:val="left" w:pos="0"/>
        </w:tabs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六是扎实开展健康扶贫工作。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确保贫困人口100%参加新农合、100%参加大病保险、政策知晓率达到100%、县域内就医“一站式”即时结算达到100%。实施“三个一批”分类救治、扎实开展疾病预防控制八大行动，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严格控制非合规费用。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三、部门预算单位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从预算单位构成看，本部门的部门预算包括部门本级（机关）预算和所属事业单位预算。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纳入本部门2020年部门预算编制范围的二级预算单位共有10个,包括（见单位明细表）：</w:t>
      </w:r>
    </w:p>
    <w:tbl>
      <w:tblPr>
        <w:tblStyle w:val="3"/>
        <w:tblW w:w="12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792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25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noWrap w:val="0"/>
            <w:vAlign w:val="top"/>
          </w:tcPr>
          <w:p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25" w:type="dxa"/>
            <w:noWrap w:val="0"/>
            <w:vAlign w:val="top"/>
          </w:tcPr>
          <w:p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商洛市卫生健康委员会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2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商洛市疾病预防控制中心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3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商洛市卫生计生监督执法支队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4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商洛市中心血站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5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商洛市妇幼保健计生服务中心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6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商洛市爱国卫生运动委员会办公室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firstLine="723" w:firstLineChars="300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机构撤并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7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商洛市计划生育协会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8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商洛市中医医院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9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商洛市中心医院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480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10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szCs w:val="24"/>
                <w:u w:val="none"/>
              </w:rPr>
              <w:t>商洛国际医学中心医院有限公司</w:t>
            </w:r>
          </w:p>
        </w:tc>
        <w:tc>
          <w:tcPr>
            <w:shd w:val="clear" w:color="auto" w:fill="auto"/>
            <w:vAlign w:val="top"/>
          </w:tcPr>
          <w:p>
            <w:pPr>
              <w:pageBreakBefore w:val="0"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四、部门人员情况说明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截止2019年底，本部门人员编制414人，其中行政编制29人、事业编制385人；实有人员194人，其中行政36人、事业104人。单位管理的离退休人员79人。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0" distR="0">
            <wp:extent cx="4133850" cy="1363345"/>
            <wp:effectExtent l="0" t="0" r="0" b="8255"/>
            <wp:docPr id="2" name="图片2" descr="测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" descr="测试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五、2020年部门预算收支说明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（一）收支预算总体情况。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本部门所有收入和支出均纳入部门预算管理。2020年本部门预算收入3404.57万元，其中一般公共预算拨款收入3404.57万元，政府性基金拨款收入0.00万元，事业收入收入0.00万元，实户资金余额（2019年年底非财政性资金）收入0.00万元，事业单位经营收入收入0.00万元，附属单位上缴收入收入0.00万元，其他自有资金收入0.00万元，上年结转收入0.00万元，2020年本部门预算收入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增加1143.30万元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预算支出3404.57万元，其中一般公共预算拨款支出3404.57万元，政府性基金拨款支出0.00万元，事业收入支出0.00万元，实户资金余额（2019年年底非财政性资金）支出0.00万元，事业单位经营收入支出0.00万元，附属单位上缴收入支出0.00万元，其他自有资金支出0.00万元，上年结转支出0.00万元，2020年本部门预算支出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增加1143.30万元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（二）财政拨款收支情况。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2020年本部门财政拨款收入3404.57万元，其中一般公共预算拨款收入3404.57万元，2020年本部门财政拨款收入较上年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增加1143.30万元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2020年本部门财政拨款支出3404.57万元，其中一般公共预算拨款支出3404.57万元，2020年本部门财政拨款支出较上年增加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1143.30万元，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（三）一般公共预算拨款支出明细情况。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1、一般公共预算当年拨款规模变化情况。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2020年本部门当年一般公共预算拨款支出3404.57万元，较上年增加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1143.30万元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2、支出按功能科目分类的明细情况。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本部门2020年当年一般公共预算支出3404.57万元，其中：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（1）培训支出（2050803）5.00万元。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（2）行政运行（2080101）11.06万元。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（3）归口管理的行政单位离退休（2080501）0.75万元。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（4）事业单位离退休（2080502）2.76万元。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（5）机关事业单位基本养老保险缴费支出（2080505）30.46万元。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（6）行政运行（2100101）612.96万元，较上年增加29.40万元，原因是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人员增加，工资福利增加。</w:t>
      </w:r>
    </w:p>
    <w:p>
      <w:pPr>
        <w:autoSpaceDE w:val="0"/>
        <w:autoSpaceDN w:val="0"/>
        <w:adjustRightInd w:val="0"/>
        <w:snapToGrid w:val="0"/>
        <w:spacing w:line="360" w:lineRule="auto"/>
        <w:ind w:left="320" w:leftChars="10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（7）综合医院（2100201）690.00万元。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（8）中医（民族）医院（2100202）220.00万元。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（9）疾病预防控制机构（2100401）641.08万元，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较上年增加36.51万元，原因是人员增加，工资福利增加。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（10）卫生监督机构（2100402）286.89万元，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较上年增加0.19万元，原因是人员增加，工资福利增加。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（11）妇幼保健机构（2100403）514.25万元，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较上年增加165.15万元，原因是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预算中扣回了因明确人员财政供养性质而多拨的经费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（12）采供血机构（2100406）343.50万元，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较上年减少5.8万元，原因是人员减少，工资福利减少。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（13）其他计划生育事务支出（2100799）45.86万元，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较上年减少0.81万元，原因是在职工作人员退休。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3、支出按经济科目分类的明细情况。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（1）按照部门预算支出经济分类的类级科目说明。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2020年本部门当年一般公共预算支出3404.57万元，其中：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工资福利支出（301）2235.79万元，较上年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增加167.51万元，原因是人员增加，工资福利增加。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商品和服务支出（302）1154.39万元，较上年增加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975.57万元，原因是部门经济科目名称增加，统计口径发生变化。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对个人和家庭的补助（303）14.39万元，较上年增加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0.22万元，原因是离退休人员增加。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（2）按照政府预算支出经济分类的类级科目说明。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2020年本部门当年一般公共预算支出3404.57万元，其中：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机关工资福利支出（501）544.63万元，较上年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减少1523.65万元，原因是科目分类衔接、减少部分计入新科目。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机关商品和服务支出（502）72.46万元，较上年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减少106.36万元，原因是科目分类衔接、减少部分计入新科目。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对事业单位经常性补助（505）2773.09万元。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对个人和家庭的补助（509）14.39万元，较上年增加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0.22万元，原因是离退休人员增加。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4、2019年结转财政资金一般公共预算拨款支出情况。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本部门无2019年结转的一般公共预算拨款资金支出。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本部门无当年政府性基金预算收支，并已公开空表。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本部门无2019年结转的政府性基金预算拨款支出。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2020年本部门当年无国有资本经营预算拨款收支。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本部门无2019年结转的国有资本经营预算拨款支出。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其他说明情况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六、部门预算“三公”经费等预算情况说明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2020年本部门当年一般公共预算“三公”经费预算支出20.52万元，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较上年增加7.17万元（53.7%）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增加的主要原因是二级预算单位经费增加；其中：2019年和2020年，本部门无因公出国（境）经费预算；公务接待费5.52万元，较上年增加0.73万元（15.29%），增加的主要原因是二级预算单位经费增加；公务用车运行费15.00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较上年增加4.5万元（42.8%），增加的主要原因是医疗卫生单位人员学习培训增加。2019年和2020年，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本部门无公务用车购置费经费预算。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2020年本部门当年一般公共预算安排会议费支出5.00万元，较上年增加3.00万元（150.00%），增加的主要原因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是卫生健康专业技术人员培训类项目增多，专业要求高，培训量大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2020年本部门当年一般公共预算安排培训费支出5.00万元，较上年增加3.50万元（233.33%），增加的主要原因是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卫生健康专业技术人员培训类项目增多，专业要求高，培训量大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本部门无2019年结转的财政拨款“三公”经费支出。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本部门无2019年结转的财政拨款会议费支出，本部门无2019年结转的财政拨款培训费支出。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截止2019年底，本部门所属预算单位共有车辆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辆，单价20万元以上的设备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台（套）。2020年当年部门预算安排购置车辆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辆；安排购置单价20万元以上的设备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本部门无2019年结转的财政拨款支出资产购置。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本部门2020年无政府采购预算，并已公开空表。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本部门无2019年结转的政府采购资金支出。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2020年本部门绩效目标管理全覆盖，涉及当年一般公共预算拨款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3404.57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当年无政府性基金预算拨款。当年无国有资本经营预算拨款（详见公开报表中的绩效目标表）。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2020年，本部门2019年结转的财政拨款支出继续实施绩效目标管理。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本部门当年机关运行经费预算安排1095.99万元，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较上年增加973.75万元，主要原因是统计口径发生变化。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本部门无2019年结转的财政拨款机关运行经费支出。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: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第四部分  公开报表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（见附件2内容）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9E4C7"/>
    <w:multiLevelType w:val="singleLevel"/>
    <w:tmpl w:val="8F19E4C7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D56F9002"/>
    <w:multiLevelType w:val="singleLevel"/>
    <w:tmpl w:val="D56F9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E6C44D9"/>
    <w:multiLevelType w:val="singleLevel"/>
    <w:tmpl w:val="0E6C44D9"/>
    <w:lvl w:ilvl="0" w:tentative="0">
      <w:start w:val="1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00C"/>
    <w:rsid w:val="00817C7C"/>
    <w:rsid w:val="00BE50DA"/>
    <w:rsid w:val="00CE11C6"/>
    <w:rsid w:val="00E57791"/>
    <w:rsid w:val="00F13B71"/>
    <w:rsid w:val="00F86BD8"/>
    <w:rsid w:val="015358A1"/>
    <w:rsid w:val="0169037A"/>
    <w:rsid w:val="019A37DB"/>
    <w:rsid w:val="01DF2BB7"/>
    <w:rsid w:val="01ED29DF"/>
    <w:rsid w:val="0209026D"/>
    <w:rsid w:val="025830ED"/>
    <w:rsid w:val="02B21136"/>
    <w:rsid w:val="02E940E4"/>
    <w:rsid w:val="03295794"/>
    <w:rsid w:val="03347010"/>
    <w:rsid w:val="037844EB"/>
    <w:rsid w:val="037B747C"/>
    <w:rsid w:val="038216FB"/>
    <w:rsid w:val="03AC5C73"/>
    <w:rsid w:val="03C51AA4"/>
    <w:rsid w:val="03EF5845"/>
    <w:rsid w:val="03F03CCE"/>
    <w:rsid w:val="040E08A0"/>
    <w:rsid w:val="042123E7"/>
    <w:rsid w:val="04671024"/>
    <w:rsid w:val="050C7A05"/>
    <w:rsid w:val="05A6512B"/>
    <w:rsid w:val="063A2179"/>
    <w:rsid w:val="06535650"/>
    <w:rsid w:val="06555A5A"/>
    <w:rsid w:val="0753082F"/>
    <w:rsid w:val="07600B39"/>
    <w:rsid w:val="07632917"/>
    <w:rsid w:val="07956EB7"/>
    <w:rsid w:val="0877497F"/>
    <w:rsid w:val="08AC10A9"/>
    <w:rsid w:val="08DA2EA3"/>
    <w:rsid w:val="092F4832"/>
    <w:rsid w:val="097F3883"/>
    <w:rsid w:val="09821A03"/>
    <w:rsid w:val="09856A73"/>
    <w:rsid w:val="098D20CF"/>
    <w:rsid w:val="0A391333"/>
    <w:rsid w:val="0A793600"/>
    <w:rsid w:val="0AA50E2F"/>
    <w:rsid w:val="0AA6727C"/>
    <w:rsid w:val="0AC05463"/>
    <w:rsid w:val="0AD97118"/>
    <w:rsid w:val="0AEE1997"/>
    <w:rsid w:val="0B0259FF"/>
    <w:rsid w:val="0B035A2D"/>
    <w:rsid w:val="0B115838"/>
    <w:rsid w:val="0B420AEA"/>
    <w:rsid w:val="0B4F75D8"/>
    <w:rsid w:val="0B5F5101"/>
    <w:rsid w:val="0BBF2E48"/>
    <w:rsid w:val="0BC70C0A"/>
    <w:rsid w:val="0BC817E1"/>
    <w:rsid w:val="0BCE6852"/>
    <w:rsid w:val="0BEA54A6"/>
    <w:rsid w:val="0C284A48"/>
    <w:rsid w:val="0C3D305A"/>
    <w:rsid w:val="0C454AE1"/>
    <w:rsid w:val="0CB963C1"/>
    <w:rsid w:val="0CE1552E"/>
    <w:rsid w:val="0D247F78"/>
    <w:rsid w:val="0D2E4E0F"/>
    <w:rsid w:val="0D3C0CD1"/>
    <w:rsid w:val="0D6161C0"/>
    <w:rsid w:val="0DEB13DD"/>
    <w:rsid w:val="0E0C1122"/>
    <w:rsid w:val="0E5942D3"/>
    <w:rsid w:val="0E797AC2"/>
    <w:rsid w:val="0E7B41E7"/>
    <w:rsid w:val="0EA83E98"/>
    <w:rsid w:val="0F081333"/>
    <w:rsid w:val="0F1008A4"/>
    <w:rsid w:val="0F1B056F"/>
    <w:rsid w:val="0F5138A5"/>
    <w:rsid w:val="0F566B52"/>
    <w:rsid w:val="0FEC0C91"/>
    <w:rsid w:val="0FF5179F"/>
    <w:rsid w:val="10205949"/>
    <w:rsid w:val="10883F67"/>
    <w:rsid w:val="10946959"/>
    <w:rsid w:val="11471180"/>
    <w:rsid w:val="118A09AF"/>
    <w:rsid w:val="11B3097A"/>
    <w:rsid w:val="11C346FF"/>
    <w:rsid w:val="11F0044E"/>
    <w:rsid w:val="12082FE5"/>
    <w:rsid w:val="129E1223"/>
    <w:rsid w:val="12B7265B"/>
    <w:rsid w:val="12F8536A"/>
    <w:rsid w:val="135107D4"/>
    <w:rsid w:val="1373204D"/>
    <w:rsid w:val="13C723C5"/>
    <w:rsid w:val="13E75309"/>
    <w:rsid w:val="1416199A"/>
    <w:rsid w:val="141D1F80"/>
    <w:rsid w:val="14A35726"/>
    <w:rsid w:val="14EB0271"/>
    <w:rsid w:val="151F6E6D"/>
    <w:rsid w:val="153935D8"/>
    <w:rsid w:val="15406C1B"/>
    <w:rsid w:val="154F1B9F"/>
    <w:rsid w:val="15B95A59"/>
    <w:rsid w:val="15C8778C"/>
    <w:rsid w:val="16150B7E"/>
    <w:rsid w:val="16264D1F"/>
    <w:rsid w:val="16BB0A11"/>
    <w:rsid w:val="16D75838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E02592"/>
    <w:rsid w:val="1B0165C9"/>
    <w:rsid w:val="1B092C9F"/>
    <w:rsid w:val="1B332B6A"/>
    <w:rsid w:val="1B5A5061"/>
    <w:rsid w:val="1B8E63BA"/>
    <w:rsid w:val="1BC933DC"/>
    <w:rsid w:val="1C097D46"/>
    <w:rsid w:val="1C320E66"/>
    <w:rsid w:val="1C5A1287"/>
    <w:rsid w:val="1CB164B9"/>
    <w:rsid w:val="1D02380A"/>
    <w:rsid w:val="1D142ECC"/>
    <w:rsid w:val="1E1C144B"/>
    <w:rsid w:val="1E48774E"/>
    <w:rsid w:val="1E6B3FC4"/>
    <w:rsid w:val="1E6E3B40"/>
    <w:rsid w:val="1EA123DE"/>
    <w:rsid w:val="1EA50D3B"/>
    <w:rsid w:val="1EC4727D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494F43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47A88"/>
    <w:rsid w:val="23773224"/>
    <w:rsid w:val="237C370A"/>
    <w:rsid w:val="23B3277C"/>
    <w:rsid w:val="23B9674A"/>
    <w:rsid w:val="242B3817"/>
    <w:rsid w:val="246D21D5"/>
    <w:rsid w:val="24733F80"/>
    <w:rsid w:val="24812B91"/>
    <w:rsid w:val="24BD2F2C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9A71AD"/>
    <w:rsid w:val="28B974D7"/>
    <w:rsid w:val="28CD2EC6"/>
    <w:rsid w:val="28CE1906"/>
    <w:rsid w:val="293F54B0"/>
    <w:rsid w:val="295B103C"/>
    <w:rsid w:val="29995172"/>
    <w:rsid w:val="29AC1283"/>
    <w:rsid w:val="29D53111"/>
    <w:rsid w:val="2A323E30"/>
    <w:rsid w:val="2AA47CD5"/>
    <w:rsid w:val="2ADC1299"/>
    <w:rsid w:val="2AE757FB"/>
    <w:rsid w:val="2BD81239"/>
    <w:rsid w:val="2BE56461"/>
    <w:rsid w:val="2BE75DCA"/>
    <w:rsid w:val="2BF85692"/>
    <w:rsid w:val="2C0256C6"/>
    <w:rsid w:val="2C250277"/>
    <w:rsid w:val="2C522B76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78141B"/>
    <w:rsid w:val="30AF76EF"/>
    <w:rsid w:val="30DC78E7"/>
    <w:rsid w:val="31DB385B"/>
    <w:rsid w:val="31DD756F"/>
    <w:rsid w:val="322466F2"/>
    <w:rsid w:val="322B447F"/>
    <w:rsid w:val="32A8762A"/>
    <w:rsid w:val="32F94833"/>
    <w:rsid w:val="33011313"/>
    <w:rsid w:val="337E2856"/>
    <w:rsid w:val="33966C57"/>
    <w:rsid w:val="33BD3A79"/>
    <w:rsid w:val="33D0750F"/>
    <w:rsid w:val="33EC2CEC"/>
    <w:rsid w:val="342F5C51"/>
    <w:rsid w:val="343F1D23"/>
    <w:rsid w:val="346F2A37"/>
    <w:rsid w:val="34CB18E3"/>
    <w:rsid w:val="353360CA"/>
    <w:rsid w:val="35A1470C"/>
    <w:rsid w:val="35C423A1"/>
    <w:rsid w:val="35FC1049"/>
    <w:rsid w:val="36130651"/>
    <w:rsid w:val="36256A03"/>
    <w:rsid w:val="36384582"/>
    <w:rsid w:val="366D5ED8"/>
    <w:rsid w:val="36B9684B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622C1A"/>
    <w:rsid w:val="39627F3F"/>
    <w:rsid w:val="39D04A2E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BD256C5"/>
    <w:rsid w:val="3C4D288E"/>
    <w:rsid w:val="3C9F3019"/>
    <w:rsid w:val="3CCF4230"/>
    <w:rsid w:val="3CD8486C"/>
    <w:rsid w:val="3D5247A3"/>
    <w:rsid w:val="3D807DA6"/>
    <w:rsid w:val="3DC7716C"/>
    <w:rsid w:val="3E2D6F7B"/>
    <w:rsid w:val="3E8C59E9"/>
    <w:rsid w:val="3EA143D4"/>
    <w:rsid w:val="3EA47316"/>
    <w:rsid w:val="3EA97755"/>
    <w:rsid w:val="3F093323"/>
    <w:rsid w:val="3F6712E4"/>
    <w:rsid w:val="3F8C0E17"/>
    <w:rsid w:val="3FAF3CF4"/>
    <w:rsid w:val="40302CD6"/>
    <w:rsid w:val="40453022"/>
    <w:rsid w:val="406D7247"/>
    <w:rsid w:val="408664C0"/>
    <w:rsid w:val="40D04B21"/>
    <w:rsid w:val="411A51CB"/>
    <w:rsid w:val="415C72B5"/>
    <w:rsid w:val="41772DBC"/>
    <w:rsid w:val="419817D0"/>
    <w:rsid w:val="41A526D8"/>
    <w:rsid w:val="41E9687E"/>
    <w:rsid w:val="41EB27B6"/>
    <w:rsid w:val="424E670D"/>
    <w:rsid w:val="42BD2DEB"/>
    <w:rsid w:val="431C5459"/>
    <w:rsid w:val="43DD3308"/>
    <w:rsid w:val="43E0261A"/>
    <w:rsid w:val="43FE04A3"/>
    <w:rsid w:val="44002448"/>
    <w:rsid w:val="44541F37"/>
    <w:rsid w:val="44555C84"/>
    <w:rsid w:val="44FC03BC"/>
    <w:rsid w:val="45036889"/>
    <w:rsid w:val="45251B69"/>
    <w:rsid w:val="45332FC5"/>
    <w:rsid w:val="456152FB"/>
    <w:rsid w:val="45FB56EA"/>
    <w:rsid w:val="464C4E80"/>
    <w:rsid w:val="466C4C60"/>
    <w:rsid w:val="467E4E58"/>
    <w:rsid w:val="46EF2A42"/>
    <w:rsid w:val="477A0D44"/>
    <w:rsid w:val="47B133BF"/>
    <w:rsid w:val="482439FF"/>
    <w:rsid w:val="484E10F7"/>
    <w:rsid w:val="485A4E13"/>
    <w:rsid w:val="48915554"/>
    <w:rsid w:val="490F3BE0"/>
    <w:rsid w:val="49246520"/>
    <w:rsid w:val="49266E60"/>
    <w:rsid w:val="4928263A"/>
    <w:rsid w:val="49346E1F"/>
    <w:rsid w:val="494C5C3E"/>
    <w:rsid w:val="4974267F"/>
    <w:rsid w:val="498507CF"/>
    <w:rsid w:val="49C71BF8"/>
    <w:rsid w:val="49DB1DA7"/>
    <w:rsid w:val="49DC7D87"/>
    <w:rsid w:val="49EA7890"/>
    <w:rsid w:val="4A2E50B4"/>
    <w:rsid w:val="4A4E15BF"/>
    <w:rsid w:val="4A737AF5"/>
    <w:rsid w:val="4AFE0340"/>
    <w:rsid w:val="4B3F51E4"/>
    <w:rsid w:val="4B657062"/>
    <w:rsid w:val="4B850273"/>
    <w:rsid w:val="4C026A6E"/>
    <w:rsid w:val="4C283ECA"/>
    <w:rsid w:val="4C6858B3"/>
    <w:rsid w:val="4CA115D6"/>
    <w:rsid w:val="4D2B0CA3"/>
    <w:rsid w:val="4D5A3931"/>
    <w:rsid w:val="4D6B28A0"/>
    <w:rsid w:val="4D9A1F51"/>
    <w:rsid w:val="4DD1134A"/>
    <w:rsid w:val="4DE84C9C"/>
    <w:rsid w:val="4DFE1F86"/>
    <w:rsid w:val="4E124242"/>
    <w:rsid w:val="4E2504EC"/>
    <w:rsid w:val="4E840476"/>
    <w:rsid w:val="4F310148"/>
    <w:rsid w:val="4F3E246B"/>
    <w:rsid w:val="4F717496"/>
    <w:rsid w:val="4FC65972"/>
    <w:rsid w:val="502C52CD"/>
    <w:rsid w:val="50946C81"/>
    <w:rsid w:val="512131A2"/>
    <w:rsid w:val="51470A03"/>
    <w:rsid w:val="516A4FB3"/>
    <w:rsid w:val="51CB40DC"/>
    <w:rsid w:val="51F65B1F"/>
    <w:rsid w:val="520A79B5"/>
    <w:rsid w:val="521A4417"/>
    <w:rsid w:val="52CC56D8"/>
    <w:rsid w:val="52EA27FA"/>
    <w:rsid w:val="5311421D"/>
    <w:rsid w:val="5324287B"/>
    <w:rsid w:val="532E19FB"/>
    <w:rsid w:val="533327CB"/>
    <w:rsid w:val="534D15B8"/>
    <w:rsid w:val="537B4E7C"/>
    <w:rsid w:val="53952C3A"/>
    <w:rsid w:val="53AD583D"/>
    <w:rsid w:val="53B061D9"/>
    <w:rsid w:val="53BC61C6"/>
    <w:rsid w:val="53DD1C7A"/>
    <w:rsid w:val="542C550B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62E6199"/>
    <w:rsid w:val="56623216"/>
    <w:rsid w:val="571A21A1"/>
    <w:rsid w:val="57221542"/>
    <w:rsid w:val="57654D9E"/>
    <w:rsid w:val="57943388"/>
    <w:rsid w:val="579A73D0"/>
    <w:rsid w:val="57DE5F38"/>
    <w:rsid w:val="582A051D"/>
    <w:rsid w:val="58365A33"/>
    <w:rsid w:val="58474568"/>
    <w:rsid w:val="586D2470"/>
    <w:rsid w:val="58782A3A"/>
    <w:rsid w:val="58D041BE"/>
    <w:rsid w:val="58D7523F"/>
    <w:rsid w:val="59403102"/>
    <w:rsid w:val="595953B2"/>
    <w:rsid w:val="59866C4D"/>
    <w:rsid w:val="5A2E77B0"/>
    <w:rsid w:val="5A680DB8"/>
    <w:rsid w:val="5A8F6603"/>
    <w:rsid w:val="5BA5743E"/>
    <w:rsid w:val="5C144EDC"/>
    <w:rsid w:val="5C41710B"/>
    <w:rsid w:val="5CBB387E"/>
    <w:rsid w:val="5D3A3A85"/>
    <w:rsid w:val="5D8F3C4F"/>
    <w:rsid w:val="5DFF123C"/>
    <w:rsid w:val="5E551EEB"/>
    <w:rsid w:val="5EA17F54"/>
    <w:rsid w:val="5EC657DB"/>
    <w:rsid w:val="5EC76337"/>
    <w:rsid w:val="5F6003E6"/>
    <w:rsid w:val="5F6647E2"/>
    <w:rsid w:val="5FA95A4A"/>
    <w:rsid w:val="60406BEA"/>
    <w:rsid w:val="605474EF"/>
    <w:rsid w:val="60CA4AE0"/>
    <w:rsid w:val="61156B4C"/>
    <w:rsid w:val="61841E7C"/>
    <w:rsid w:val="61B34AA8"/>
    <w:rsid w:val="62086986"/>
    <w:rsid w:val="62086EF2"/>
    <w:rsid w:val="62115B05"/>
    <w:rsid w:val="6264243B"/>
    <w:rsid w:val="6290516E"/>
    <w:rsid w:val="62B820F9"/>
    <w:rsid w:val="632E70DC"/>
    <w:rsid w:val="63BE25E3"/>
    <w:rsid w:val="640B356D"/>
    <w:rsid w:val="640D4B52"/>
    <w:rsid w:val="645901DB"/>
    <w:rsid w:val="646F76DC"/>
    <w:rsid w:val="6471725A"/>
    <w:rsid w:val="64E14BAA"/>
    <w:rsid w:val="655B2797"/>
    <w:rsid w:val="65642D7B"/>
    <w:rsid w:val="65715A32"/>
    <w:rsid w:val="65965E56"/>
    <w:rsid w:val="659F6980"/>
    <w:rsid w:val="65F51D9D"/>
    <w:rsid w:val="6631039F"/>
    <w:rsid w:val="663F4DEA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9381D28"/>
    <w:rsid w:val="693910EF"/>
    <w:rsid w:val="69404562"/>
    <w:rsid w:val="694A7017"/>
    <w:rsid w:val="6959071D"/>
    <w:rsid w:val="698B6E8E"/>
    <w:rsid w:val="699B7E66"/>
    <w:rsid w:val="69E353EA"/>
    <w:rsid w:val="6A280AEF"/>
    <w:rsid w:val="6A5228EE"/>
    <w:rsid w:val="6A5D4D68"/>
    <w:rsid w:val="6B0E0D59"/>
    <w:rsid w:val="6B5C3B33"/>
    <w:rsid w:val="6B6E57AE"/>
    <w:rsid w:val="6BE5385D"/>
    <w:rsid w:val="6BF71691"/>
    <w:rsid w:val="6C0C625C"/>
    <w:rsid w:val="6C6B29CE"/>
    <w:rsid w:val="6C944F20"/>
    <w:rsid w:val="6CC658B0"/>
    <w:rsid w:val="6D273C74"/>
    <w:rsid w:val="6D9C4121"/>
    <w:rsid w:val="6DCA4784"/>
    <w:rsid w:val="6DCB1BF8"/>
    <w:rsid w:val="6DD71A20"/>
    <w:rsid w:val="6DED05E8"/>
    <w:rsid w:val="6DFF6B64"/>
    <w:rsid w:val="6E332639"/>
    <w:rsid w:val="6E536520"/>
    <w:rsid w:val="6E770F59"/>
    <w:rsid w:val="6EB34273"/>
    <w:rsid w:val="6ED520EB"/>
    <w:rsid w:val="6F0C0727"/>
    <w:rsid w:val="6F137CCD"/>
    <w:rsid w:val="6F2067D0"/>
    <w:rsid w:val="6F333079"/>
    <w:rsid w:val="6F5813C5"/>
    <w:rsid w:val="6F5D54F1"/>
    <w:rsid w:val="6F5D7B72"/>
    <w:rsid w:val="6F883E6F"/>
    <w:rsid w:val="6FAA6EAC"/>
    <w:rsid w:val="6FBF1A0F"/>
    <w:rsid w:val="6FD32D62"/>
    <w:rsid w:val="6FDE0859"/>
    <w:rsid w:val="706D2E53"/>
    <w:rsid w:val="70717DA5"/>
    <w:rsid w:val="70E6284C"/>
    <w:rsid w:val="71381C3F"/>
    <w:rsid w:val="71501558"/>
    <w:rsid w:val="716040E9"/>
    <w:rsid w:val="71A75E98"/>
    <w:rsid w:val="72043BFE"/>
    <w:rsid w:val="721826BF"/>
    <w:rsid w:val="729B1B20"/>
    <w:rsid w:val="72CF38C3"/>
    <w:rsid w:val="72CF73F3"/>
    <w:rsid w:val="73A500E4"/>
    <w:rsid w:val="73E41056"/>
    <w:rsid w:val="742F7DF6"/>
    <w:rsid w:val="74512ED0"/>
    <w:rsid w:val="74A27CCB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84592D"/>
    <w:rsid w:val="77D14F5D"/>
    <w:rsid w:val="77DB6EAD"/>
    <w:rsid w:val="781311E0"/>
    <w:rsid w:val="7823277B"/>
    <w:rsid w:val="786A2290"/>
    <w:rsid w:val="789720A1"/>
    <w:rsid w:val="78DF4171"/>
    <w:rsid w:val="793F1A7F"/>
    <w:rsid w:val="7A263AD8"/>
    <w:rsid w:val="7A3E4BD3"/>
    <w:rsid w:val="7A9B5F68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460C63"/>
    <w:rsid w:val="7D6804B0"/>
    <w:rsid w:val="7DB912A3"/>
    <w:rsid w:val="7E1F6BF0"/>
    <w:rsid w:val="7E3967A0"/>
    <w:rsid w:val="7E3D6351"/>
    <w:rsid w:val="7EAD188A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2019-11-29T08:56:00Z</dcterms:created>
  <dc:creator>郭超(拟稿)</dc:creator>
  <lastModifiedBy>jh</lastModifiedBy>
  <dcterms:modified xsi:type="dcterms:W3CDTF">2020-07-21T14:01:44Z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