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仿宋_GB2312" w:eastAsia="仿宋_GB2312" w:cs="仿宋_GB2312"/>
          <w:kern w:val="0"/>
          <w:sz w:val="32"/>
          <w:szCs w:val="32"/>
        </w:rPr>
      </w:pPr>
      <w:bookmarkStart w:id="0" w:name="_GoBack"/>
      <w:bookmarkEnd w:id="0"/>
    </w:p>
    <w:p>
      <w:pPr>
        <w:widowControl/>
        <w:adjustRightInd w:val="0"/>
        <w:snapToGrid w:val="0"/>
        <w:spacing w:after="200"/>
        <w:jc w:val="center"/>
        <w:rPr>
          <w:rFonts w:ascii="黑体" w:hAnsi="黑体" w:eastAsia="黑体" w:cstheme="minorBidi"/>
          <w:kern w:val="0"/>
          <w:sz w:val="36"/>
          <w:szCs w:val="36"/>
        </w:rPr>
      </w:pPr>
      <w:r>
        <w:rPr>
          <w:rFonts w:hint="eastAsia" w:ascii="黑体" w:hAnsi="黑体" w:eastAsia="黑体" w:cs="黑体"/>
          <w:kern w:val="0"/>
          <w:sz w:val="36"/>
          <w:szCs w:val="36"/>
        </w:rPr>
        <w:t>商洛市疾病预防控制中心</w:t>
      </w:r>
    </w:p>
    <w:p>
      <w:pPr>
        <w:widowControl/>
        <w:adjustRightInd w:val="0"/>
        <w:snapToGrid w:val="0"/>
        <w:spacing w:after="200"/>
        <w:jc w:val="center"/>
        <w:rPr>
          <w:rFonts w:ascii="黑体" w:hAnsi="黑体" w:eastAsia="黑体" w:cstheme="minorBidi"/>
          <w:kern w:val="0"/>
          <w:sz w:val="36"/>
          <w:szCs w:val="36"/>
        </w:rPr>
      </w:pPr>
      <w:r>
        <w:rPr>
          <w:rFonts w:hint="eastAsia" w:ascii="黑体" w:hAnsi="黑体" w:eastAsia="黑体" w:cs="黑体"/>
          <w:kern w:val="0"/>
          <w:sz w:val="36"/>
          <w:szCs w:val="36"/>
        </w:rPr>
        <w:t>2023年单位预算公开说明</w:t>
      </w:r>
    </w:p>
    <w:p>
      <w:pPr>
        <w:widowControl/>
        <w:adjustRightInd w:val="0"/>
        <w:snapToGrid w:val="0"/>
        <w:spacing w:after="200"/>
        <w:jc w:val="left"/>
        <w:rPr>
          <w:rFonts w:ascii="Tahoma" w:hAnsi="Tahoma" w:eastAsia="微软雅黑" w:cstheme="minorBidi"/>
          <w:kern w:val="0"/>
          <w:sz w:val="22"/>
          <w:szCs w:val="22"/>
        </w:rPr>
      </w:pPr>
    </w:p>
    <w:p>
      <w:pPr>
        <w:widowControl/>
        <w:adjustRightInd w:val="0"/>
        <w:snapToGrid w:val="0"/>
        <w:spacing w:after="200"/>
        <w:jc w:val="center"/>
        <w:rPr>
          <w:rFonts w:ascii="Tahoma" w:hAnsi="Tahoma" w:eastAsia="微软雅黑" w:cstheme="minorBidi"/>
          <w:kern w:val="0"/>
          <w:sz w:val="36"/>
          <w:szCs w:val="36"/>
        </w:rPr>
      </w:pPr>
      <w:r>
        <w:rPr>
          <w:rFonts w:hint="eastAsia" w:ascii="Tahoma" w:hAnsi="Tahoma" w:eastAsia="微软雅黑" w:cstheme="minorBidi"/>
          <w:b/>
          <w:bCs/>
          <w:kern w:val="0"/>
          <w:sz w:val="36"/>
          <w:szCs w:val="36"/>
        </w:rPr>
        <w:t>目录</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b/>
          <w:bCs/>
          <w:kern w:val="0"/>
          <w:sz w:val="32"/>
          <w:szCs w:val="32"/>
        </w:rPr>
        <w:t>第一部分 单位概况</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kern w:val="0"/>
          <w:sz w:val="32"/>
          <w:szCs w:val="32"/>
        </w:rPr>
        <w:t>一、主要职责及机构设置</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kern w:val="0"/>
          <w:sz w:val="32"/>
          <w:szCs w:val="32"/>
        </w:rPr>
        <w:t>二、工作任务</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kern w:val="0"/>
          <w:sz w:val="32"/>
          <w:szCs w:val="32"/>
        </w:rPr>
        <w:t>三、人员情况说明</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b/>
          <w:bCs/>
          <w:kern w:val="0"/>
          <w:sz w:val="32"/>
          <w:szCs w:val="32"/>
        </w:rPr>
        <w:t>第二部分 收支情况</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kern w:val="0"/>
          <w:sz w:val="32"/>
          <w:szCs w:val="32"/>
        </w:rPr>
        <w:t>四、收支说明</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b/>
          <w:bCs/>
          <w:kern w:val="0"/>
          <w:sz w:val="32"/>
          <w:szCs w:val="32"/>
        </w:rPr>
        <w:t>第三部分  其他情况</w:t>
      </w:r>
    </w:p>
    <w:p>
      <w:pPr>
        <w:widowControl/>
        <w:adjustRightInd w:val="0"/>
        <w:snapToGrid w:val="0"/>
        <w:spacing w:after="200"/>
        <w:jc w:val="left"/>
        <w:rPr>
          <w:rFonts w:ascii="宋体" w:hAnsi="宋体" w:eastAsia="微软雅黑" w:cs="宋体"/>
          <w:kern w:val="0"/>
          <w:sz w:val="32"/>
          <w:szCs w:val="32"/>
          <w:u w:val="single"/>
        </w:rPr>
      </w:pPr>
      <w:r>
        <w:rPr>
          <w:rFonts w:hint="eastAsia" w:ascii="宋体" w:hAnsi="宋体" w:cs="宋体"/>
          <w:kern w:val="0"/>
          <w:sz w:val="32"/>
          <w:szCs w:val="32"/>
        </w:rPr>
        <w:t>五、“三公”经费及会议费、培训费情况说明</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kern w:val="0"/>
          <w:sz w:val="32"/>
          <w:szCs w:val="32"/>
        </w:rPr>
        <w:t>六、国有资产占有使用及资产购置情况说明</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kern w:val="0"/>
          <w:sz w:val="32"/>
          <w:szCs w:val="32"/>
        </w:rPr>
        <w:t>七、政府采购情况说明</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kern w:val="0"/>
          <w:sz w:val="32"/>
          <w:szCs w:val="32"/>
        </w:rPr>
        <w:t>八、绩效目标说明</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kern w:val="0"/>
          <w:sz w:val="32"/>
          <w:szCs w:val="32"/>
        </w:rPr>
        <w:t>九、公用经费情况说明</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kern w:val="0"/>
          <w:sz w:val="32"/>
          <w:szCs w:val="32"/>
        </w:rPr>
        <w:t>十、专业名词解释</w:t>
      </w:r>
    </w:p>
    <w:p>
      <w:pPr>
        <w:widowControl/>
        <w:adjustRightInd w:val="0"/>
        <w:snapToGrid w:val="0"/>
        <w:spacing w:after="200"/>
        <w:jc w:val="left"/>
        <w:rPr>
          <w:rFonts w:ascii="宋体" w:hAnsi="宋体" w:eastAsia="微软雅黑" w:cs="宋体"/>
          <w:b/>
          <w:bCs/>
          <w:kern w:val="0"/>
          <w:sz w:val="32"/>
          <w:szCs w:val="32"/>
        </w:rPr>
      </w:pPr>
      <w:r>
        <w:rPr>
          <w:rFonts w:hint="eastAsia" w:ascii="宋体" w:hAnsi="宋体" w:cs="宋体"/>
          <w:b/>
          <w:bCs/>
          <w:kern w:val="0"/>
          <w:sz w:val="32"/>
          <w:szCs w:val="32"/>
        </w:rPr>
        <w:t>第四部分  公开报表</w:t>
      </w:r>
    </w:p>
    <w:p>
      <w:pPr>
        <w:widowControl/>
        <w:adjustRightInd w:val="0"/>
        <w:snapToGrid w:val="0"/>
        <w:spacing w:after="200"/>
        <w:jc w:val="left"/>
        <w:rPr>
          <w:rFonts w:ascii="宋体" w:hAnsi="宋体" w:eastAsia="微软雅黑" w:cs="宋体"/>
          <w:kern w:val="0"/>
          <w:sz w:val="32"/>
          <w:szCs w:val="32"/>
        </w:rPr>
      </w:pPr>
      <w:r>
        <w:rPr>
          <w:rFonts w:hint="eastAsia" w:ascii="宋体" w:hAnsi="宋体" w:cs="宋体"/>
          <w:kern w:val="0"/>
          <w:sz w:val="32"/>
          <w:szCs w:val="32"/>
        </w:rPr>
        <w:t>（具体预算公开报表）</w:t>
      </w:r>
    </w:p>
    <w:p>
      <w:pPr>
        <w:spacing w:line="500" w:lineRule="exact"/>
        <w:jc w:val="center"/>
        <w:rPr>
          <w:rFonts w:eastAsia="方正小标宋简体" w:cs="宋体" w:asciiTheme="minorHAnsi" w:hAnsiTheme="minorHAnsi"/>
          <w:sz w:val="36"/>
          <w:szCs w:val="36"/>
        </w:rPr>
      </w:pPr>
    </w:p>
    <w:p>
      <w:pPr>
        <w:spacing w:line="500" w:lineRule="exact"/>
        <w:jc w:val="center"/>
        <w:rPr>
          <w:rFonts w:eastAsia="方正小标宋简体" w:cs="宋体" w:asciiTheme="minorHAnsi" w:hAnsiTheme="minorHAnsi"/>
          <w:sz w:val="36"/>
          <w:szCs w:val="36"/>
        </w:rPr>
      </w:pPr>
    </w:p>
    <w:p>
      <w:pPr>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 xml:space="preserve">     </w:t>
      </w:r>
    </w:p>
    <w:p>
      <w:pPr>
        <w:jc w:val="center"/>
        <w:rPr>
          <w:rFonts w:ascii="宋体" w:hAnsi="宋体" w:cs="宋体"/>
          <w:b/>
          <w:bCs/>
          <w:sz w:val="32"/>
          <w:szCs w:val="32"/>
        </w:rPr>
      </w:pPr>
      <w:r>
        <w:rPr>
          <w:rFonts w:hint="eastAsia" w:ascii="宋体" w:hAnsi="宋体" w:cs="宋体"/>
          <w:b/>
          <w:bCs/>
          <w:sz w:val="32"/>
          <w:szCs w:val="32"/>
        </w:rPr>
        <w:t>第一部分  单位概况</w:t>
      </w:r>
    </w:p>
    <w:p>
      <w:pPr>
        <w:spacing w:line="560" w:lineRule="exact"/>
        <w:ind w:firstLine="619" w:firstLineChars="200"/>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一、主要职责及机构设置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洛市疾病预防控制中心是在原商洛市卫生防疫站基础上，于2003年9月分设组建的专业公共卫生机构，属一类公益事业单位。主要承担全市传染病、寄生虫病、地方病、慢性非传染性疾病、职业病和群体性及不明原因疾病的预防与控制；疫情及突发公共卫生事件监测报告与调查处置；儿童预防接种组织与管理；食品安全、生活饮用水卫生、学校卫生、公共场所卫生、职业卫生、放射卫生等健康危害因素监测与评价；卫生检验检测；疾病预防控制技术指导与培训考核等六项工作任务，是全市疾病预防控制工作的业务技术指导中心。为陕西中医药大学和西安医学院预防医学专业学生实习基地。中心现有人员编制84人，设领导职数1正2副，内设18个科室，其中职能管理科室8个、业务科室10个，分为综合管理、传染病防控、慢性病防控、预防医学技术服务等四大工作体系。</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二、工作任务</w:t>
      </w:r>
    </w:p>
    <w:p>
      <w:pPr>
        <w:pStyle w:val="5"/>
        <w:numPr>
          <w:ilvl w:val="0"/>
          <w:numId w:val="1"/>
        </w:numPr>
        <w:pBdr>
          <w:bottom w:val="single" w:color="FFFFFF" w:sz="4" w:space="31"/>
        </w:pBdr>
        <w:autoSpaceDE/>
        <w:spacing w:line="560" w:lineRule="exact"/>
        <w:ind w:firstLine="643" w:firstLineChars="200"/>
        <w:rPr>
          <w:rFonts w:ascii="仿宋_GB2312" w:hAnsi="仿宋_GB2312" w:cs="仿宋_GB2312"/>
          <w:color w:val="000000"/>
        </w:rPr>
      </w:pPr>
      <w:r>
        <w:rPr>
          <w:rFonts w:hint="eastAsia" w:ascii="仿宋_GB2312" w:hAnsi="仿宋_GB2312" w:cs="仿宋_GB2312"/>
          <w:b/>
        </w:rPr>
        <w:t>加强基础建设。</w:t>
      </w:r>
      <w:r>
        <w:rPr>
          <w:rFonts w:hint="eastAsia" w:ascii="仿宋_GB2312" w:hAnsi="仿宋_GB2312" w:cs="仿宋_GB2312"/>
        </w:rPr>
        <w:t>争取医疗卫生机构能力建设资金，新增7台大型实验设备和27种职业危害因素检测器材，着力推进听力检测室、疫苗冷藏库、门诊诊疗检查室改扩建工程，卫生检验检测服务范围进一步扩展、效率精度进一步提高，日核酸检测量达到3000管。编制更新第5版质量体系手册，查新技术规范标准736条，</w:t>
      </w:r>
      <w:r>
        <w:rPr>
          <w:rFonts w:hint="eastAsia" w:ascii="仿宋_GB2312" w:hAnsi="仿宋_GB2312" w:cs="仿宋_GB2312"/>
          <w:color w:val="000000"/>
        </w:rPr>
        <w:t>变更标</w:t>
      </w:r>
      <w:r>
        <w:rPr>
          <w:rFonts w:hint="eastAsia" w:ascii="仿宋_GB2312" w:hAnsi="仿宋_GB2312" w:cs="仿宋_GB2312"/>
        </w:rPr>
        <w:t>准9条，240台（件）检测仪器检定/校准合格率100%，</w:t>
      </w:r>
      <w:r>
        <w:rPr>
          <w:rFonts w:hint="eastAsia" w:ascii="仿宋_GB2312" w:hAnsi="仿宋_GB2312" w:cs="仿宋_GB2312"/>
          <w:color w:val="000000"/>
        </w:rPr>
        <w:t xml:space="preserve">顺利通过11项12次能力验证考核，实验室资质认定复审有序推进。       </w:t>
      </w:r>
    </w:p>
    <w:p>
      <w:pPr>
        <w:pStyle w:val="5"/>
        <w:pBdr>
          <w:bottom w:val="single" w:color="FFFFFF" w:sz="4" w:space="31"/>
        </w:pBdr>
        <w:autoSpaceDE/>
        <w:spacing w:line="560" w:lineRule="exact"/>
        <w:ind w:firstLine="643" w:firstLineChars="200"/>
        <w:rPr>
          <w:rFonts w:ascii="仿宋_GB2312" w:hAnsi="仿宋_GB2312" w:cs="仿宋_GB2312"/>
        </w:rPr>
      </w:pPr>
      <w:r>
        <w:rPr>
          <w:rFonts w:hint="eastAsia" w:ascii="仿宋_GB2312"/>
          <w:b/>
        </w:rPr>
        <w:t>（二）加强人才队伍建设。</w:t>
      </w:r>
      <w:r>
        <w:rPr>
          <w:rFonts w:hint="eastAsia" w:ascii="仿宋_GB2312" w:hAnsi="仿宋_GB2312" w:cs="仿宋_GB2312"/>
        </w:rPr>
        <w:t>以法治建设为主线，组织开展全方位、多层次、广覆盖的专业技能培训，着力提升工作能力。调整优化科室设置，明确职责任务、服务规范、工作程序和考核标准，建立健全统一领导、分工负责、协作配合的工作推进机制。</w:t>
      </w:r>
    </w:p>
    <w:p>
      <w:pPr>
        <w:pStyle w:val="5"/>
        <w:pBdr>
          <w:bottom w:val="single" w:color="FFFFFF" w:sz="4" w:space="31"/>
        </w:pBdr>
        <w:autoSpaceDE/>
        <w:spacing w:line="560" w:lineRule="exact"/>
        <w:ind w:firstLine="640" w:firstLineChars="200"/>
        <w:rPr>
          <w:rFonts w:ascii="仿宋_GB2312" w:hAnsi="仿宋_GB2312" w:cs="仿宋_GB2312"/>
        </w:rPr>
      </w:pPr>
      <w:r>
        <w:rPr>
          <w:rFonts w:hint="eastAsia" w:ascii="仿宋_GB2312" w:hAnsi="仿宋_GB2312" w:cs="仿宋_GB2312"/>
          <w:color w:val="000000"/>
        </w:rPr>
        <w:t>专业技术人员</w:t>
      </w:r>
      <w:r>
        <w:rPr>
          <w:rFonts w:hint="eastAsia" w:ascii="仿宋_GB2312" w:hAnsi="仿宋_GB2312" w:cs="仿宋_GB2312"/>
        </w:rPr>
        <w:t>继续医学教育实现信息化管理，</w:t>
      </w:r>
      <w:r>
        <w:rPr>
          <w:rFonts w:hint="eastAsia" w:ascii="仿宋_GB2312" w:hAnsi="仿宋_GB2312" w:cs="仿宋_GB2312"/>
          <w:color w:val="000000"/>
        </w:rPr>
        <w:t>65人</w:t>
      </w:r>
      <w:r>
        <w:rPr>
          <w:rFonts w:hint="eastAsia" w:ascii="仿宋_GB2312" w:hAnsi="仿宋_GB2312" w:cs="仿宋_GB2312"/>
        </w:rPr>
        <w:t>参加</w:t>
      </w:r>
      <w:r>
        <w:rPr>
          <w:rFonts w:hint="eastAsia" w:ascii="仿宋_GB2312" w:hAnsi="仿宋_GB2312" w:cs="仿宋_GB2312"/>
          <w:color w:val="000000"/>
        </w:rPr>
        <w:t>国家卫健委新时代疾控能力提升网络培训，优良率100%，</w:t>
      </w:r>
      <w:r>
        <w:rPr>
          <w:rFonts w:hint="eastAsia" w:ascii="仿宋_GB2312" w:hAnsi="仿宋_GB2312" w:cs="仿宋_GB2312"/>
        </w:rPr>
        <w:t>疾控专业知识技能水平明显提升，应对重大传染病疫情和突发公共卫生事件的实战经验进一步丰富。</w:t>
      </w:r>
    </w:p>
    <w:p>
      <w:pPr>
        <w:pStyle w:val="5"/>
        <w:numPr>
          <w:ilvl w:val="0"/>
          <w:numId w:val="1"/>
        </w:numPr>
        <w:pBdr>
          <w:bottom w:val="single" w:color="FFFFFF" w:sz="4" w:space="31"/>
        </w:pBdr>
        <w:autoSpaceDE/>
        <w:spacing w:line="560" w:lineRule="exact"/>
        <w:ind w:firstLine="643" w:firstLineChars="200"/>
        <w:rPr>
          <w:rFonts w:ascii="仿宋_GB2312" w:hAnsi="Helvetica"/>
          <w:b/>
        </w:rPr>
      </w:pPr>
      <w:r>
        <w:rPr>
          <w:rFonts w:hint="eastAsia" w:ascii="仿宋_GB2312" w:hAnsi="Helvetica"/>
          <w:b/>
        </w:rPr>
        <w:t>加强疾控业务工作</w:t>
      </w:r>
    </w:p>
    <w:p>
      <w:pPr>
        <w:pStyle w:val="5"/>
        <w:pBdr>
          <w:bottom w:val="single" w:color="FFFFFF" w:sz="4" w:space="31"/>
        </w:pBdr>
        <w:autoSpaceDE/>
        <w:spacing w:line="560" w:lineRule="exact"/>
        <w:rPr>
          <w:rFonts w:ascii="仿宋_GB2312" w:hAnsi="Helvetica"/>
        </w:rPr>
      </w:pPr>
      <w:r>
        <w:rPr>
          <w:rFonts w:hint="eastAsia" w:ascii="仿宋_GB2312" w:hAnsi="Helvetica"/>
        </w:rPr>
        <w:t>以基本公共卫生服务为重点，继续加强疾病预防控制工作。</w:t>
      </w:r>
      <w:r>
        <w:rPr>
          <w:rFonts w:hint="eastAsia" w:ascii="仿宋_GB2312" w:hAnsi="仿宋_GB2312"/>
          <w:bCs/>
        </w:rPr>
        <w:t>一是有效防控传染病流行。坚持贯彻落实《中华人民共和国传染病防治法》，加强传染病疫情监测，提高各级医疗机构传染病报告及时率、审核率、完整率，降低漏报率，保持传染病报告质量。推行“三位一体”结核病防治新模式，积极协调农合、民政、社保、财政部门，将结核病门诊诊疗费用纳入医疗保障体系，提高报销比例，切实减轻结核病患者经济负担；艾滋病综合防治以扩大预防母婴传播工作覆盖面，加强监测检测能力建设为核心。</w:t>
      </w:r>
      <w:r>
        <w:rPr>
          <w:rFonts w:hint="eastAsia" w:ascii="仿宋_GB2312" w:hAnsi="Helvetica"/>
        </w:rPr>
        <w:t>二是</w:t>
      </w:r>
      <w:r>
        <w:rPr>
          <w:rFonts w:hint="eastAsia" w:ascii="仿宋_GB2312"/>
        </w:rPr>
        <w:t>全面落实扩大免疫规划策略，加强对各县区免疫规划工作的督导检查，依托国家预防接种信息管理终端，建立覆盖全市的预防接种信息化网络体系，实现预防接种互联网管理，提高及时接种率。三是建立健全慢性病、重性精神病发病报告网络和死因监测系统，加强危险因素干预，控制心脑血管疾病、糖尿病、恶性肿瘤、慢性呼吸系统疾病、伤害等疾病发生。加强病媒生物密度监测工作，稳步推进单位密度水平评估工作。四是坚决贯彻落实《中华人民共和国职业病防治法》，建立有效的职业病防控体系，提高职业病防控能力，做好职业病（尘肺）患者的诊断工作；五是加强全民健康教育，积极倡导健康生活方式。六是提升检验监测能力和水平，全力发挥为政府职能部门提供技术支撑的作用，完成年度农饮水、城饮水水质检测任务。开展“全国食品微生物及其致病因子监测”任务。认真做好流感、手足口、艾滋病、麻疹等重点传染病检测工作。</w:t>
      </w:r>
      <w:r>
        <w:rPr>
          <w:rFonts w:hint="eastAsia" w:ascii="仿宋_GB2312" w:cs="宋体"/>
          <w:bCs/>
        </w:rPr>
        <w:t>七是</w:t>
      </w:r>
      <w:r>
        <w:rPr>
          <w:rFonts w:hint="eastAsia" w:ascii="仿宋_GB2312" w:hAnsi="Helvetica"/>
        </w:rPr>
        <w:t>健全、完善和规范各项应急预案，反应快速，处置及时率达100%；</w:t>
      </w:r>
      <w:r>
        <w:rPr>
          <w:rFonts w:hint="eastAsia" w:ascii="仿宋_GB2312" w:hAnsi="仿宋" w:cs="仿宋"/>
        </w:rPr>
        <w:t>建成一支专门用于突发公共卫生事件应急处置的队伍，从事现场流行病学调查人员比例≥40%，定期举行重大传染病为主的突发公共卫生事件应急演练或培训，</w:t>
      </w:r>
      <w:r>
        <w:rPr>
          <w:rFonts w:hint="eastAsia" w:ascii="仿宋_GB2312" w:hAnsi="Helvetica"/>
        </w:rPr>
        <w:t xml:space="preserve">提高应急队伍的应急能力，提高应对各种新发传染病的处置能力，逐步实现由控制疾病向预防疾病的转变，提高公众健康水平。 </w:t>
      </w:r>
    </w:p>
    <w:p>
      <w:pPr>
        <w:pStyle w:val="5"/>
        <w:numPr>
          <w:ilvl w:val="0"/>
          <w:numId w:val="2"/>
        </w:numPr>
        <w:pBdr>
          <w:bottom w:val="single" w:color="FFFFFF" w:sz="4" w:space="31"/>
        </w:pBdr>
        <w:autoSpaceDE/>
        <w:spacing w:line="560" w:lineRule="exact"/>
        <w:ind w:firstLine="643" w:firstLineChars="200"/>
        <w:rPr>
          <w:rFonts w:ascii="仿宋_GB2312" w:hAnsi="仿宋_GB2312" w:cs="仿宋_GB2312"/>
          <w:b/>
          <w:bCs/>
        </w:rPr>
      </w:pPr>
      <w:r>
        <w:rPr>
          <w:rFonts w:hint="eastAsia" w:ascii="仿宋_GB2312" w:hAnsi="仿宋_GB2312" w:cs="仿宋_GB2312"/>
          <w:b/>
          <w:bCs/>
        </w:rPr>
        <w:t>人员情况说明</w:t>
      </w:r>
    </w:p>
    <w:p>
      <w:pPr>
        <w:pStyle w:val="5"/>
        <w:pBdr>
          <w:bottom w:val="single" w:color="FFFFFF" w:sz="4" w:space="31"/>
        </w:pBdr>
        <w:autoSpaceDE/>
        <w:spacing w:line="560" w:lineRule="exact"/>
        <w:ind w:firstLine="640" w:firstLineChars="200"/>
        <w:rPr>
          <w:rFonts w:ascii="仿宋_GB2312" w:hAnsi="仿宋_GB2312" w:cs="仿宋_GB2312"/>
        </w:rPr>
      </w:pPr>
      <w:r>
        <w:rPr>
          <w:rFonts w:ascii="仿宋_GB2312" w:hAnsi="仿宋_GB2312" w:cs="仿宋_GB2312"/>
        </w:rPr>
        <w:pict>
          <v:shape id="Object 3" o:spid="_x0000_s1026" o:spt="75" type="#_x0000_t75" style="position:absolute;left:0pt;margin-left:110.65pt;margin-top:117.15pt;height:197.85pt;width:256.3pt;mso-wrap-distance-bottom:0pt;mso-wrap-distance-top:0pt;z-index:251657216;mso-width-relative:page;mso-height-relative:page;" o:ole="t" filled="f" o:preferrelative="t" stroked="f" coordsize="21600,21600">
            <v:path/>
            <v:fill on="f" focussize="0,0"/>
            <v:stroke on="f" joinstyle="miter"/>
            <v:imagedata r:id="rId8" o:title=""/>
            <o:lock v:ext="edit" aspectratio="t"/>
            <w10:wrap type="topAndBottom"/>
          </v:shape>
          <o:OLEObject Type="Embed" ProgID="Excel.Chart.8" ShapeID="Object 3" DrawAspect="Content" ObjectID="_1468075725" r:id="rId7">
            <o:LockedField>false</o:LockedField>
          </o:OLEObject>
        </w:pict>
      </w:r>
      <w:r>
        <w:rPr>
          <w:rFonts w:hint="eastAsia" w:ascii="仿宋_GB2312" w:hAnsi="仿宋_GB2312" w:cs="仿宋_GB2312"/>
        </w:rPr>
        <w:t>截止上年底，本单位人员编制84人，其中行政编制0人、事业编制84人；实有人员79人，其中行政0人、事业79人。单位管理的离退休人员41人。</w:t>
      </w:r>
    </w:p>
    <w:p>
      <w:pPr>
        <w:spacing w:line="560" w:lineRule="exact"/>
        <w:ind w:firstLine="64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第二部分  收支情况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四、收支说明</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（一）收支预算总体情况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本单位所有收入和支出均纳入部门预算管理。本单位当年预算收入1439.17万元，其中一般公共预算拨款收入1439.17万元，较上年增加429.58万元，主要原因是本年预算支出增加绩效奖金支出；本单位当年预算支出1439.17万元，其中一般公共预算拨款支出1439.17万元，较上年增加429.58万元，主要原因是本年绩效奖金支出增加。</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（二）财政拨款收支情况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当年财政拨款收入1439.17万元，其中一般公共预算拨款收入1439.17万元，较上年增加429.58万元，主要原因是本年预算支出个人部分增加424.3万元，公用经费增加5.2万元；本单位当年财政拨款支出1439.17万元，其中一般公共预算拨款支出1439.17万元，较上年增加429.58万元，主要原因是本年预算支出个人部分增加424.3万元，公用经费增加5.2万元。</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（三）一般公共预算拨款支出明细情况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1、一般公共预算当年拨款规模变化情况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本单位当年一般公共预算拨款支出1439.17万元，较上年增加429.58万元，主要原因是本年预算支出个人部分增加424.3万元，公用经费增加5.2万元。</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2、支出按功能科目分类的明细情况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本单位当年一般公共预算支出1439.17万元，其中：</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机关事业单位基本养老保险缴费（2080505）121.94万元，较上年增加42.7万元，原因是本单位本年存在补缴养老保险缴费情况。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（2）机关事业单位职业年金缴费（2080506）60.97万元，较上年增加21.36万元，原因是本单位本年存在补缴职业年金缴费情况。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疾病预防控制机构（2100401）1088.57万元，较上年增加293.6万元，原因是本年人员经费个人部分增加191.4万元，公用经费较上年增加5.2万元。同时，本年新增预算专项支出97万元，包括疾病预防控制专项46万元，城区生活饮用水水质检测和预防性体检51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（4）事业单位医疗（2101102）68.65万元，较上年增加32.31万元，原因是本单位本年存在补缴医疗保险缴费情况。</w:t>
      </w:r>
    </w:p>
    <w:p>
      <w:pPr>
        <w:spacing w:line="560" w:lineRule="exact"/>
        <w:ind w:firstLine="630" w:firstLineChars="300"/>
        <w:rPr>
          <w:rFonts w:ascii="仿宋_GB2312" w:hAnsi="仿宋_GB2312" w:eastAsia="仿宋_GB2312" w:cs="仿宋_GB2312"/>
          <w:sz w:val="32"/>
          <w:szCs w:val="32"/>
        </w:rPr>
      </w:pPr>
      <w:r>
        <w:pict>
          <v:shape id="Object 4" o:spid="_x0000_s1028" o:spt="75" type="#_x0000_t75" style="position:absolute;left:0pt;margin-left:67.25pt;margin-top:102.4pt;height:214.5pt;width:294.75pt;mso-wrap-distance-bottom:0pt;mso-wrap-distance-top:0pt;z-index:251658240;mso-width-relative:page;mso-height-relative:page;" o:ole="t" filled="f" o:preferrelative="t" stroked="f" coordsize="21600,21600">
            <v:path/>
            <v:fill on="f" focussize="0,0"/>
            <v:stroke on="f" joinstyle="miter"/>
            <v:imagedata r:id="rId10" o:title=""/>
            <o:lock v:ext="edit" aspectratio="t"/>
            <w10:wrap type="topAndBottom"/>
          </v:shape>
          <o:OLEObject Type="Embed" ProgID="Excel.Chart.8" ShapeID="Object 4" DrawAspect="Content" ObjectID="_1468075726" r:id="rId9">
            <o:LockedField>false</o:LockedField>
          </o:OLEObject>
        </w:pict>
      </w:r>
      <w:r>
        <w:rPr>
          <w:rFonts w:hint="eastAsia" w:ascii="仿宋_GB2312" w:hAnsi="仿宋_GB2312" w:eastAsia="仿宋_GB2312" w:cs="仿宋_GB2312"/>
          <w:sz w:val="32"/>
          <w:szCs w:val="32"/>
        </w:rPr>
        <w:t>（5）住房公积金（2210201）99.04万元，较上年增加39.62万元，原因是本单位本年存在补缴住房公积金情况。</w:t>
      </w:r>
    </w:p>
    <w:p>
      <w:pPr>
        <w:spacing w:line="560" w:lineRule="exact"/>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3、支出按经济科目分类的明细情况</w:t>
      </w:r>
    </w:p>
    <w:p>
      <w:pPr>
        <w:spacing w:line="560" w:lineRule="exact"/>
        <w:ind w:firstLine="640"/>
        <w:rPr>
          <w:rFonts w:ascii="仿宋_GB2312" w:hAnsi="仿宋_GB2312" w:eastAsia="仿宋_GB2312" w:cs="仿宋_GB2312"/>
          <w:sz w:val="32"/>
          <w:szCs w:val="32"/>
        </w:rPr>
      </w:pPr>
      <w:r>
        <w:rPr>
          <w:rFonts w:hint="eastAsia" w:eastAsia="仿宋_GB2312" w:cs="仿宋_GB2312" w:asciiTheme="minorHAnsi" w:hAnsiTheme="minorHAnsi"/>
          <w:sz w:val="32"/>
          <w:szCs w:val="32"/>
        </w:rPr>
        <w:t>（1）</w:t>
      </w:r>
      <w:r>
        <w:rPr>
          <w:rFonts w:hint="eastAsia" w:ascii="仿宋_GB2312" w:hAnsi="仿宋_GB2312" w:eastAsia="仿宋_GB2312" w:cs="仿宋_GB2312"/>
          <w:sz w:val="32"/>
          <w:szCs w:val="32"/>
        </w:rPr>
        <w:t>本单位当年一般公共预算支出1439.17万元，其中：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工资福利支出（301）1244.18万元，较上年增加469.93万元，原因是本单位存在近几年新增财政供养人员因未按岗位聘任暂时执行见习期工资，按岗位聘任后需补发以前年度工资，因此工资福利支出增加；</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商品和服务支出（302）194.3万元，较上年增加99.64万元，原因是本年新增预算专项支出97万元，包括疾病预防控制专项46万元，城区生活饮用水水质检测和预防性体检51万元；</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对个人和家庭的补助支出（303）0.68万元，较上年增加0.01万元，原因是生活补助比上年增加0.01万元。</w:t>
      </w:r>
    </w:p>
    <w:p>
      <w:pPr>
        <w:spacing w:line="560" w:lineRule="exact"/>
        <w:ind w:firstLine="641"/>
        <w:rPr>
          <w:rFonts w:ascii="仿宋_GB2312" w:hAnsi="仿宋_GB2312" w:eastAsia="仿宋_GB2312" w:cs="仿宋_GB2312"/>
          <w:sz w:val="32"/>
          <w:szCs w:val="32"/>
        </w:rPr>
      </w:pPr>
      <w:r>
        <w:pict>
          <v:shape id="Object 5" o:spid="_x0000_s1029" o:spt="75" type="#_x0000_t75" style="position:absolute;left:0pt;margin-left:69.5pt;margin-top:16.15pt;height:212.25pt;width:318pt;mso-wrap-distance-bottom:0pt;mso-wrap-distance-top:0pt;z-index:251658240;mso-width-relative:page;mso-height-relative:page;" o:ole="t" filled="f" o:preferrelative="t" stroked="f" coordsize="21600,21600">
            <v:path/>
            <v:fill on="f" focussize="0,0"/>
            <v:stroke on="f" joinstyle="miter"/>
            <v:imagedata r:id="rId12" o:title=""/>
            <o:lock v:ext="edit" aspectratio="t"/>
            <w10:wrap type="topAndBottom"/>
          </v:shape>
          <o:OLEObject Type="Embed" ProgID="Excel.Chart.8" ShapeID="Object 5" DrawAspect="Content" ObjectID="_1468075727" r:id="rId11">
            <o:LockedField>false</o:LockedField>
          </o:OLEObject>
        </w:pict>
      </w:r>
      <w:r>
        <w:rPr>
          <w:rFonts w:hint="eastAsia" w:ascii="仿宋_GB2312" w:hAnsi="仿宋_GB2312" w:eastAsia="仿宋_GB2312" w:cs="仿宋_GB2312"/>
          <w:sz w:val="32"/>
          <w:szCs w:val="32"/>
        </w:rPr>
        <w:t>（2）本单位当年一般公共预算支出</w:t>
      </w:r>
      <w:r>
        <w:rPr>
          <w:rFonts w:ascii="仿宋_GB2312" w:hAnsi="仿宋_GB2312" w:eastAsia="仿宋_GB2312" w:cs="仿宋_GB2312"/>
          <w:sz w:val="32"/>
          <w:szCs w:val="32"/>
        </w:rPr>
        <w:t>1439</w:t>
      </w:r>
      <w:r>
        <w:rPr>
          <w:rFonts w:hint="eastAsia" w:ascii="仿宋_GB2312" w:hAnsi="仿宋_GB2312" w:eastAsia="仿宋_GB2312" w:cs="仿宋_GB2312"/>
          <w:sz w:val="32"/>
          <w:szCs w:val="32"/>
        </w:rPr>
        <w:t>.17万元，其中：</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对事业单位经常性补助支出-工资福利支出（50501）1244.18万元，较上年增加469.93万元，原因是本单位存在近几年新增财政供养人员因未按岗位聘任暂时执行见习期工资，按岗位聘任后需补发以前年度工资；同时，本年新增部分绩效工资支出，因此工资福利支出增加；</w:t>
      </w:r>
    </w:p>
    <w:p>
      <w:pPr>
        <w:pStyle w:val="2"/>
        <w:ind w:firstLine="641" w:firstLineChars="0"/>
        <w:rPr>
          <w:rFonts w:ascii="仿宋_GB2312" w:hAnsi="仿宋_GB2312" w:cs="仿宋_GB2312"/>
          <w:szCs w:val="32"/>
        </w:rPr>
      </w:pPr>
      <w:r>
        <w:rPr>
          <w:rFonts w:hint="eastAsia" w:ascii="仿宋_GB2312" w:hAnsi="仿宋_GB2312" w:cs="仿宋_GB2312"/>
          <w:szCs w:val="32"/>
        </w:rPr>
        <w:t>对事业单位经常性补助支出-商品和服务支出（50502）194.3万元，较上年增加99.64万元，原因是本年新增预算专项支出97万元，包括疾病预防控制专项46万元，城区生活饮用水水质检测和预防性体检51万元；</w:t>
      </w:r>
    </w:p>
    <w:p>
      <w:pPr>
        <w:pStyle w:val="3"/>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对事业单位经常性补助支出-其他对事业单位补助（50599） 0.68万元，较上年增加0.01万元，原因是生活补助比上年增加0.01万元。</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（四）政府性基金预算支出情况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本单位无当年政府性基金预算收支，并已公开空表。</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（五）国有资本经营预算拨款收支情况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本单位无当年国有资本经营预算收支，并已公开空表。</w:t>
      </w:r>
    </w:p>
    <w:p>
      <w:pPr>
        <w:spacing w:line="560" w:lineRule="exact"/>
        <w:ind w:firstLine="640"/>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宋体" w:hAnsi="宋体" w:cs="宋体"/>
          <w:b/>
          <w:bCs/>
          <w:sz w:val="32"/>
          <w:szCs w:val="32"/>
        </w:rPr>
        <w:t>第三部分  其他情况</w:t>
      </w:r>
    </w:p>
    <w:p>
      <w:pPr>
        <w:spacing w:line="560" w:lineRule="exact"/>
        <w:ind w:firstLine="640"/>
        <w:rPr>
          <w:rFonts w:ascii="仿宋_GB2312" w:hAnsi="仿宋_GB2312" w:eastAsia="仿宋_GB2312" w:cs="仿宋_GB2312"/>
          <w:sz w:val="32"/>
          <w:szCs w:val="32"/>
          <w:u w:val="single"/>
        </w:rPr>
      </w:pPr>
      <w:r>
        <w:rPr>
          <w:rFonts w:hint="eastAsia" w:ascii="仿宋_GB2312" w:hAnsi="仿宋_GB2312" w:eastAsia="仿宋_GB2312" w:cs="仿宋_GB2312"/>
          <w:b/>
          <w:bCs/>
          <w:sz w:val="32"/>
          <w:szCs w:val="32"/>
        </w:rPr>
        <w:t>五、“三公”经费及会议费、培训费情况说明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单位当年一般公共预算“三公”经费预算支出7.5万元，和上年预算数一致。其中：因公出国（境）经费0万元，较上年增加（减少）0万元（0%）；公务接待费费0万元，较上年增加（减少）0万元（0%）；公务用车运行维护费7.5万元，与上年预算支出数一致，无增减变化；公务用车购置费0万元，较上年增加（减少）0万元（0%）。本单位当年一般公共预算会议费预算支出0万元，较上年增加（减少）0万元（0%）。本单位当年一般公共预算培训费预算支出0万元，较上年增加（减少）0万元（0%）。 </w:t>
      </w: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 xml:space="preserve">会议费培训费明细 </w:t>
      </w:r>
    </w:p>
    <w:p>
      <w:pPr>
        <w:spacing w:line="560" w:lineRule="exact"/>
        <w:ind w:firstLine="640"/>
        <w:jc w:val="right"/>
        <w:rPr>
          <w:rFonts w:ascii="仿宋" w:hAnsi="仿宋" w:eastAsia="仿宋" w:cs="仿宋"/>
          <w:sz w:val="24"/>
        </w:rPr>
      </w:pPr>
      <w:r>
        <w:rPr>
          <w:rFonts w:hint="eastAsia" w:ascii="仿宋" w:hAnsi="仿宋" w:eastAsia="仿宋" w:cs="仿宋"/>
          <w:sz w:val="24"/>
        </w:rPr>
        <w:t>单位：万元</w:t>
      </w:r>
    </w:p>
    <w:tbl>
      <w:tblPr>
        <w:tblStyle w:val="10"/>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250"/>
        <w:gridCol w:w="2693"/>
        <w:gridCol w:w="870"/>
        <w:gridCol w:w="99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tcPr>
          <w:p>
            <w:pPr>
              <w:spacing w:line="560" w:lineRule="exact"/>
              <w:jc w:val="center"/>
              <w:rPr>
                <w:rFonts w:ascii="黑体" w:hAnsi="黑体" w:eastAsia="黑体" w:cs="黑体"/>
                <w:sz w:val="30"/>
                <w:szCs w:val="30"/>
              </w:rPr>
            </w:pPr>
            <w:r>
              <w:rPr>
                <w:rFonts w:hint="eastAsia" w:ascii="黑体" w:hAnsi="黑体" w:eastAsia="黑体" w:cs="黑体"/>
                <w:sz w:val="30"/>
                <w:szCs w:val="30"/>
              </w:rPr>
              <w:t>序号</w:t>
            </w:r>
          </w:p>
        </w:tc>
        <w:tc>
          <w:tcPr>
            <w:tcW w:w="2250" w:type="dxa"/>
          </w:tcPr>
          <w:p>
            <w:pPr>
              <w:spacing w:line="560" w:lineRule="exact"/>
              <w:jc w:val="center"/>
              <w:rPr>
                <w:rFonts w:ascii="黑体" w:hAnsi="黑体" w:eastAsia="黑体" w:cs="黑体"/>
                <w:sz w:val="30"/>
                <w:szCs w:val="30"/>
              </w:rPr>
            </w:pPr>
            <w:r>
              <w:rPr>
                <w:rFonts w:hint="eastAsia" w:ascii="黑体" w:hAnsi="黑体" w:eastAsia="黑体" w:cs="黑体"/>
                <w:sz w:val="30"/>
                <w:szCs w:val="30"/>
              </w:rPr>
              <w:t>会议/培训名称</w:t>
            </w:r>
          </w:p>
        </w:tc>
        <w:tc>
          <w:tcPr>
            <w:tcW w:w="2693" w:type="dxa"/>
          </w:tcPr>
          <w:p>
            <w:pPr>
              <w:spacing w:line="560" w:lineRule="exact"/>
              <w:jc w:val="center"/>
              <w:rPr>
                <w:rFonts w:ascii="黑体" w:hAnsi="黑体" w:eastAsia="黑体" w:cs="黑体"/>
                <w:sz w:val="30"/>
                <w:szCs w:val="30"/>
              </w:rPr>
            </w:pPr>
            <w:r>
              <w:rPr>
                <w:rFonts w:hint="eastAsia" w:ascii="黑体" w:hAnsi="黑体" w:eastAsia="黑体" w:cs="黑体"/>
                <w:sz w:val="30"/>
                <w:szCs w:val="30"/>
              </w:rPr>
              <w:t>时间</w:t>
            </w:r>
          </w:p>
        </w:tc>
        <w:tc>
          <w:tcPr>
            <w:tcW w:w="870" w:type="dxa"/>
          </w:tcPr>
          <w:p>
            <w:pPr>
              <w:spacing w:line="560" w:lineRule="exact"/>
              <w:jc w:val="center"/>
              <w:rPr>
                <w:rFonts w:ascii="黑体" w:hAnsi="黑体" w:eastAsia="黑体" w:cs="黑体"/>
                <w:sz w:val="30"/>
                <w:szCs w:val="30"/>
              </w:rPr>
            </w:pPr>
            <w:r>
              <w:rPr>
                <w:rFonts w:hint="eastAsia" w:ascii="黑体" w:hAnsi="黑体" w:eastAsia="黑体" w:cs="黑体"/>
                <w:sz w:val="30"/>
                <w:szCs w:val="30"/>
              </w:rPr>
              <w:t>人数</w:t>
            </w:r>
          </w:p>
        </w:tc>
        <w:tc>
          <w:tcPr>
            <w:tcW w:w="990" w:type="dxa"/>
          </w:tcPr>
          <w:p>
            <w:pPr>
              <w:spacing w:line="560" w:lineRule="exact"/>
              <w:jc w:val="center"/>
              <w:rPr>
                <w:rFonts w:ascii="黑体" w:hAnsi="黑体" w:eastAsia="黑体" w:cs="黑体"/>
                <w:sz w:val="30"/>
                <w:szCs w:val="30"/>
              </w:rPr>
            </w:pPr>
            <w:r>
              <w:rPr>
                <w:rFonts w:hint="eastAsia" w:ascii="黑体" w:hAnsi="黑体" w:eastAsia="黑体" w:cs="黑体"/>
                <w:sz w:val="30"/>
                <w:szCs w:val="30"/>
              </w:rPr>
              <w:t>金额</w:t>
            </w:r>
          </w:p>
        </w:tc>
        <w:tc>
          <w:tcPr>
            <w:tcW w:w="880" w:type="dxa"/>
          </w:tcPr>
          <w:p>
            <w:pPr>
              <w:spacing w:line="560" w:lineRule="exact"/>
              <w:jc w:val="center"/>
              <w:rPr>
                <w:rFonts w:ascii="黑体" w:hAnsi="黑体" w:eastAsia="黑体" w:cs="黑体"/>
                <w:sz w:val="30"/>
                <w:szCs w:val="30"/>
              </w:rPr>
            </w:pPr>
            <w:r>
              <w:rPr>
                <w:rFonts w:hint="eastAsia" w:ascii="黑体" w:hAnsi="黑体" w:eastAsia="黑体" w:cs="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2250" w:type="dxa"/>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w:t>
            </w:r>
          </w:p>
        </w:tc>
        <w:tc>
          <w:tcPr>
            <w:tcW w:w="2693" w:type="dxa"/>
          </w:tcPr>
          <w:p>
            <w:pPr>
              <w:spacing w:line="560" w:lineRule="exact"/>
              <w:rPr>
                <w:rFonts w:ascii="仿宋_GB2312" w:hAnsi="仿宋_GB2312" w:eastAsia="仿宋_GB2312" w:cs="仿宋_GB2312"/>
                <w:sz w:val="24"/>
              </w:rPr>
            </w:pPr>
          </w:p>
        </w:tc>
        <w:tc>
          <w:tcPr>
            <w:tcW w:w="870" w:type="dxa"/>
          </w:tcPr>
          <w:p>
            <w:pPr>
              <w:spacing w:line="560" w:lineRule="exact"/>
              <w:rPr>
                <w:rFonts w:ascii="仿宋_GB2312" w:hAnsi="仿宋_GB2312" w:eastAsia="仿宋_GB2312" w:cs="仿宋_GB2312"/>
                <w:sz w:val="24"/>
              </w:rPr>
            </w:pPr>
          </w:p>
        </w:tc>
        <w:tc>
          <w:tcPr>
            <w:tcW w:w="990" w:type="dxa"/>
          </w:tcPr>
          <w:p>
            <w:pPr>
              <w:spacing w:line="560" w:lineRule="exact"/>
              <w:rPr>
                <w:rFonts w:ascii="仿宋_GB2312" w:hAnsi="仿宋_GB2312" w:eastAsia="仿宋_GB2312" w:cs="仿宋_GB2312"/>
                <w:sz w:val="24"/>
              </w:rPr>
            </w:pPr>
          </w:p>
        </w:tc>
        <w:tc>
          <w:tcPr>
            <w:tcW w:w="880" w:type="dxa"/>
          </w:tcPr>
          <w:p>
            <w:pPr>
              <w:spacing w:line="56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tcPr>
          <w:p>
            <w:pPr>
              <w:spacing w:line="560" w:lineRule="exact"/>
              <w:jc w:val="center"/>
              <w:rPr>
                <w:rFonts w:ascii="仿宋_GB2312" w:hAnsi="仿宋_GB2312" w:eastAsia="仿宋_GB2312" w:cs="仿宋_GB2312"/>
                <w:sz w:val="24"/>
              </w:rPr>
            </w:pPr>
          </w:p>
        </w:tc>
        <w:tc>
          <w:tcPr>
            <w:tcW w:w="2250" w:type="dxa"/>
          </w:tcPr>
          <w:p>
            <w:pPr>
              <w:spacing w:line="560" w:lineRule="exact"/>
              <w:rPr>
                <w:rFonts w:ascii="仿宋_GB2312" w:hAnsi="仿宋_GB2312" w:eastAsia="仿宋_GB2312" w:cs="仿宋_GB2312"/>
                <w:sz w:val="24"/>
              </w:rPr>
            </w:pPr>
          </w:p>
        </w:tc>
        <w:tc>
          <w:tcPr>
            <w:tcW w:w="2693" w:type="dxa"/>
          </w:tcPr>
          <w:p>
            <w:pPr>
              <w:spacing w:line="560" w:lineRule="exact"/>
              <w:rPr>
                <w:rFonts w:ascii="仿宋_GB2312" w:hAnsi="仿宋_GB2312" w:eastAsia="仿宋_GB2312" w:cs="仿宋_GB2312"/>
                <w:sz w:val="24"/>
              </w:rPr>
            </w:pPr>
          </w:p>
        </w:tc>
        <w:tc>
          <w:tcPr>
            <w:tcW w:w="870" w:type="dxa"/>
          </w:tcPr>
          <w:p>
            <w:pPr>
              <w:spacing w:line="560" w:lineRule="exact"/>
              <w:rPr>
                <w:rFonts w:ascii="仿宋_GB2312" w:hAnsi="仿宋_GB2312" w:eastAsia="仿宋_GB2312" w:cs="仿宋_GB2312"/>
                <w:sz w:val="24"/>
              </w:rPr>
            </w:pPr>
          </w:p>
        </w:tc>
        <w:tc>
          <w:tcPr>
            <w:tcW w:w="990" w:type="dxa"/>
          </w:tcPr>
          <w:p>
            <w:pPr>
              <w:spacing w:line="560" w:lineRule="exact"/>
              <w:rPr>
                <w:rFonts w:ascii="仿宋_GB2312" w:hAnsi="仿宋_GB2312" w:eastAsia="仿宋_GB2312" w:cs="仿宋_GB2312"/>
                <w:sz w:val="24"/>
              </w:rPr>
            </w:pPr>
          </w:p>
        </w:tc>
        <w:tc>
          <w:tcPr>
            <w:tcW w:w="880" w:type="dxa"/>
          </w:tcPr>
          <w:p>
            <w:pPr>
              <w:spacing w:line="560" w:lineRule="exact"/>
              <w:rPr>
                <w:rFonts w:ascii="仿宋_GB2312" w:hAnsi="仿宋_GB2312" w:eastAsia="仿宋_GB2312" w:cs="仿宋_GB2312"/>
                <w:sz w:val="24"/>
              </w:rPr>
            </w:pPr>
          </w:p>
        </w:tc>
      </w:tr>
    </w:tbl>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六、国有资产占有使用及资产购置情况说明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截止上年底，本单位共有车辆5辆，单价20万元以上的设备36台（套）。当年部门预算安排购置车辆0辆；安排购置单价20万元以上的设备6台（套）。</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七、政府采购情况说明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本单位当年无政府采购预算，并已公开空表。</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八、绩效目标情况说明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本单位绩效目标管理全覆盖，涉及当年一般公共预算当年拨款1439.17万元（详见公开报表中的绩效目标表）。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九、公用经费情况说明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本单位当年公用经费预算安排89.95万元，较上年增加5.2万元，主要原因是本年新增4名人员纳入财政供养，公用经费支出增加。</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十、专业名词解释</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1、基本支出：指为保障机构正常运转、完成日常工作任务而发生的各项支出。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2、项目支出：指单位为完成特定的行政工作任务或事业发展目标所发生的各项支出。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3、“三公”经费：指部门使用一般公共预算财政拨款安排的因公出国（境）费、公务用车购置及运行费和公务接待费支出。</w:t>
      </w:r>
    </w:p>
    <w:p>
      <w:pPr>
        <w:pStyle w:val="2"/>
        <w:ind w:firstLine="640"/>
      </w:pPr>
      <w:r>
        <w:rPr>
          <w:rFonts w:hint="eastAsia" w:ascii="仿宋_GB2312" w:hAnsi="仿宋_GB2312" w:cs="仿宋_GB2312"/>
          <w:szCs w:val="32"/>
        </w:rPr>
        <w:t>4、公用经费：即商品和服务支出，反映单位购买商品和服务的支出,不包括用于购置固定资产、战略性和应急性物资储备等资本性支出。主要有办公费、印刷费、咨询费、水费、电费、邮电费、物业管理费、专用材料费、差旅费、劳务费、因公出国（境）费用、会议费、培训费、维修（护）费、公务接待费、委托业务费、工会经费、福利费、公务用车运行维护费、其他交通费用等。</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人员经费：即工资福利支出和对个人和家庭的补助支出。工资福利支出，反映单位开支的在职职工和编制外长期聘用人员的各类劳动报酬，以及为上述人员缴纳的各项社会保险费等。主要有基本工资、津贴补贴、奖金、机关事业单位基本养老保险缴费、职业年金缴费、职工基本医疗保险缴费、住房公积金、其他社会保障缴费等。对个人和家庭的补助支出，反映用于对个人和家庭的补助支出。包括离休费、退休费、生活补助、抚恤金、救济费、奖励金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第四部分  公开报表</w:t>
      </w:r>
      <w:r>
        <w:rPr>
          <w:rFonts w:hint="eastAsia" w:ascii="仿宋_GB2312" w:hAnsi="仿宋_GB2312" w:eastAsia="仿宋_GB2312" w:cs="仿宋_GB2312"/>
          <w:sz w:val="32"/>
          <w:szCs w:val="32"/>
        </w:rPr>
        <w:tab/>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
      <w:pPr>
        <w:pStyle w:val="5"/>
        <w:pBdr>
          <w:bottom w:val="single" w:color="FFFFFF" w:sz="4" w:space="31"/>
        </w:pBdr>
        <w:autoSpaceDE/>
        <w:spacing w:line="580" w:lineRule="exact"/>
        <w:ind w:firstLine="640" w:firstLineChars="200"/>
        <w:rPr>
          <w:rFonts w:ascii="仿宋_GB2312" w:hAnsi="仿宋_GB2312" w:cs="仿宋_GB2312"/>
        </w:rPr>
      </w:pPr>
    </w:p>
    <w:p>
      <w:pPr>
        <w:pStyle w:val="4"/>
      </w:pPr>
    </w:p>
    <w:p/>
    <w:p>
      <w:pPr>
        <w:spacing w:line="520" w:lineRule="exact"/>
        <w:ind w:firstLine="630" w:firstLineChars="300"/>
      </w:pPr>
    </w:p>
    <w:sectPr>
      <w:headerReference r:id="rId3" w:type="default"/>
      <w:footerReference r:id="rId4" w:type="default"/>
      <w:footerReference r:id="rId5" w:type="even"/>
      <w:pgSz w:w="11905" w:h="16838" w:orient="landscape"/>
      <w:pgMar w:top="1644" w:right="1417" w:bottom="1644" w:left="1417"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- 11 -</w:t>
    </w:r>
    <w:r>
      <w:rPr>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fldChar w:fldCharType="begin"/>
    </w:r>
    <w:r>
      <w:rPr>
        <w:rStyle w:val="9"/>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A49DBE"/>
    <w:multiLevelType w:val="singleLevel"/>
    <w:tmpl w:val="91A49DBE"/>
    <w:lvl w:ilvl="0" w:tentative="0">
      <w:start w:val="1"/>
      <w:numFmt w:val="decimal"/>
      <w:suff w:val="nothing"/>
      <w:lvlText w:val="（%1）"/>
      <w:lvlJc w:val="left"/>
    </w:lvl>
  </w:abstractNum>
  <w:abstractNum w:abstractNumId="1">
    <w:nsid w:val="19679E42"/>
    <w:multiLevelType w:val="singleLevel"/>
    <w:tmpl w:val="19679E42"/>
    <w:lvl w:ilvl="0" w:tentative="0">
      <w:start w:val="3"/>
      <w:numFmt w:val="chineseCounting"/>
      <w:suff w:val="nothing"/>
      <w:lvlText w:val="%1、"/>
      <w:lvlJc w:val="left"/>
      <w:rPr>
        <w:rFonts w:hint="eastAsia"/>
      </w:rPr>
    </w:lvl>
  </w:abstractNum>
  <w:abstractNum w:abstractNumId="2">
    <w:nsid w:val="4493C0EA"/>
    <w:multiLevelType w:val="singleLevel"/>
    <w:tmpl w:val="4493C0E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yODZjMWRhZDQ2YWNmMjY4MDJmMTU3YWVjZjI4NTkifQ=="/>
  </w:docVars>
  <w:rsids>
    <w:rsidRoot w:val="00E21FF3"/>
    <w:rsid w:val="00196B3E"/>
    <w:rsid w:val="00332CBD"/>
    <w:rsid w:val="003534B1"/>
    <w:rsid w:val="0052525B"/>
    <w:rsid w:val="005428DF"/>
    <w:rsid w:val="005D6F3F"/>
    <w:rsid w:val="006D29F9"/>
    <w:rsid w:val="00747142"/>
    <w:rsid w:val="007F3203"/>
    <w:rsid w:val="0085331B"/>
    <w:rsid w:val="008802BE"/>
    <w:rsid w:val="008B60E4"/>
    <w:rsid w:val="00A25CFE"/>
    <w:rsid w:val="00A70434"/>
    <w:rsid w:val="00B8575F"/>
    <w:rsid w:val="00CD58C6"/>
    <w:rsid w:val="00D253BC"/>
    <w:rsid w:val="00E21FF3"/>
    <w:rsid w:val="00F35AAD"/>
    <w:rsid w:val="04262CA0"/>
    <w:rsid w:val="05227399"/>
    <w:rsid w:val="05DF6E61"/>
    <w:rsid w:val="06AE3E0A"/>
    <w:rsid w:val="08C23B9D"/>
    <w:rsid w:val="103D16F9"/>
    <w:rsid w:val="10945E1E"/>
    <w:rsid w:val="109C23F1"/>
    <w:rsid w:val="14B013A2"/>
    <w:rsid w:val="16DE2F21"/>
    <w:rsid w:val="19824ACB"/>
    <w:rsid w:val="1CE912A0"/>
    <w:rsid w:val="1F8C2BDE"/>
    <w:rsid w:val="21351BA3"/>
    <w:rsid w:val="2C7B7ADF"/>
    <w:rsid w:val="318E4296"/>
    <w:rsid w:val="321E647B"/>
    <w:rsid w:val="32EA5292"/>
    <w:rsid w:val="34CC4550"/>
    <w:rsid w:val="36417488"/>
    <w:rsid w:val="381819B6"/>
    <w:rsid w:val="3A5C7ADE"/>
    <w:rsid w:val="3CF712C3"/>
    <w:rsid w:val="3DE63105"/>
    <w:rsid w:val="3E120430"/>
    <w:rsid w:val="418F600A"/>
    <w:rsid w:val="43B92ECB"/>
    <w:rsid w:val="473210A0"/>
    <w:rsid w:val="4732445C"/>
    <w:rsid w:val="47ED4A99"/>
    <w:rsid w:val="49C74364"/>
    <w:rsid w:val="49DB69AA"/>
    <w:rsid w:val="4C38057D"/>
    <w:rsid w:val="4E946A0E"/>
    <w:rsid w:val="4FC759A8"/>
    <w:rsid w:val="4FC8653B"/>
    <w:rsid w:val="5060703B"/>
    <w:rsid w:val="552350CE"/>
    <w:rsid w:val="5B264E92"/>
    <w:rsid w:val="60695F4D"/>
    <w:rsid w:val="61142069"/>
    <w:rsid w:val="656975C1"/>
    <w:rsid w:val="68790A30"/>
    <w:rsid w:val="68C2035E"/>
    <w:rsid w:val="6BDB75D2"/>
    <w:rsid w:val="6DDA2238"/>
    <w:rsid w:val="71F00F68"/>
    <w:rsid w:val="741915E0"/>
    <w:rsid w:val="76816FC9"/>
    <w:rsid w:val="774B0AE9"/>
    <w:rsid w:val="7CE3417E"/>
    <w:rsid w:val="7D39684F"/>
    <w:rsid w:val="7D3F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next w:val="1"/>
    <w:qFormat/>
    <w:uiPriority w:val="0"/>
    <w:pPr>
      <w:keepNext/>
      <w:keepLines/>
      <w:widowControl w:val="0"/>
      <w:spacing w:before="280" w:after="290" w:line="376" w:lineRule="auto"/>
      <w:jc w:val="both"/>
      <w:outlineLvl w:val="3"/>
    </w:pPr>
    <w:rPr>
      <w:rFonts w:ascii="宋体" w:hAnsi="宋体" w:eastAsia="宋体" w:cs="Times New Roman"/>
      <w:color w:val="000000"/>
      <w:kern w:val="2"/>
      <w:sz w:val="28"/>
      <w:szCs w:val="28"/>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line="560" w:lineRule="exact"/>
      <w:ind w:firstLine="883" w:firstLineChars="200"/>
    </w:pPr>
    <w:rPr>
      <w:rFonts w:eastAsia="仿宋_GB2312"/>
      <w:sz w:val="32"/>
    </w:rPr>
  </w:style>
  <w:style w:type="paragraph" w:customStyle="1" w:styleId="3">
    <w:name w:val="index 81"/>
    <w:basedOn w:val="1"/>
    <w:next w:val="1"/>
    <w:qFormat/>
    <w:uiPriority w:val="0"/>
    <w:pPr>
      <w:ind w:left="1400" w:leftChars="1400"/>
    </w:pPr>
  </w:style>
  <w:style w:type="paragraph" w:styleId="5">
    <w:name w:val="Body Text Indent 2"/>
    <w:basedOn w:val="1"/>
    <w:qFormat/>
    <w:uiPriority w:val="0"/>
    <w:pPr>
      <w:autoSpaceDE w:val="0"/>
      <w:autoSpaceDN w:val="0"/>
      <w:ind w:firstLine="600"/>
    </w:pPr>
    <w:rPr>
      <w:rFonts w:eastAsia="仿宋_GB2312"/>
      <w:sz w:val="32"/>
      <w:szCs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706</Words>
  <Characters>4026</Characters>
  <Lines>33</Lines>
  <Paragraphs>9</Paragraphs>
  <TotalTime>38</TotalTime>
  <ScaleCrop>false</ScaleCrop>
  <LinksUpToDate>false</LinksUpToDate>
  <CharactersWithSpaces>4723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2023-02-14T00:55:00Z</dcterms:created>
  <dc:creator>Administrator</dc:creator>
  <cp:lastModifiedBy>O(∩_∩)O</cp:lastModifiedBy>
  <cp:lastPrinted>2021-12-02T07:30:00Z</cp:lastPrinted>
  <dcterms:modified xsi:type="dcterms:W3CDTF">2023-03-15T08:34:16Z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52DAC39B5B7E42CDB9B6F61304FF3765</vt:lpwstr>
  </property>
</Properties>
</file>