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附件2</w:t>
      </w:r>
    </w:p>
    <w:p>
      <w:pPr>
        <w:jc w:val="center"/>
        <w:rPr>
          <w:rFonts w:ascii="黑体" w:hAnsi="黑体" w:eastAsia="黑体"/>
          <w:sz w:val="36"/>
          <w:szCs w:val="36"/>
        </w:rPr>
      </w:pPr>
    </w:p>
    <w:p>
      <w:pPr>
        <w:jc w:val="center"/>
        <w:rPr>
          <w:rFonts w:ascii="黑体" w:hAnsi="黑体" w:eastAsia="黑体"/>
          <w:sz w:val="44"/>
          <w:szCs w:val="44"/>
        </w:rPr>
      </w:pPr>
      <w:r>
        <w:rPr>
          <w:rFonts w:hint="eastAsia" w:ascii="黑体" w:hAnsi="黑体" w:eastAsia="黑体"/>
          <w:sz w:val="44"/>
          <w:szCs w:val="44"/>
        </w:rPr>
        <w:t>商洛市妇幼保健院</w:t>
      </w:r>
    </w:p>
    <w:p>
      <w:pPr>
        <w:jc w:val="center"/>
        <w:rPr>
          <w:rFonts w:ascii="黑体" w:hAnsi="黑体" w:eastAsia="黑体"/>
          <w:sz w:val="44"/>
          <w:szCs w:val="44"/>
        </w:rPr>
      </w:pPr>
      <w:r>
        <w:rPr>
          <w:rFonts w:hint="eastAsia" w:ascii="黑体" w:hAnsi="黑体" w:eastAsia="黑体"/>
          <w:sz w:val="44"/>
          <w:szCs w:val="44"/>
        </w:rPr>
        <w:t>2023年单位预算公开说明</w:t>
      </w:r>
    </w:p>
    <w:p/>
    <w:p>
      <w:pPr>
        <w:jc w:val="center"/>
        <w:rPr>
          <w:sz w:val="36"/>
          <w:szCs w:val="36"/>
        </w:rPr>
      </w:pPr>
      <w:r>
        <w:rPr>
          <w:rFonts w:hint="eastAsia"/>
          <w:b/>
          <w:bCs/>
          <w:sz w:val="36"/>
          <w:szCs w:val="36"/>
        </w:rPr>
        <w:t>目录</w:t>
      </w:r>
    </w:p>
    <w:p>
      <w:pPr>
        <w:jc w:val="left"/>
        <w:rPr>
          <w:rFonts w:ascii="仿宋" w:hAnsi="仿宋" w:eastAsia="仿宋" w:cs="宋体"/>
          <w:sz w:val="32"/>
          <w:szCs w:val="32"/>
        </w:rPr>
      </w:pPr>
      <w:r>
        <w:rPr>
          <w:rFonts w:hint="eastAsia" w:ascii="仿宋" w:hAnsi="仿宋" w:eastAsia="仿宋" w:cs="宋体"/>
          <w:b/>
          <w:bCs/>
          <w:sz w:val="32"/>
          <w:szCs w:val="32"/>
        </w:rPr>
        <w:t>第一部分 单位概况</w:t>
      </w:r>
    </w:p>
    <w:p>
      <w:pPr>
        <w:jc w:val="left"/>
        <w:rPr>
          <w:rFonts w:ascii="仿宋" w:hAnsi="仿宋" w:eastAsia="仿宋" w:cs="宋体"/>
          <w:sz w:val="32"/>
          <w:szCs w:val="32"/>
        </w:rPr>
      </w:pPr>
      <w:r>
        <w:rPr>
          <w:rFonts w:hint="eastAsia" w:ascii="仿宋" w:hAnsi="仿宋" w:eastAsia="仿宋" w:cs="宋体"/>
          <w:sz w:val="32"/>
          <w:szCs w:val="32"/>
        </w:rPr>
        <w:t>一、主要职责及机构设置</w:t>
      </w:r>
    </w:p>
    <w:p>
      <w:pPr>
        <w:rPr>
          <w:rFonts w:ascii="仿宋" w:hAnsi="仿宋" w:eastAsia="仿宋" w:cs="宋体"/>
          <w:sz w:val="32"/>
          <w:szCs w:val="32"/>
        </w:rPr>
      </w:pPr>
      <w:r>
        <w:rPr>
          <w:rFonts w:hint="eastAsia" w:ascii="仿宋" w:hAnsi="仿宋" w:eastAsia="仿宋" w:cs="宋体"/>
          <w:sz w:val="32"/>
          <w:szCs w:val="32"/>
        </w:rPr>
        <w:t>二、工作任务</w:t>
      </w:r>
    </w:p>
    <w:p>
      <w:pPr>
        <w:rPr>
          <w:rFonts w:ascii="仿宋" w:hAnsi="仿宋" w:eastAsia="仿宋" w:cs="宋体"/>
          <w:sz w:val="32"/>
          <w:szCs w:val="32"/>
        </w:rPr>
      </w:pPr>
      <w:r>
        <w:rPr>
          <w:rFonts w:hint="eastAsia" w:ascii="仿宋" w:hAnsi="仿宋" w:eastAsia="仿宋" w:cs="宋体"/>
          <w:sz w:val="32"/>
          <w:szCs w:val="32"/>
        </w:rPr>
        <w:t>三、人员情况说明</w:t>
      </w:r>
    </w:p>
    <w:p>
      <w:pPr>
        <w:rPr>
          <w:rFonts w:ascii="仿宋" w:hAnsi="仿宋" w:eastAsia="仿宋" w:cs="宋体"/>
          <w:sz w:val="32"/>
          <w:szCs w:val="32"/>
        </w:rPr>
      </w:pPr>
      <w:r>
        <w:rPr>
          <w:rFonts w:hint="eastAsia" w:ascii="仿宋" w:hAnsi="仿宋" w:eastAsia="仿宋" w:cs="宋体"/>
          <w:b/>
          <w:bCs/>
          <w:sz w:val="32"/>
          <w:szCs w:val="32"/>
        </w:rPr>
        <w:t>第二部分 收支情况</w:t>
      </w:r>
    </w:p>
    <w:p>
      <w:pPr>
        <w:rPr>
          <w:rFonts w:ascii="仿宋" w:hAnsi="仿宋" w:eastAsia="仿宋" w:cs="宋体"/>
          <w:sz w:val="32"/>
          <w:szCs w:val="32"/>
        </w:rPr>
      </w:pPr>
      <w:r>
        <w:rPr>
          <w:rFonts w:hint="eastAsia" w:ascii="仿宋" w:hAnsi="仿宋" w:eastAsia="仿宋" w:cs="宋体"/>
          <w:sz w:val="32"/>
          <w:szCs w:val="32"/>
        </w:rPr>
        <w:t>四、收支说明</w:t>
      </w:r>
    </w:p>
    <w:p>
      <w:pPr>
        <w:rPr>
          <w:rFonts w:ascii="仿宋" w:hAnsi="仿宋" w:eastAsia="仿宋" w:cs="宋体"/>
          <w:sz w:val="32"/>
          <w:szCs w:val="32"/>
        </w:rPr>
      </w:pPr>
      <w:r>
        <w:rPr>
          <w:rFonts w:hint="eastAsia" w:ascii="仿宋" w:hAnsi="仿宋" w:eastAsia="仿宋" w:cs="宋体"/>
          <w:b/>
          <w:bCs/>
          <w:sz w:val="32"/>
          <w:szCs w:val="32"/>
        </w:rPr>
        <w:t>第三部分  其他情况</w:t>
      </w:r>
    </w:p>
    <w:p>
      <w:pPr>
        <w:rPr>
          <w:rFonts w:ascii="仿宋" w:hAnsi="仿宋" w:eastAsia="仿宋" w:cs="宋体"/>
          <w:sz w:val="32"/>
          <w:szCs w:val="32"/>
          <w:u w:val="single"/>
        </w:rPr>
      </w:pPr>
      <w:r>
        <w:rPr>
          <w:rFonts w:hint="eastAsia" w:ascii="仿宋" w:hAnsi="仿宋" w:eastAsia="仿宋" w:cs="宋体"/>
          <w:sz w:val="32"/>
          <w:szCs w:val="32"/>
        </w:rPr>
        <w:t>五、“三公”经费及会议费、培训费情况说明</w:t>
      </w:r>
    </w:p>
    <w:p>
      <w:pPr>
        <w:rPr>
          <w:rFonts w:ascii="仿宋" w:hAnsi="仿宋" w:eastAsia="仿宋" w:cs="宋体"/>
          <w:sz w:val="32"/>
          <w:szCs w:val="32"/>
        </w:rPr>
      </w:pPr>
      <w:r>
        <w:rPr>
          <w:rFonts w:hint="eastAsia" w:ascii="仿宋" w:hAnsi="仿宋" w:eastAsia="仿宋" w:cs="宋体"/>
          <w:sz w:val="32"/>
          <w:szCs w:val="32"/>
        </w:rPr>
        <w:t>六、国有资产占有使用及资产购置情况说明</w:t>
      </w:r>
    </w:p>
    <w:p>
      <w:pPr>
        <w:rPr>
          <w:rFonts w:ascii="仿宋" w:hAnsi="仿宋" w:eastAsia="仿宋" w:cs="宋体"/>
          <w:sz w:val="32"/>
          <w:szCs w:val="32"/>
        </w:rPr>
      </w:pPr>
      <w:r>
        <w:rPr>
          <w:rFonts w:hint="eastAsia" w:ascii="仿宋" w:hAnsi="仿宋" w:eastAsia="仿宋" w:cs="宋体"/>
          <w:sz w:val="32"/>
          <w:szCs w:val="32"/>
        </w:rPr>
        <w:t>七、政府采购情况说明</w:t>
      </w:r>
    </w:p>
    <w:p>
      <w:pPr>
        <w:rPr>
          <w:rFonts w:ascii="仿宋" w:hAnsi="仿宋" w:eastAsia="仿宋" w:cs="宋体"/>
          <w:sz w:val="32"/>
          <w:szCs w:val="32"/>
        </w:rPr>
      </w:pPr>
      <w:r>
        <w:rPr>
          <w:rFonts w:hint="eastAsia" w:ascii="仿宋" w:hAnsi="仿宋" w:eastAsia="仿宋" w:cs="宋体"/>
          <w:sz w:val="32"/>
          <w:szCs w:val="32"/>
        </w:rPr>
        <w:t>八、绩效目标说明</w:t>
      </w:r>
    </w:p>
    <w:p>
      <w:pPr>
        <w:rPr>
          <w:rFonts w:ascii="仿宋" w:hAnsi="仿宋" w:eastAsia="仿宋" w:cs="宋体"/>
          <w:sz w:val="32"/>
          <w:szCs w:val="32"/>
        </w:rPr>
      </w:pPr>
      <w:r>
        <w:rPr>
          <w:rFonts w:hint="eastAsia" w:ascii="仿宋" w:hAnsi="仿宋" w:eastAsia="仿宋" w:cs="宋体"/>
          <w:sz w:val="32"/>
          <w:szCs w:val="32"/>
        </w:rPr>
        <w:t>九、公用经费情况说明</w:t>
      </w:r>
    </w:p>
    <w:p>
      <w:pPr>
        <w:rPr>
          <w:rFonts w:ascii="仿宋" w:hAnsi="仿宋" w:eastAsia="仿宋" w:cs="宋体"/>
          <w:sz w:val="32"/>
          <w:szCs w:val="32"/>
        </w:rPr>
      </w:pPr>
      <w:r>
        <w:rPr>
          <w:rFonts w:hint="eastAsia" w:ascii="仿宋" w:hAnsi="仿宋" w:eastAsia="仿宋" w:cs="宋体"/>
          <w:sz w:val="32"/>
          <w:szCs w:val="32"/>
        </w:rPr>
        <w:t>十、专业名词解释</w:t>
      </w:r>
    </w:p>
    <w:p>
      <w:pPr>
        <w:rPr>
          <w:rFonts w:ascii="宋体" w:hAnsi="宋体" w:cs="宋体"/>
          <w:b/>
          <w:bCs/>
          <w:sz w:val="32"/>
          <w:szCs w:val="32"/>
        </w:rPr>
      </w:pPr>
      <w:r>
        <w:rPr>
          <w:rFonts w:hint="eastAsia" w:ascii="宋体" w:hAnsi="宋体" w:cs="宋体"/>
          <w:b/>
          <w:bCs/>
          <w:sz w:val="32"/>
          <w:szCs w:val="32"/>
        </w:rPr>
        <w:t>第四部分  公开报表</w:t>
      </w:r>
    </w:p>
    <w:p>
      <w:pPr>
        <w:rPr>
          <w:rFonts w:ascii="宋体" w:hAnsi="宋体" w:cs="宋体"/>
          <w:sz w:val="32"/>
          <w:szCs w:val="32"/>
        </w:rPr>
      </w:pPr>
      <w:r>
        <w:rPr>
          <w:rFonts w:hint="eastAsia" w:ascii="宋体" w:hAnsi="宋体" w:cs="宋体"/>
          <w:sz w:val="32"/>
          <w:szCs w:val="32"/>
        </w:rPr>
        <w:t>（具体预算公开报表）</w:t>
      </w:r>
    </w:p>
    <w:p>
      <w:pPr>
        <w:rPr>
          <w:rFonts w:ascii="宋体" w:hAnsi="宋体" w:cs="宋体"/>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6"/>
          <w:szCs w:val="36"/>
        </w:rPr>
      </w:pPr>
      <w:r>
        <w:rPr>
          <w:rFonts w:hint="eastAsia" w:ascii="宋体" w:hAnsi="宋体" w:cs="宋体"/>
          <w:b/>
          <w:bCs/>
          <w:sz w:val="36"/>
          <w:szCs w:val="36"/>
        </w:rPr>
        <w:t>第一部分  单位概况</w:t>
      </w:r>
    </w:p>
    <w:p>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ind w:firstLine="640"/>
        <w:rPr>
          <w:rFonts w:hint="eastAsia" w:ascii="黑体" w:hAnsi="黑体" w:eastAsia="黑体" w:cs="仿宋_GB2312"/>
          <w:bCs/>
          <w:sz w:val="32"/>
          <w:szCs w:val="32"/>
        </w:rPr>
      </w:pPr>
      <w:r>
        <w:rPr>
          <w:rFonts w:hint="eastAsia" w:ascii="黑体" w:hAnsi="黑体" w:eastAsia="黑体" w:cs="仿宋_GB2312"/>
          <w:bCs/>
          <w:sz w:val="32"/>
          <w:szCs w:val="32"/>
        </w:rPr>
        <w:t>一、主要职责及机构设置</w:t>
      </w: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（一）主要职责</w:t>
      </w:r>
    </w:p>
    <w:p>
      <w:pPr>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1、商洛市妇幼保健院是全市唯一一家三级乙等专科医院，非营利性医疗机构，承担全市妇女儿童健康教育工作。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_GB2312"/>
          <w:sz w:val="32"/>
          <w:szCs w:val="32"/>
        </w:rPr>
        <w:t>2、</w:t>
      </w:r>
      <w:r>
        <w:rPr>
          <w:rFonts w:hint="eastAsia" w:ascii="仿宋" w:hAnsi="仿宋" w:eastAsia="仿宋" w:cs="仿宋"/>
          <w:sz w:val="32"/>
          <w:szCs w:val="32"/>
        </w:rPr>
        <w:t>宣传动员，强化落实，全面推进公立医院高质量发展，不断提高医院医疗业务水平发展与现代科学化医院管理发展。</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3、组织开展计划生育宣传工作，普及有关全民健康、计划生育、预防艾滋病等科学知识。</w:t>
      </w:r>
    </w:p>
    <w:p>
      <w:pPr>
        <w:spacing w:line="600" w:lineRule="exact"/>
        <w:ind w:firstLine="640" w:firstLineChars="200"/>
        <w:rPr>
          <w:rFonts w:hint="eastAsia" w:ascii="仿宋" w:hAnsi="仿宋" w:eastAsia="仿宋" w:cs="仿宋_GB2312"/>
          <w:sz w:val="32"/>
          <w:szCs w:val="32"/>
        </w:rPr>
      </w:pPr>
      <w:r>
        <w:rPr>
          <w:rFonts w:hint="eastAsia" w:ascii="仿宋" w:hAnsi="仿宋" w:eastAsia="仿宋" w:cs="仿宋"/>
          <w:sz w:val="32"/>
          <w:szCs w:val="32"/>
        </w:rPr>
        <w:t>4、开展</w:t>
      </w:r>
      <w:r>
        <w:rPr>
          <w:rFonts w:hint="eastAsia" w:ascii="仿宋" w:hAnsi="仿宋" w:eastAsia="仿宋" w:cs="仿宋_GB2312"/>
          <w:sz w:val="32"/>
          <w:szCs w:val="32"/>
        </w:rPr>
        <w:t>孕产期保健部、儿童保健部、妇女保健部等32个专业科室，为全市妇女儿童的健康保驾护航。</w:t>
      </w:r>
    </w:p>
    <w:p>
      <w:pPr>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5、开展孕产妇急救，新生儿急救、新生儿疾病筛查中心、艾滋病筛查中心、预产期保健中心等重点学科建设，保障孕产妇及新生儿的安全工作，已是我市重点救治单位，也成为全市优势学科。</w:t>
      </w:r>
    </w:p>
    <w:p>
      <w:pPr>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6、开展与妇女儿童健康有关的其他活动。</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7、积极发展人才培养工作，不断医院工作提高人员业务水平与技术能力。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8、承办市卫生健康委员会交办和委托的其他工作。</w:t>
      </w:r>
    </w:p>
    <w:p>
      <w:pPr>
        <w:spacing w:line="600" w:lineRule="exact"/>
        <w:ind w:firstLine="643" w:firstLineChars="200"/>
        <w:rPr>
          <w:rFonts w:ascii="仿宋" w:hAnsi="仿宋" w:eastAsia="仿宋" w:cs="仿宋"/>
          <w:b/>
          <w:sz w:val="32"/>
          <w:szCs w:val="32"/>
        </w:rPr>
      </w:pPr>
      <w:r>
        <w:rPr>
          <w:rFonts w:hint="eastAsia" w:ascii="仿宋" w:hAnsi="仿宋" w:eastAsia="仿宋" w:cs="仿宋"/>
          <w:b/>
          <w:sz w:val="32"/>
          <w:szCs w:val="32"/>
        </w:rPr>
        <w:t>（二）内设机构</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商洛市妇幼保健院设置床位450张。全院现有职工近392人，其中卫生专业技人员315人，高级职称32人。有妇产医院、儿童医院、口腔医院3个院区和商洛市健康教育中心。新院暂设床位120张。拥有孕产期保健部、儿童保健部和妇女保健部共计32个专业科室（不含名医工作室，中医专家工作室，外聘专家等工作室），有国内外先进的医疗设备300余台（套）。</w:t>
      </w:r>
    </w:p>
    <w:p>
      <w:pPr>
        <w:ind w:firstLine="640"/>
        <w:rPr>
          <w:rFonts w:hint="eastAsia" w:ascii="黑体" w:hAnsi="黑体" w:eastAsia="黑体" w:cs="仿宋_GB2312"/>
          <w:bCs/>
          <w:sz w:val="32"/>
          <w:szCs w:val="32"/>
        </w:rPr>
      </w:pPr>
      <w:r>
        <w:rPr>
          <w:rFonts w:hint="eastAsia" w:ascii="黑体" w:hAnsi="黑体" w:eastAsia="黑体" w:cs="仿宋_GB2312"/>
          <w:bCs/>
          <w:sz w:val="32"/>
          <w:szCs w:val="32"/>
        </w:rPr>
        <w:t>二、工作任务</w:t>
      </w:r>
    </w:p>
    <w:p>
      <w:pPr>
        <w:rPr>
          <w:rFonts w:ascii="仿宋" w:hAnsi="仿宋" w:eastAsia="仿宋" w:cs="仿宋_GB2312"/>
          <w:bCs/>
          <w:sz w:val="32"/>
          <w:szCs w:val="32"/>
        </w:rPr>
      </w:pPr>
      <w:r>
        <w:rPr>
          <w:rFonts w:hint="eastAsia" w:ascii="仿宋" w:hAnsi="仿宋" w:eastAsia="仿宋" w:cs="仿宋_GB2312"/>
          <w:bCs/>
          <w:sz w:val="32"/>
          <w:szCs w:val="32"/>
        </w:rPr>
        <w:t>1.建党引领，保证党对妇幼工作的全面领导；</w:t>
      </w:r>
    </w:p>
    <w:p>
      <w:pPr>
        <w:rPr>
          <w:rFonts w:ascii="仿宋" w:hAnsi="仿宋" w:eastAsia="仿宋" w:cs="仿宋_GB2312"/>
          <w:sz w:val="32"/>
          <w:szCs w:val="32"/>
        </w:rPr>
      </w:pPr>
      <w:r>
        <w:rPr>
          <w:rFonts w:hint="eastAsia" w:ascii="仿宋" w:hAnsi="仿宋" w:eastAsia="仿宋" w:cs="仿宋_GB2312"/>
          <w:sz w:val="32"/>
          <w:szCs w:val="32"/>
        </w:rPr>
        <w:t>2.积极落实上级部门有关政策与文件精神，严格履行医院各项规章制度，推动公立医院高质量发展；</w:t>
      </w:r>
    </w:p>
    <w:p>
      <w:pPr>
        <w:rPr>
          <w:rFonts w:ascii="仿宋" w:hAnsi="仿宋" w:eastAsia="仿宋" w:cs="仿宋_GB2312"/>
          <w:sz w:val="32"/>
          <w:szCs w:val="32"/>
        </w:rPr>
      </w:pPr>
      <w:r>
        <w:rPr>
          <w:rFonts w:hint="eastAsia" w:ascii="仿宋" w:hAnsi="仿宋" w:eastAsia="仿宋" w:cs="仿宋_GB2312"/>
          <w:sz w:val="32"/>
          <w:szCs w:val="32"/>
        </w:rPr>
        <w:t>3.进一步加强党风廉政、医德医风和行风建设工作;</w:t>
      </w:r>
    </w:p>
    <w:p>
      <w:pPr>
        <w:rPr>
          <w:rFonts w:ascii="仿宋" w:hAnsi="仿宋" w:eastAsia="仿宋" w:cs="仿宋_GB2312"/>
          <w:sz w:val="32"/>
          <w:szCs w:val="32"/>
        </w:rPr>
      </w:pPr>
      <w:r>
        <w:rPr>
          <w:rFonts w:hint="eastAsia" w:ascii="仿宋" w:hAnsi="仿宋" w:eastAsia="仿宋" w:cs="仿宋_GB2312"/>
          <w:sz w:val="32"/>
          <w:szCs w:val="32"/>
        </w:rPr>
        <w:t>4.有序推进医共体、医联体建设工作;</w:t>
      </w:r>
    </w:p>
    <w:p>
      <w:pPr>
        <w:rPr>
          <w:rFonts w:ascii="仿宋" w:hAnsi="仿宋" w:eastAsia="仿宋" w:cs="仿宋_GB2312"/>
          <w:sz w:val="32"/>
          <w:szCs w:val="32"/>
        </w:rPr>
      </w:pPr>
      <w:r>
        <w:rPr>
          <w:rFonts w:hint="eastAsia" w:ascii="仿宋" w:hAnsi="仿宋" w:eastAsia="仿宋" w:cs="仿宋_GB2312"/>
          <w:sz w:val="32"/>
          <w:szCs w:val="32"/>
        </w:rPr>
        <w:t>5.积极开展等级医院评审工作;</w:t>
      </w:r>
    </w:p>
    <w:p>
      <w:pPr>
        <w:rPr>
          <w:rFonts w:hint="eastAsia" w:ascii="仿宋" w:hAnsi="仿宋" w:eastAsia="仿宋" w:cs="仿宋_GB2312"/>
          <w:sz w:val="32"/>
          <w:szCs w:val="32"/>
        </w:rPr>
      </w:pPr>
      <w:r>
        <w:rPr>
          <w:rFonts w:hint="eastAsia" w:ascii="仿宋" w:hAnsi="仿宋" w:eastAsia="仿宋" w:cs="仿宋_GB2312"/>
          <w:sz w:val="32"/>
          <w:szCs w:val="32"/>
        </w:rPr>
        <w:t>6.争先创优，激发干事创业“精气神”；</w:t>
      </w:r>
    </w:p>
    <w:p>
      <w:pPr>
        <w:rPr>
          <w:rFonts w:ascii="仿宋" w:hAnsi="仿宋" w:eastAsia="仿宋" w:cs="仿宋_GB2312"/>
          <w:sz w:val="32"/>
          <w:szCs w:val="32"/>
        </w:rPr>
      </w:pPr>
      <w:r>
        <w:rPr>
          <w:rFonts w:hint="eastAsia" w:ascii="仿宋" w:hAnsi="仿宋" w:eastAsia="仿宋" w:cs="仿宋_GB2312"/>
          <w:sz w:val="32"/>
          <w:szCs w:val="32"/>
        </w:rPr>
        <w:t>7.加强自身建设，提升医院人员素质。</w:t>
      </w:r>
    </w:p>
    <w:p>
      <w:pPr>
        <w:ind w:firstLine="640" w:firstLineChars="200"/>
        <w:rPr>
          <w:rFonts w:ascii="黑体" w:hAnsi="黑体" w:eastAsia="黑体" w:cs="仿宋_GB2312"/>
          <w:sz w:val="32"/>
          <w:szCs w:val="32"/>
        </w:rPr>
      </w:pPr>
      <w:r>
        <w:rPr>
          <w:rFonts w:hint="eastAsia" w:ascii="黑体" w:hAnsi="黑体" w:eastAsia="黑体" w:cs="仿宋_GB2312"/>
          <w:bCs/>
          <w:sz w:val="32"/>
          <w:szCs w:val="32"/>
        </w:rPr>
        <w:t>三、人员情况说明</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截止2022年上年底，本单位人员编制226人，其中行政编制0人、事业编制226人；实有人员216人，其中行政   0人、事业216人。单位管理的离退休人员51人。</w:t>
      </w:r>
    </w:p>
    <w:p>
      <w:pPr>
        <w:ind w:firstLine="2731" w:firstLineChars="850"/>
        <w:rPr>
          <w:rFonts w:hint="eastAsia" w:cs="仿宋_GB2312" w:asciiTheme="minorEastAsia" w:hAnsiTheme="minorEastAsia" w:eastAsiaTheme="minorEastAsia"/>
          <w:b/>
          <w:sz w:val="32"/>
          <w:szCs w:val="32"/>
        </w:rPr>
      </w:pPr>
    </w:p>
    <w:p>
      <w:pPr>
        <w:ind w:firstLine="2731" w:firstLineChars="850"/>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人员编制表</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drawing>
          <wp:inline distT="0" distB="0" distL="0" distR="0">
            <wp:extent cx="3759200" cy="2959100"/>
            <wp:effectExtent l="19050" t="0" r="12700" b="0"/>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rPr>
          <w:rFonts w:ascii="仿宋" w:hAnsi="仿宋" w:eastAsia="仿宋" w:cs="仿宋_GB2312"/>
          <w:sz w:val="32"/>
          <w:szCs w:val="32"/>
        </w:rPr>
      </w:pPr>
    </w:p>
    <w:p>
      <w:pPr>
        <w:ind w:firstLine="64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  收支情况</w:t>
      </w:r>
    </w:p>
    <w:p>
      <w:pPr>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四、收支说明</w:t>
      </w:r>
    </w:p>
    <w:p>
      <w:pPr>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（一）收支预算总体情况</w:t>
      </w:r>
    </w:p>
    <w:p>
      <w:pPr>
        <w:ind w:firstLine="640"/>
        <w:rPr>
          <w:rFonts w:ascii="仿宋" w:hAnsi="仿宋" w:eastAsia="仿宋" w:cs="仿宋_GB2312"/>
          <w:sz w:val="32"/>
          <w:szCs w:val="32"/>
        </w:rPr>
      </w:pPr>
      <w:r>
        <w:rPr>
          <w:rFonts w:hint="eastAsia" w:ascii="仿宋" w:hAnsi="仿宋" w:eastAsia="仿宋" w:cs="仿宋_GB2312"/>
          <w:sz w:val="32"/>
          <w:szCs w:val="32"/>
        </w:rPr>
        <w:t>按照综合预算的原则，本单位所有收入和支出均纳入部门预算管理。本单位当年预算收入706.39万元，其中一般公共预算拨款收入706.39万元、政府性基金拨款收入0.00万元，较上年增加165.32万元，主要原因是工资及社保缴费；本单位当年预算支出706.39万元，其中一般公共预算拨款支出706.39万元、政府性基金拨款支出0.00万元，较上年增加165.32万元，主要原因是工资及社保缴费增加。</w:t>
      </w:r>
    </w:p>
    <w:p>
      <w:pPr>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（二）财政拨款收支情况</w:t>
      </w:r>
    </w:p>
    <w:p>
      <w:pPr>
        <w:ind w:firstLine="640"/>
        <w:rPr>
          <w:rFonts w:hint="eastAsia" w:ascii="仿宋" w:hAnsi="仿宋" w:eastAsia="仿宋" w:cs="仿宋_GB2312"/>
          <w:sz w:val="32"/>
          <w:szCs w:val="32"/>
        </w:rPr>
      </w:pPr>
      <w:r>
        <w:rPr>
          <w:rFonts w:hint="eastAsia" w:ascii="仿宋" w:hAnsi="仿宋" w:eastAsia="仿宋" w:cs="仿宋_GB2312"/>
          <w:sz w:val="32"/>
          <w:szCs w:val="32"/>
        </w:rPr>
        <w:t>本单位当年财政拨款收入706.39万元，其中一般共预算拨款收入706.39万元，较上年增加165.32万元，主要原因是工资及社保缴费增加；本单位当年财政拨款支出706.39万元，其中一般公共预算拨款支出706.39万元，较上年增加165.32万元，主要原因是工资及社保缴费增加。</w:t>
      </w:r>
    </w:p>
    <w:p>
      <w:pPr>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（三）一般公共预算拨款支出明细情况</w:t>
      </w:r>
    </w:p>
    <w:p>
      <w:pPr>
        <w:ind w:firstLine="640"/>
        <w:rPr>
          <w:rFonts w:ascii="仿宋" w:hAnsi="仿宋" w:eastAsia="仿宋" w:cs="仿宋_GB2312"/>
          <w:b/>
          <w:sz w:val="32"/>
          <w:szCs w:val="32"/>
        </w:rPr>
      </w:pPr>
      <w:r>
        <w:rPr>
          <w:rFonts w:hint="eastAsia" w:ascii="仿宋" w:hAnsi="仿宋" w:eastAsia="仿宋" w:cs="仿宋_GB2312"/>
          <w:b/>
          <w:sz w:val="32"/>
          <w:szCs w:val="32"/>
        </w:rPr>
        <w:t>1、一般公共预算当年拨款规模变化情况</w:t>
      </w:r>
    </w:p>
    <w:p>
      <w:pPr>
        <w:ind w:firstLine="640"/>
        <w:rPr>
          <w:rFonts w:hint="eastAsia" w:ascii="仿宋" w:hAnsi="仿宋" w:eastAsia="仿宋" w:cs="仿宋_GB2312"/>
          <w:sz w:val="32"/>
          <w:szCs w:val="32"/>
        </w:rPr>
      </w:pPr>
      <w:r>
        <w:rPr>
          <w:rFonts w:hint="eastAsia" w:ascii="仿宋" w:hAnsi="仿宋" w:eastAsia="仿宋" w:cs="仿宋_GB2312"/>
          <w:sz w:val="32"/>
          <w:szCs w:val="32"/>
        </w:rPr>
        <w:t>本单位当年一般公共预算拨款支出706.39万元，较上年增加165.32万元，主要原因是工资及社保缴费增加</w:t>
      </w:r>
    </w:p>
    <w:p>
      <w:pPr>
        <w:ind w:firstLine="640"/>
        <w:rPr>
          <w:rFonts w:ascii="仿宋" w:hAnsi="仿宋" w:eastAsia="仿宋" w:cs="仿宋_GB2312"/>
          <w:b/>
          <w:sz w:val="32"/>
          <w:szCs w:val="32"/>
        </w:rPr>
      </w:pPr>
      <w:r>
        <w:rPr>
          <w:rFonts w:hint="eastAsia" w:ascii="仿宋" w:hAnsi="仿宋" w:eastAsia="仿宋" w:cs="仿宋_GB2312"/>
          <w:b/>
          <w:sz w:val="32"/>
          <w:szCs w:val="32"/>
        </w:rPr>
        <w:t>2、支出按功能科目分类的明细情况</w:t>
      </w:r>
    </w:p>
    <w:p>
      <w:pPr>
        <w:ind w:firstLine="640"/>
        <w:rPr>
          <w:rFonts w:hint="eastAsia" w:ascii="仿宋" w:hAnsi="仿宋" w:eastAsia="仿宋" w:cs="仿宋_GB2312"/>
          <w:sz w:val="32"/>
          <w:szCs w:val="32"/>
        </w:rPr>
      </w:pPr>
      <w:r>
        <w:rPr>
          <w:rFonts w:hint="eastAsia" w:ascii="仿宋" w:hAnsi="仿宋" w:eastAsia="仿宋" w:cs="仿宋_GB2312"/>
          <w:sz w:val="32"/>
          <w:szCs w:val="32"/>
        </w:rPr>
        <w:t>本单位当年一般公共预算支出706.39万元，其中：</w:t>
      </w:r>
    </w:p>
    <w:p>
      <w:pPr>
        <w:widowControl/>
        <w:kinsoku w:val="0"/>
        <w:autoSpaceDE w:val="0"/>
        <w:autoSpaceDN w:val="0"/>
        <w:adjustRightInd w:val="0"/>
        <w:snapToGrid w:val="0"/>
        <w:spacing w:line="54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（1）事业单位离退休费（2080502）1.29万元，与上年相比增加1.29万元，增加原因是离退休人员资金财政给予支持；</w:t>
      </w:r>
    </w:p>
    <w:p>
      <w:pPr>
        <w:widowControl/>
        <w:kinsoku w:val="0"/>
        <w:autoSpaceDE w:val="0"/>
        <w:autoSpaceDN w:val="0"/>
        <w:adjustRightInd w:val="0"/>
        <w:snapToGrid w:val="0"/>
        <w:spacing w:line="54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(2)机关事业单位基本养老保险缴费支出（2080505）61.49万元， 较上年增加17.29万元,原因是工资标准有所调整增加;</w:t>
      </w:r>
    </w:p>
    <w:p>
      <w:pPr>
        <w:widowControl/>
        <w:kinsoku w:val="0"/>
        <w:autoSpaceDE w:val="0"/>
        <w:autoSpaceDN w:val="0"/>
        <w:adjustRightInd w:val="0"/>
        <w:snapToGrid w:val="0"/>
        <w:spacing w:line="54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(3)机关事业单位职业年金缴费支出（2080506）30.74万元，较上年增加8.63万元,原因是工资标准有所调整增加;</w:t>
      </w:r>
    </w:p>
    <w:p>
      <w:pPr>
        <w:widowControl/>
        <w:kinsoku w:val="0"/>
        <w:autoSpaceDE w:val="0"/>
        <w:autoSpaceDN w:val="0"/>
        <w:adjustRightInd w:val="0"/>
        <w:snapToGrid w:val="0"/>
        <w:spacing w:line="540" w:lineRule="exact"/>
        <w:ind w:firstLine="480" w:firstLineChars="150"/>
        <w:textAlignment w:val="baseline"/>
        <w:rPr>
          <w:rFonts w:hint="eastAsia" w:ascii="仿宋" w:hAnsi="仿宋" w:eastAsia="仿宋" w:cs="仿宋"/>
          <w:sz w:val="32"/>
          <w:szCs w:val="32"/>
        </w:rPr>
      </w:pPr>
      <w:r>
        <w:rPr>
          <w:rFonts w:hint="eastAsia" w:ascii="仿宋" w:hAnsi="仿宋" w:eastAsia="仿宋" w:cs="仿宋"/>
          <w:sz w:val="32"/>
          <w:szCs w:val="32"/>
        </w:rPr>
        <w:t>（4）其他妇幼事业支出（2100799）520.42万元,较上年增加 166.34万元,原因是公用经费资金有所增加；</w:t>
      </w:r>
    </w:p>
    <w:p>
      <w:pPr>
        <w:widowControl/>
        <w:kinsoku w:val="0"/>
        <w:autoSpaceDE w:val="0"/>
        <w:autoSpaceDN w:val="0"/>
        <w:adjustRightInd w:val="0"/>
        <w:snapToGrid w:val="0"/>
        <w:spacing w:line="54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(5)事业单位医疗（2101102）36.08万元，较上年增加1.35万元,原因是工资标准有所调整增加;</w:t>
      </w:r>
    </w:p>
    <w:p>
      <w:pPr>
        <w:widowControl/>
        <w:kinsoku w:val="0"/>
        <w:autoSpaceDE w:val="0"/>
        <w:autoSpaceDN w:val="0"/>
        <w:adjustRightInd w:val="0"/>
        <w:snapToGrid w:val="0"/>
        <w:spacing w:line="54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(6)住房公积金（2210201）49.38万元，较上年增加16.24万元,原因是工资标准有所调整增加。</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3、支出按经济科目分类的明细情况</w:t>
      </w:r>
    </w:p>
    <w:p>
      <w:pPr>
        <w:ind w:firstLine="640"/>
        <w:rPr>
          <w:rFonts w:hint="eastAsia" w:ascii="仿宋" w:hAnsi="仿宋" w:eastAsia="仿宋" w:cs="仿宋_GB2312"/>
          <w:sz w:val="32"/>
          <w:szCs w:val="32"/>
        </w:rPr>
      </w:pPr>
      <w:r>
        <w:rPr>
          <w:rFonts w:hint="eastAsia" w:ascii="仿宋" w:hAnsi="仿宋" w:eastAsia="仿宋" w:cs="仿宋_GB2312"/>
          <w:sz w:val="32"/>
          <w:szCs w:val="32"/>
        </w:rPr>
        <w:t>（1）（按照部门预算支出经济分类的类级科目说明当年一般公共预算拨款支出情况，将相关数据与上年对比，分析增减变化原因。）</w:t>
      </w:r>
    </w:p>
    <w:p>
      <w:pPr>
        <w:ind w:firstLine="640" w:firstLineChars="200"/>
        <w:rPr>
          <w:rFonts w:hint="eastAsia" w:ascii="仿宋" w:hAnsi="仿宋" w:eastAsia="仿宋" w:cs="仿宋"/>
          <w:sz w:val="32"/>
          <w:szCs w:val="32"/>
        </w:rPr>
      </w:pPr>
      <w:r>
        <w:rPr>
          <w:rFonts w:hint="eastAsia" w:ascii="仿宋" w:hAnsi="仿宋" w:eastAsia="仿宋" w:cs="仿宋_GB2312"/>
          <w:sz w:val="32"/>
          <w:szCs w:val="32"/>
        </w:rPr>
        <w:t>本单位当年一般公共预算支出706.39万元，其中：工资福利支出（301）603.18万元，较上年增加182.87万元，原因是</w:t>
      </w:r>
      <w:r>
        <w:rPr>
          <w:rFonts w:hint="eastAsia" w:ascii="仿宋" w:hAnsi="仿宋" w:eastAsia="仿宋" w:cs="仿宋"/>
          <w:sz w:val="32"/>
          <w:szCs w:val="32"/>
        </w:rPr>
        <w:t>工资标准有所调整增加。</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商品和服务支出（302）96.21万元，较上年减少24.55万元，原因是财政给予商品和服务预算资金有所减少；</w:t>
      </w:r>
    </w:p>
    <w:p>
      <w:pPr>
        <w:ind w:firstLine="640"/>
        <w:rPr>
          <w:rFonts w:hint="eastAsia" w:ascii="仿宋" w:hAnsi="仿宋" w:eastAsia="仿宋" w:cs="仿宋_GB2312"/>
          <w:sz w:val="32"/>
          <w:szCs w:val="32"/>
        </w:rPr>
      </w:pPr>
      <w:r>
        <w:rPr>
          <w:rFonts w:hint="eastAsia" w:ascii="仿宋" w:hAnsi="仿宋" w:eastAsia="仿宋" w:cs="仿宋_GB2312"/>
          <w:sz w:val="32"/>
          <w:szCs w:val="32"/>
        </w:rPr>
        <w:t>（2）（按照政府预算支出经济分类的类级科目说明当年一般公共预算拨款支出情况。）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本单位当年一般公共预算支出706.39万元，其中：</w:t>
      </w:r>
    </w:p>
    <w:p>
      <w:pPr>
        <w:ind w:firstLine="640"/>
        <w:rPr>
          <w:rFonts w:ascii="仿宋" w:hAnsi="仿宋" w:eastAsia="仿宋" w:cs="仿宋_GB2312"/>
          <w:sz w:val="32"/>
          <w:szCs w:val="32"/>
        </w:rPr>
      </w:pPr>
      <w:r>
        <w:rPr>
          <w:rFonts w:hint="eastAsia" w:ascii="仿宋" w:hAnsi="仿宋" w:eastAsia="仿宋" w:cs="仿宋_GB2312"/>
          <w:sz w:val="32"/>
          <w:szCs w:val="32"/>
        </w:rPr>
        <w:t>机关工资福利支出（501）603.18万元，较上年增加182.87万元，原因是工资及社保缴费预算增加。</w:t>
      </w:r>
    </w:p>
    <w:p>
      <w:pPr>
        <w:ind w:firstLine="640"/>
        <w:rPr>
          <w:rFonts w:hint="eastAsia" w:ascii="仿宋" w:hAnsi="仿宋" w:eastAsia="仿宋" w:cs="仿宋_GB2312"/>
          <w:sz w:val="32"/>
          <w:szCs w:val="32"/>
        </w:rPr>
      </w:pPr>
      <w:r>
        <w:rPr>
          <w:rFonts w:hint="eastAsia" w:ascii="仿宋" w:hAnsi="仿宋" w:eastAsia="仿宋" w:cs="仿宋_GB2312"/>
          <w:sz w:val="32"/>
          <w:szCs w:val="32"/>
        </w:rPr>
        <w:t>机关商品和服务支出（502）96.21万元，较上年减少24.55万元，原因是财政给予商品和服务预算资金有所减少；</w:t>
      </w:r>
    </w:p>
    <w:p>
      <w:pPr>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（四）政府性基金预算支出情况</w:t>
      </w:r>
    </w:p>
    <w:p>
      <w:pPr>
        <w:ind w:firstLine="640"/>
        <w:rPr>
          <w:rFonts w:ascii="仿宋" w:hAnsi="仿宋" w:eastAsia="仿宋" w:cs="仿宋_GB2312"/>
          <w:sz w:val="32"/>
          <w:szCs w:val="32"/>
        </w:rPr>
      </w:pPr>
      <w:r>
        <w:rPr>
          <w:rFonts w:hint="eastAsia" w:ascii="仿宋" w:hAnsi="仿宋" w:eastAsia="仿宋" w:cs="仿宋_GB2312"/>
          <w:sz w:val="32"/>
          <w:szCs w:val="32"/>
        </w:rPr>
        <w:t>本本单位无当年政府性基金预算收支，并已公开空表。</w:t>
      </w:r>
    </w:p>
    <w:p>
      <w:pPr>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（五）国有资本经营预算拨款收支情况</w:t>
      </w:r>
    </w:p>
    <w:p>
      <w:pPr>
        <w:ind w:firstLine="640"/>
        <w:rPr>
          <w:rFonts w:ascii="仿宋" w:hAnsi="仿宋" w:eastAsia="仿宋" w:cs="仿宋_GB2312"/>
          <w:sz w:val="32"/>
          <w:szCs w:val="32"/>
        </w:rPr>
      </w:pPr>
      <w:r>
        <w:rPr>
          <w:rFonts w:hint="eastAsia" w:ascii="仿宋" w:hAnsi="仿宋" w:eastAsia="仿宋" w:cs="仿宋_GB2312"/>
          <w:sz w:val="32"/>
          <w:szCs w:val="32"/>
        </w:rPr>
        <w:t>本单位无当年国有资本经营预算收支，并已公开空表。</w:t>
      </w:r>
    </w:p>
    <w:p>
      <w:pPr>
        <w:ind w:firstLine="64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宋体" w:hAnsi="宋体" w:cs="宋体"/>
          <w:b/>
          <w:bCs/>
          <w:sz w:val="32"/>
          <w:szCs w:val="32"/>
        </w:rPr>
        <w:t>第三部分  其他情况</w:t>
      </w:r>
    </w:p>
    <w:p>
      <w:pPr>
        <w:ind w:firstLine="640"/>
        <w:rPr>
          <w:rFonts w:hint="eastAsia" w:ascii="仿宋_GB2312" w:hAnsi="仿宋_GB2312" w:eastAsia="仿宋_GB2312" w:cs="仿宋_GB2312"/>
          <w:sz w:val="32"/>
          <w:szCs w:val="32"/>
          <w:u w:val="single"/>
        </w:rPr>
      </w:pPr>
      <w:r>
        <w:rPr>
          <w:rFonts w:hint="eastAsia" w:ascii="仿宋_GB2312" w:hAnsi="仿宋_GB2312" w:eastAsia="仿宋_GB2312" w:cs="仿宋_GB2312"/>
          <w:bCs/>
          <w:sz w:val="32"/>
          <w:szCs w:val="32"/>
        </w:rPr>
        <w:t>五、“三公”经费及会议费、培训费情况说明</w:t>
      </w:r>
    </w:p>
    <w:p>
      <w:pPr>
        <w:rPr>
          <w:rFonts w:ascii="仿宋" w:hAnsi="仿宋" w:eastAsia="仿宋" w:cs="仿宋_GB2312"/>
          <w:sz w:val="32"/>
          <w:szCs w:val="32"/>
          <w:u w:val="single"/>
        </w:rPr>
      </w:pPr>
      <w:r>
        <w:rPr>
          <w:rFonts w:hint="eastAsia" w:ascii="仿宋" w:hAnsi="仿宋" w:eastAsia="仿宋" w:cs="仿宋_GB2312"/>
          <w:sz w:val="32"/>
          <w:szCs w:val="32"/>
        </w:rPr>
        <w:t>本单位无当年</w:t>
      </w:r>
      <w:r>
        <w:rPr>
          <w:rFonts w:hint="eastAsia" w:ascii="仿宋" w:hAnsi="仿宋" w:eastAsia="仿宋" w:cs="仿宋_GB2312"/>
          <w:bCs/>
          <w:sz w:val="32"/>
          <w:szCs w:val="32"/>
        </w:rPr>
        <w:t>三公”经费及会议费、培训费</w:t>
      </w:r>
      <w:r>
        <w:rPr>
          <w:rFonts w:hint="eastAsia" w:ascii="仿宋" w:hAnsi="仿宋" w:eastAsia="仿宋" w:cs="仿宋_GB2312"/>
          <w:sz w:val="32"/>
          <w:szCs w:val="32"/>
        </w:rPr>
        <w:t>预算收支，并已公开空表。</w:t>
      </w:r>
    </w:p>
    <w:p>
      <w:pPr>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六、国有资产占有使用及资产购置情况说明</w:t>
      </w:r>
    </w:p>
    <w:p>
      <w:pPr>
        <w:ind w:firstLine="640"/>
        <w:rPr>
          <w:rFonts w:ascii="仿宋" w:hAnsi="仿宋" w:eastAsia="仿宋" w:cs="仿宋_GB2312"/>
          <w:sz w:val="32"/>
          <w:szCs w:val="32"/>
        </w:rPr>
      </w:pPr>
      <w:r>
        <w:rPr>
          <w:rFonts w:hint="eastAsia" w:ascii="仿宋" w:hAnsi="仿宋" w:eastAsia="仿宋" w:cs="仿宋_GB2312"/>
          <w:sz w:val="32"/>
          <w:szCs w:val="32"/>
        </w:rPr>
        <w:t>截止2022年上年底，本单位共有车辆6辆，单价20万元以上的设备4台（套）。当年部门预算安排购置车辆1辆；安排购置单价20万元以上的设备1台（套）。</w:t>
      </w:r>
    </w:p>
    <w:p>
      <w:pPr>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七、政府采购情况说明</w:t>
      </w:r>
    </w:p>
    <w:p>
      <w:pPr>
        <w:ind w:firstLine="640"/>
        <w:rPr>
          <w:rFonts w:ascii="仿宋" w:hAnsi="仿宋" w:eastAsia="仿宋" w:cs="仿宋_GB2312"/>
          <w:sz w:val="32"/>
          <w:szCs w:val="32"/>
        </w:rPr>
      </w:pPr>
      <w:r>
        <w:rPr>
          <w:rFonts w:hint="eastAsia" w:ascii="仿宋" w:hAnsi="仿宋" w:eastAsia="仿宋" w:cs="仿宋_GB2312"/>
          <w:sz w:val="32"/>
          <w:szCs w:val="32"/>
        </w:rPr>
        <w:t>本单位当年无政府采购预算，并已公开空表。</w:t>
      </w:r>
    </w:p>
    <w:p>
      <w:pPr>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八、绩效目标情况说明</w:t>
      </w:r>
    </w:p>
    <w:p>
      <w:pPr>
        <w:ind w:firstLine="640"/>
        <w:rPr>
          <w:rFonts w:ascii="仿宋" w:hAnsi="仿宋" w:eastAsia="仿宋" w:cs="仿宋_GB2312"/>
          <w:sz w:val="32"/>
          <w:szCs w:val="32"/>
        </w:rPr>
      </w:pPr>
      <w:r>
        <w:rPr>
          <w:rFonts w:hint="eastAsia" w:ascii="仿宋" w:hAnsi="仿宋" w:eastAsia="仿宋" w:cs="仿宋_GB2312"/>
          <w:sz w:val="32"/>
          <w:szCs w:val="32"/>
        </w:rPr>
        <w:t>本单位绩效目标管理全覆盖，涉及当年一般公共预算当年拨款706.39万元,当年政府性基金预算当年拨款0万元，当年国有资本经营预算拨款0万元（详见公开报表中的绩效目标表）。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九、公用经费情况说明</w:t>
      </w:r>
    </w:p>
    <w:p>
      <w:pPr>
        <w:ind w:firstLine="640"/>
        <w:rPr>
          <w:rFonts w:ascii="仿宋" w:hAnsi="仿宋" w:eastAsia="仿宋" w:cs="仿宋_GB2312"/>
          <w:sz w:val="32"/>
          <w:szCs w:val="32"/>
        </w:rPr>
      </w:pPr>
      <w:r>
        <w:rPr>
          <w:rFonts w:hint="eastAsia" w:ascii="仿宋" w:hAnsi="仿宋" w:eastAsia="仿宋" w:cs="仿宋_GB2312"/>
          <w:sz w:val="32"/>
          <w:szCs w:val="32"/>
        </w:rPr>
        <w:t>本单位当年公用经费预算安排96.21万元，较上年减少24.55万元，主要原因是公用经费资金有所下降。</w:t>
      </w:r>
    </w:p>
    <w:p>
      <w:pPr>
        <w:ind w:firstLine="640"/>
        <w:rPr>
          <w:rFonts w:ascii="仿宋_GB2312" w:hAnsi="仿宋_GB2312" w:eastAsia="仿宋_GB2312" w:cs="仿宋_GB2312"/>
          <w:sz w:val="32"/>
          <w:szCs w:val="32"/>
        </w:rPr>
      </w:pPr>
      <w:r>
        <w:rPr>
          <w:rFonts w:hint="eastAsia" w:ascii="仿宋_GB2312" w:hAnsi="仿宋_GB2312" w:eastAsia="仿宋_GB2312" w:cs="仿宋_GB2312"/>
          <w:bCs/>
          <w:sz w:val="32"/>
          <w:szCs w:val="32"/>
        </w:rPr>
        <w:t>十、专业名词解释</w:t>
      </w:r>
    </w:p>
    <w:p>
      <w:pPr>
        <w:ind w:firstLine="640"/>
        <w:rPr>
          <w:rFonts w:ascii="仿宋" w:hAnsi="仿宋" w:eastAsia="仿宋" w:cs="仿宋_GB2312"/>
          <w:sz w:val="32"/>
          <w:szCs w:val="32"/>
        </w:rPr>
      </w:pPr>
      <w:r>
        <w:rPr>
          <w:rFonts w:hint="eastAsia" w:ascii="仿宋" w:hAnsi="仿宋" w:eastAsia="仿宋" w:cs="仿宋_GB2312"/>
          <w:sz w:val="32"/>
          <w:szCs w:val="32"/>
        </w:rPr>
        <w:t>1.公用经费：包括办公及印刷费、邮电费、差旅费、会议费、福利费、日常维修费、专用材料及一般设备购置费、办公用房水电费、办公用房取暖费、办公用房物业管理费、公务用车运行维护费以及其他费用。</w:t>
      </w:r>
    </w:p>
    <w:p>
      <w:pPr>
        <w:ind w:firstLine="640"/>
        <w:rPr>
          <w:rFonts w:ascii="仿宋" w:hAnsi="仿宋" w:eastAsia="仿宋" w:cs="仿宋_GB2312"/>
          <w:sz w:val="32"/>
          <w:szCs w:val="32"/>
        </w:rPr>
      </w:pPr>
      <w:r>
        <w:rPr>
          <w:rFonts w:hint="eastAsia" w:ascii="仿宋" w:hAnsi="仿宋" w:eastAsia="仿宋" w:cs="仿宋_GB2312"/>
          <w:sz w:val="32"/>
          <w:szCs w:val="32"/>
        </w:rPr>
        <w:t xml:space="preserve"> 2.人员经费：指用于个人的工资性、福利性支出补助。包括基本工资、津补贴及奖金、社保缴</w:t>
      </w:r>
      <w:bookmarkStart w:id="0" w:name="_GoBack"/>
      <w:bookmarkEnd w:id="0"/>
      <w:r>
        <w:rPr>
          <w:rFonts w:hint="eastAsia" w:ascii="仿宋" w:hAnsi="仿宋" w:eastAsia="仿宋" w:cs="仿宋_GB2312"/>
          <w:sz w:val="32"/>
          <w:szCs w:val="32"/>
        </w:rPr>
        <w:t xml:space="preserve">费、绩效工资、住房公积金、采暖补贴和其他人员经费等。 </w:t>
      </w:r>
    </w:p>
    <w:p>
      <w:pPr>
        <w:ind w:firstLine="640"/>
        <w:rPr>
          <w:rFonts w:hint="eastAsia" w:ascii="仿宋_GB2312" w:hAnsi="仿宋_GB2312" w:eastAsia="仿宋_GB2312" w:cs="仿宋_GB2312"/>
          <w:b/>
          <w:bCs/>
          <w:sz w:val="32"/>
          <w:szCs w:val="32"/>
        </w:rPr>
      </w:pPr>
    </w:p>
    <w:p>
      <w:pPr>
        <w:jc w:val="center"/>
        <w:rPr>
          <w:rFonts w:hint="eastAsia" w:ascii="宋体" w:hAnsi="宋体" w:cs="宋体"/>
          <w:b/>
          <w:bCs/>
          <w:sz w:val="32"/>
          <w:szCs w:val="32"/>
        </w:rPr>
      </w:pPr>
      <w:r>
        <w:rPr>
          <w:rFonts w:hint="eastAsia" w:ascii="宋体" w:hAnsi="宋体" w:cs="宋体"/>
          <w:b/>
          <w:bCs/>
          <w:sz w:val="32"/>
          <w:szCs w:val="32"/>
        </w:rPr>
        <w:t>第四部分  公开报表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CC7"/>
    <w:rsid w:val="0001483F"/>
    <w:rsid w:val="000A7F26"/>
    <w:rsid w:val="00134F17"/>
    <w:rsid w:val="00140EE5"/>
    <w:rsid w:val="001A2C0E"/>
    <w:rsid w:val="00330C68"/>
    <w:rsid w:val="003C6098"/>
    <w:rsid w:val="003F6FB1"/>
    <w:rsid w:val="00486B59"/>
    <w:rsid w:val="00577A73"/>
    <w:rsid w:val="0058409C"/>
    <w:rsid w:val="00615C57"/>
    <w:rsid w:val="00643E63"/>
    <w:rsid w:val="00703809"/>
    <w:rsid w:val="007C679A"/>
    <w:rsid w:val="00846EDD"/>
    <w:rsid w:val="008B498A"/>
    <w:rsid w:val="008B4F00"/>
    <w:rsid w:val="008D4CC7"/>
    <w:rsid w:val="0093417D"/>
    <w:rsid w:val="009407BF"/>
    <w:rsid w:val="00A07672"/>
    <w:rsid w:val="00A812F0"/>
    <w:rsid w:val="00AD74A4"/>
    <w:rsid w:val="00AF449D"/>
    <w:rsid w:val="00B1539A"/>
    <w:rsid w:val="00C724FE"/>
    <w:rsid w:val="00CC33F5"/>
    <w:rsid w:val="00D10389"/>
    <w:rsid w:val="00E144B4"/>
    <w:rsid w:val="00E23346"/>
    <w:rsid w:val="00F76BE3"/>
    <w:rsid w:val="3C6F49EB"/>
    <w:rsid w:val="79F11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after="100" w:afterAutospacing="1"/>
    </w:pPr>
    <w:rPr>
      <w:rFonts w:ascii="Cambria" w:hAnsi="Cambria" w:eastAsiaTheme="minorEastAsia" w:cstheme="minorBidi"/>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semiHidden/>
    <w:uiPriority w:val="99"/>
    <w:rPr>
      <w:sz w:val="18"/>
      <w:szCs w:val="18"/>
    </w:rPr>
  </w:style>
  <w:style w:type="character" w:customStyle="1" w:styleId="9">
    <w:name w:val="页脚 Char"/>
    <w:basedOn w:val="6"/>
    <w:link w:val="4"/>
    <w:semiHidden/>
    <w:uiPriority w:val="99"/>
    <w:rPr>
      <w:sz w:val="18"/>
      <w:szCs w:val="18"/>
    </w:rPr>
  </w:style>
  <w:style w:type="character" w:customStyle="1" w:styleId="10">
    <w:name w:val="批注框文本 Char"/>
    <w:basedOn w:val="6"/>
    <w:link w:val="3"/>
    <w:semiHidden/>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编制人数226</c:v>
                </c:pt>
              </c:strCache>
            </c:strRef>
          </c:tx>
          <c:invertIfNegative val="0"/>
          <c:dLbls>
            <c:delete val="1"/>
          </c:dLbls>
          <c:cat>
            <c:numRef>
              <c:f>Sheet1!$A$2</c:f>
              <c:numCache>
                <c:formatCode>General</c:formatCode>
                <c:ptCount val="1"/>
              </c:numCache>
            </c:numRef>
          </c:cat>
          <c:val>
            <c:numRef>
              <c:f>Sheet1!$B$2</c:f>
              <c:numCache>
                <c:formatCode>General</c:formatCode>
                <c:ptCount val="1"/>
                <c:pt idx="0">
                  <c:v>226</c:v>
                </c:pt>
              </c:numCache>
            </c:numRef>
          </c:val>
        </c:ser>
        <c:ser>
          <c:idx val="1"/>
          <c:order val="1"/>
          <c:tx>
            <c:strRef>
              <c:f>Sheet1!$C$1</c:f>
              <c:strCache>
                <c:ptCount val="1"/>
                <c:pt idx="0">
                  <c:v>实有人数216</c:v>
                </c:pt>
              </c:strCache>
            </c:strRef>
          </c:tx>
          <c:invertIfNegative val="0"/>
          <c:dLbls>
            <c:delete val="1"/>
          </c:dLbls>
          <c:cat>
            <c:numRef>
              <c:f>Sheet1!$A$2</c:f>
              <c:numCache>
                <c:formatCode>General</c:formatCode>
                <c:ptCount val="1"/>
              </c:numCache>
            </c:numRef>
          </c:cat>
          <c:val>
            <c:numRef>
              <c:f>Sheet1!$C$2</c:f>
              <c:numCache>
                <c:formatCode>General</c:formatCode>
                <c:ptCount val="1"/>
                <c:pt idx="0">
                  <c:v>216</c:v>
                </c:pt>
              </c:numCache>
            </c:numRef>
          </c:val>
        </c:ser>
        <c:ser>
          <c:idx val="2"/>
          <c:order val="2"/>
          <c:tx>
            <c:strRef>
              <c:f>Sheet1!$D$1</c:f>
              <c:strCache>
                <c:ptCount val="1"/>
                <c:pt idx="0">
                  <c:v>离休人数51</c:v>
                </c:pt>
              </c:strCache>
            </c:strRef>
          </c:tx>
          <c:invertIfNegative val="0"/>
          <c:dLbls>
            <c:delete val="1"/>
          </c:dLbls>
          <c:cat>
            <c:numRef>
              <c:f>Sheet1!$A$2</c:f>
              <c:numCache>
                <c:formatCode>General</c:formatCode>
                <c:ptCount val="1"/>
              </c:numCache>
            </c:numRef>
          </c:cat>
          <c:val>
            <c:numRef>
              <c:f>Sheet1!$D$2</c:f>
              <c:numCache>
                <c:formatCode>General</c:formatCode>
                <c:ptCount val="1"/>
                <c:pt idx="0">
                  <c:v>51</c:v>
                </c:pt>
              </c:numCache>
            </c:numRef>
          </c:val>
        </c:ser>
        <c:dLbls>
          <c:showLegendKey val="0"/>
          <c:showVal val="0"/>
          <c:showCatName val="0"/>
          <c:showSerName val="0"/>
          <c:showPercent val="0"/>
          <c:showBubbleSize val="0"/>
        </c:dLbls>
        <c:gapWidth val="150"/>
        <c:axId val="129152128"/>
        <c:axId val="130882560"/>
      </c:barChart>
      <c:catAx>
        <c:axId val="12915212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0882560"/>
        <c:crosses val="autoZero"/>
        <c:auto val="1"/>
        <c:lblAlgn val="ctr"/>
        <c:lblOffset val="100"/>
        <c:noMultiLvlLbl val="0"/>
      </c:catAx>
      <c:valAx>
        <c:axId val="1308825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91521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346FB3-FB7D-4072-BDB6-55DFDAE0B85C}">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436</Words>
  <Characters>2486</Characters>
  <Lines>20</Lines>
  <Paragraphs>5</Paragraphs>
  <TotalTime>5</TotalTime>
  <ScaleCrop>false</ScaleCrop>
  <LinksUpToDate>false</LinksUpToDate>
  <CharactersWithSpaces>2917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2023-03-10T10:29:00Z</dcterms:created>
  <dc:creator>Windows 用户</dc:creator>
  <cp:lastModifiedBy>O(∩_∩)O</cp:lastModifiedBy>
  <cp:lastPrinted>2023-03-09T08:54:00Z</cp:lastPrinted>
  <dcterms:modified xsi:type="dcterms:W3CDTF">2023-03-13T03:42:11Z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