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bidi w:val="0"/>
        <w:rPr>
          <w:rFonts w:hint="default"/>
          <w:color w:val="auto"/>
          <w:highlight w:val="none"/>
          <w:lang w:val="en-US" w:eastAsia="zh-CN"/>
        </w:rPr>
      </w:pPr>
      <w:r>
        <w:rPr>
          <w:rFonts w:hint="eastAsia"/>
          <w:color w:val="auto"/>
          <w:highlight w:val="none"/>
          <w:lang w:val="en-US" w:eastAsia="zh-CN"/>
        </w:rPr>
        <w:t>商洛市自然资源局</w:t>
      </w:r>
    </w:p>
    <w:p>
      <w:pPr>
        <w:pStyle w:val="30"/>
        <w:bidi w:val="0"/>
        <w:rPr>
          <w:rFonts w:hint="eastAsia"/>
          <w:color w:val="auto"/>
          <w:highlight w:val="none"/>
        </w:rPr>
      </w:pPr>
      <w:r>
        <w:rPr>
          <w:rFonts w:hint="eastAsia"/>
          <w:color w:val="auto"/>
          <w:highlight w:val="none"/>
          <w:lang w:eastAsia="zh-CN"/>
        </w:rPr>
        <w:t>2020</w:t>
      </w:r>
      <w:r>
        <w:rPr>
          <w:rFonts w:hint="eastAsia"/>
          <w:color w:val="auto"/>
          <w:highlight w:val="none"/>
        </w:rPr>
        <w:t>年部门综合预算</w:t>
      </w:r>
    </w:p>
    <w:p>
      <w:pPr>
        <w:bidi w:val="0"/>
        <w:rPr>
          <w:rFonts w:hint="eastAsia"/>
        </w:rPr>
      </w:pPr>
    </w:p>
    <w:p>
      <w:pPr>
        <w:pStyle w:val="30"/>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目  录</w:t>
      </w:r>
    </w:p>
    <w:p>
      <w:pPr>
        <w:bidi w:val="0"/>
        <w:rPr>
          <w:rFonts w:hint="eastAsia"/>
        </w:rPr>
      </w:pPr>
    </w:p>
    <w:p>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第一部分   部门概况</w:t>
      </w:r>
    </w:p>
    <w:p>
      <w:pPr>
        <w:bidi w:val="0"/>
        <w:rPr>
          <w:rFonts w:hint="eastAsia"/>
        </w:rPr>
      </w:pPr>
    </w:p>
    <w:p>
      <w:pPr>
        <w:bidi w:val="0"/>
        <w:rPr>
          <w:rFonts w:hint="eastAsia"/>
        </w:rPr>
      </w:pPr>
      <w:r>
        <w:rPr>
          <w:rFonts w:hint="eastAsia"/>
        </w:rPr>
        <w:t>一、部门主要职责及机构设置</w:t>
      </w:r>
    </w:p>
    <w:p>
      <w:pPr>
        <w:bidi w:val="0"/>
        <w:rPr>
          <w:rFonts w:hint="eastAsia"/>
        </w:rPr>
      </w:pPr>
      <w:r>
        <w:rPr>
          <w:rFonts w:hint="eastAsia"/>
        </w:rPr>
        <w:t>二、2020年年度部门工作任务</w:t>
      </w:r>
    </w:p>
    <w:p>
      <w:pPr>
        <w:bidi w:val="0"/>
        <w:rPr>
          <w:rFonts w:hint="eastAsia"/>
        </w:rPr>
      </w:pPr>
      <w:r>
        <w:rPr>
          <w:rFonts w:hint="eastAsia"/>
        </w:rPr>
        <w:t>三、部门预算单位构成</w:t>
      </w:r>
    </w:p>
    <w:p>
      <w:pPr>
        <w:bidi w:val="0"/>
        <w:rPr>
          <w:rFonts w:hint="eastAsia"/>
        </w:rPr>
      </w:pPr>
      <w:r>
        <w:rPr>
          <w:rFonts w:hint="eastAsia"/>
        </w:rPr>
        <w:t>四、部门人员情况说明</w:t>
      </w:r>
    </w:p>
    <w:p>
      <w:pPr>
        <w:bidi w:val="0"/>
        <w:rPr>
          <w:rFonts w:hint="eastAsia"/>
        </w:rPr>
      </w:pPr>
    </w:p>
    <w:p>
      <w:pPr>
        <w:pStyle w:val="3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第二部分   收支情况</w:t>
      </w:r>
    </w:p>
    <w:p>
      <w:pPr>
        <w:bidi w:val="0"/>
        <w:rPr>
          <w:rFonts w:hint="eastAsia"/>
        </w:rPr>
      </w:pPr>
    </w:p>
    <w:p>
      <w:pPr>
        <w:bidi w:val="0"/>
        <w:rPr>
          <w:rFonts w:hint="eastAsia"/>
        </w:rPr>
      </w:pPr>
      <w:r>
        <w:rPr>
          <w:rFonts w:hint="eastAsia"/>
        </w:rPr>
        <w:t>五、2020年部门预算收支说明</w:t>
      </w:r>
    </w:p>
    <w:p>
      <w:pPr>
        <w:bidi w:val="0"/>
        <w:rPr>
          <w:rFonts w:hint="eastAsia"/>
        </w:rPr>
      </w:pPr>
    </w:p>
    <w:p>
      <w:pPr>
        <w:pStyle w:val="3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第三部分   其他说明情况</w:t>
      </w:r>
    </w:p>
    <w:p>
      <w:pPr>
        <w:bidi w:val="0"/>
        <w:rPr>
          <w:rFonts w:hint="eastAsia"/>
        </w:rPr>
      </w:pPr>
    </w:p>
    <w:p>
      <w:pPr>
        <w:bidi w:val="0"/>
        <w:rPr>
          <w:rFonts w:hint="eastAsia"/>
        </w:rPr>
      </w:pPr>
      <w:r>
        <w:rPr>
          <w:rFonts w:hint="eastAsia"/>
        </w:rPr>
        <w:t>六、部门预算“三公”经费等情况说明</w:t>
      </w:r>
    </w:p>
    <w:p>
      <w:pPr>
        <w:bidi w:val="0"/>
        <w:rPr>
          <w:rFonts w:hint="eastAsia"/>
        </w:rPr>
      </w:pPr>
      <w:r>
        <w:rPr>
          <w:rFonts w:hint="eastAsia"/>
        </w:rPr>
        <w:t>七、部门国有资产占有使用及资产购置情况说明</w:t>
      </w:r>
    </w:p>
    <w:p>
      <w:pPr>
        <w:bidi w:val="0"/>
        <w:rPr>
          <w:rFonts w:hint="eastAsia"/>
        </w:rPr>
      </w:pPr>
      <w:r>
        <w:rPr>
          <w:rFonts w:hint="eastAsia"/>
        </w:rPr>
        <w:t>八、部门政府采购情况说明</w:t>
      </w:r>
    </w:p>
    <w:p>
      <w:pPr>
        <w:bidi w:val="0"/>
        <w:rPr>
          <w:rFonts w:hint="eastAsia"/>
        </w:rPr>
      </w:pPr>
      <w:r>
        <w:rPr>
          <w:rFonts w:hint="eastAsia"/>
        </w:rPr>
        <w:t>九、部门预算绩效目标说明</w:t>
      </w:r>
    </w:p>
    <w:p>
      <w:pPr>
        <w:bidi w:val="0"/>
        <w:rPr>
          <w:rFonts w:hint="eastAsia"/>
        </w:rPr>
      </w:pPr>
      <w:r>
        <w:rPr>
          <w:rFonts w:hint="eastAsia"/>
        </w:rPr>
        <w:t>十、机关运行经费安排说明</w:t>
      </w:r>
    </w:p>
    <w:p>
      <w:pPr>
        <w:bidi w:val="0"/>
        <w:rPr>
          <w:rFonts w:hint="eastAsia"/>
        </w:rPr>
      </w:pPr>
      <w:r>
        <w:rPr>
          <w:rFonts w:hint="eastAsia"/>
        </w:rPr>
        <w:t>十一、专业名词解释</w:t>
      </w:r>
    </w:p>
    <w:p>
      <w:pPr>
        <w:bidi w:val="0"/>
        <w:rPr>
          <w:rFonts w:hint="eastAsia"/>
        </w:rPr>
      </w:pPr>
    </w:p>
    <w:p>
      <w:pPr>
        <w:pStyle w:val="3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第四部分   公开报表</w:t>
      </w:r>
    </w:p>
    <w:p>
      <w:pPr>
        <w:bidi w:val="0"/>
        <w:rPr>
          <w:rFonts w:hint="eastAsia"/>
        </w:rPr>
      </w:pPr>
    </w:p>
    <w:p>
      <w:pPr>
        <w:bidi w:val="0"/>
        <w:rPr>
          <w:rFonts w:hint="eastAsia"/>
        </w:rPr>
      </w:pPr>
      <w:r>
        <w:rPr>
          <w:rFonts w:hint="eastAsia"/>
        </w:rPr>
        <w:t>（具体部门预算公开报表）</w:t>
      </w:r>
    </w:p>
    <w:p>
      <w:pPr>
        <w:pStyle w:val="30"/>
        <w:bidi w:val="0"/>
        <w:rPr>
          <w:rFonts w:hint="eastAsia"/>
          <w:color w:val="auto"/>
          <w:highlight w:val="none"/>
          <w:lang w:val="en-US" w:eastAsia="zh-CN"/>
        </w:rPr>
      </w:pPr>
    </w:p>
    <w:p>
      <w:pPr>
        <w:pStyle w:val="30"/>
        <w:bidi w:val="0"/>
        <w:rPr>
          <w:rFonts w:hint="eastAsia"/>
          <w:color w:val="auto"/>
          <w:highlight w:val="none"/>
          <w:lang w:val="en-US" w:eastAsia="zh-CN"/>
        </w:rPr>
        <w:sectPr>
          <w:headerReference r:id="rId3" w:type="default"/>
          <w:footerReference r:id="rId5" w:type="default"/>
          <w:headerReference r:id="rId4" w:type="even"/>
          <w:footerReference r:id="rId6" w:type="even"/>
          <w:pgSz w:w="11906" w:h="16838"/>
          <w:pgMar w:top="2098" w:right="1474" w:bottom="1984" w:left="1587" w:header="850" w:footer="1587" w:gutter="0"/>
          <w:pgNumType w:fmt="numberInDash"/>
          <w:cols w:space="0" w:num="1"/>
          <w:rtlGutter w:val="0"/>
          <w:docGrid w:type="linesAndChars" w:linePitch="579" w:charSpace="-842"/>
        </w:sectPr>
      </w:pPr>
    </w:p>
    <w:p>
      <w:pPr>
        <w:pStyle w:val="30"/>
        <w:bidi w:val="0"/>
        <w:rPr>
          <w:rFonts w:hint="default"/>
          <w:lang w:val="en-US" w:eastAsia="zh-CN"/>
        </w:rPr>
      </w:pPr>
      <w:r>
        <w:rPr>
          <w:rFonts w:hint="eastAsia"/>
          <w:lang w:val="en-US" w:eastAsia="zh-CN"/>
        </w:rPr>
        <w:t>第一部分  部门概况</w:t>
      </w:r>
    </w:p>
    <w:p>
      <w:pPr>
        <w:adjustRightInd w:val="0"/>
        <w:snapToGrid w:val="0"/>
        <w:rPr>
          <w:rFonts w:hint="eastAsia" w:ascii="仿宋" w:hAnsi="仿宋" w:eastAsia="仿宋" w:cs="宋体"/>
          <w:color w:val="auto"/>
          <w:kern w:val="0"/>
          <w:sz w:val="36"/>
          <w:szCs w:val="36"/>
          <w:highlight w:val="none"/>
        </w:rPr>
      </w:pPr>
    </w:p>
    <w:p>
      <w:pPr>
        <w:pStyle w:val="2"/>
        <w:bidi w:val="0"/>
        <w:rPr>
          <w:rFonts w:hint="eastAsia"/>
          <w:color w:val="auto"/>
          <w:highlight w:val="none"/>
        </w:rPr>
      </w:pPr>
      <w:r>
        <w:rPr>
          <w:rFonts w:hint="eastAsia"/>
          <w:color w:val="auto"/>
          <w:highlight w:val="none"/>
        </w:rPr>
        <w:t>部门主要职责及机构设置</w:t>
      </w:r>
    </w:p>
    <w:p>
      <w:pPr>
        <w:rPr>
          <w:rFonts w:hint="eastAsia"/>
        </w:rPr>
      </w:pPr>
      <w:r>
        <w:rPr>
          <w:rFonts w:hint="eastAsia"/>
        </w:rPr>
        <w:t>根据市委市政府机构改革方案，2019年</w:t>
      </w:r>
      <w:r>
        <w:rPr>
          <w:rFonts w:hint="eastAsia"/>
          <w:lang w:val="en-US" w:eastAsia="zh-CN"/>
        </w:rPr>
        <w:t>原市国土资源局与原</w:t>
      </w:r>
      <w:r>
        <w:rPr>
          <w:rFonts w:hint="eastAsia"/>
        </w:rPr>
        <w:t>市城乡建设规划局组建成为市自然资源局，</w:t>
      </w:r>
      <w:r>
        <w:rPr>
          <w:rFonts w:hint="eastAsia"/>
          <w:lang w:val="en-US" w:eastAsia="zh-CN"/>
        </w:rPr>
        <w:t>原市国土资源局、原市城乡建设规划局</w:t>
      </w:r>
      <w:r>
        <w:rPr>
          <w:rFonts w:hint="eastAsia"/>
        </w:rPr>
        <w:t>不再保留。目前本部门机构改革</w:t>
      </w:r>
      <w:r>
        <w:rPr>
          <w:rFonts w:hint="eastAsia"/>
          <w:lang w:val="en-US" w:eastAsia="zh-CN"/>
        </w:rPr>
        <w:t>本级机关及局属行政单位已经完成，局属事业单位</w:t>
      </w:r>
      <w:r>
        <w:rPr>
          <w:rFonts w:hint="eastAsia"/>
        </w:rPr>
        <w:t>还未彻底完成。机构改革</w:t>
      </w:r>
      <w:r>
        <w:rPr>
          <w:rFonts w:hint="eastAsia"/>
          <w:lang w:val="en-US" w:eastAsia="zh-CN"/>
        </w:rPr>
        <w:t>后</w:t>
      </w:r>
      <w:r>
        <w:rPr>
          <w:rFonts w:hint="eastAsia"/>
        </w:rPr>
        <w:t>本部门主要职责及机构设置情况如下：</w:t>
      </w:r>
    </w:p>
    <w:p>
      <w:pPr>
        <w:pStyle w:val="3"/>
        <w:bidi w:val="0"/>
        <w:rPr>
          <w:rFonts w:hint="eastAsia"/>
          <w:color w:val="auto"/>
          <w:highlight w:val="none"/>
        </w:rPr>
      </w:pPr>
      <w:r>
        <w:rPr>
          <w:rFonts w:hint="eastAsia"/>
          <w:color w:val="auto"/>
          <w:highlight w:val="none"/>
          <w:lang w:val="en-US" w:eastAsia="zh-CN"/>
        </w:rPr>
        <w:t>部门主要职责</w:t>
      </w:r>
    </w:p>
    <w:p>
      <w:pPr>
        <w:bidi w:val="0"/>
      </w:pPr>
      <w:r>
        <w:rPr>
          <w:rFonts w:hint="eastAsia"/>
          <w:lang w:val="en-US" w:eastAsia="zh-CN"/>
        </w:rPr>
        <w:t>（1）贯彻执行有关自然资源和国土空间规划及测绘等法律</w:t>
      </w:r>
    </w:p>
    <w:p>
      <w:pPr>
        <w:bidi w:val="0"/>
      </w:pPr>
      <w:r>
        <w:rPr>
          <w:rFonts w:hint="eastAsia"/>
          <w:lang w:val="en-US" w:eastAsia="zh-CN"/>
        </w:rPr>
        <w:t>法规规章、标准规范规程、战略规划政策，履行全民所有土地、矿产、森林、草原、湿地、水等自然资源资产所有者职责和所有国土空间用途管制职责；编制全市自然资源和国土空间规划，建立全市自然资源和国土空间规划等标准体系、规范规程并监督检查执行情况。</w:t>
      </w:r>
    </w:p>
    <w:p>
      <w:pPr>
        <w:bidi w:val="0"/>
      </w:pPr>
      <w:r>
        <w:rPr>
          <w:rFonts w:hint="eastAsia"/>
          <w:lang w:val="en-US" w:eastAsia="zh-CN"/>
        </w:rPr>
        <w:t>（2）贯彻落实自然资源调查监测评价的指标体系和统计标</w:t>
      </w:r>
    </w:p>
    <w:p>
      <w:pPr>
        <w:bidi w:val="0"/>
      </w:pPr>
      <w:r>
        <w:rPr>
          <w:rFonts w:hint="eastAsia"/>
          <w:lang w:val="en-US" w:eastAsia="zh-CN"/>
        </w:rPr>
        <w:t>准，执行自然资源调查监测评价制度；负责自然资源调查监测评价，实施自然资源基础调查、专项调查和监测；负责自然资源调查监测评价成果的监督管理和信息发布；指导各县自然资源调查监测评价工作；负责全市测绘地理信息管理工作。</w:t>
      </w:r>
    </w:p>
    <w:p>
      <w:pPr>
        <w:bidi w:val="0"/>
      </w:pPr>
      <w:r>
        <w:rPr>
          <w:rFonts w:hint="eastAsia"/>
          <w:lang w:val="en-US" w:eastAsia="zh-CN"/>
        </w:rPr>
        <w:t>（3）拟订全市各类自然资源和不动产统一确权登记、权籍调查、不动产测绘、争议调处、成果应用的制度、标准、规范；负责自然资源统一确权登记工作；建立健全全市自然资源和不动产登记信息管理基础平台；负责全市自然资源和不动产登记资料收集、整理、共享、汇交管理等工作；负责市本级和市辖区各类自然资源和不动产确权登记工作；指导各县自然资源和不动产确权登记工作。</w:t>
      </w:r>
    </w:p>
    <w:p>
      <w:pPr>
        <w:bidi w:val="0"/>
      </w:pPr>
      <w:r>
        <w:rPr>
          <w:rFonts w:hint="eastAsia"/>
          <w:lang w:val="en-US" w:eastAsia="zh-CN"/>
        </w:rPr>
        <w:t>（4）负责自然资源资产有偿使用工作；落实全民所有自然</w:t>
      </w:r>
    </w:p>
    <w:p>
      <w:pPr>
        <w:bidi w:val="0"/>
      </w:pPr>
      <w:r>
        <w:rPr>
          <w:rFonts w:hint="eastAsia"/>
          <w:lang w:val="en-US" w:eastAsia="zh-CN"/>
        </w:rPr>
        <w:t>资源资产统计制度，负责全民所有自然资源资产核算；编制全民所有自然资源资产负债表，拟订考核标准；执行全民所有自然资源资产划拨、出让、租赁、作价出资和土地储备政策，合理配置全民所有自然资源资产；负责自然资源资产价值评估管理，依法收缴相关资产收益。</w:t>
      </w:r>
    </w:p>
    <w:p>
      <w:pPr>
        <w:bidi w:val="0"/>
      </w:pPr>
      <w:r>
        <w:rPr>
          <w:rFonts w:hint="eastAsia"/>
          <w:lang w:val="en-US" w:eastAsia="zh-CN"/>
        </w:rPr>
        <w:t>（5）负责自然资源的合理开发利用；拟订全市自然资源发</w:t>
      </w:r>
    </w:p>
    <w:p>
      <w:pPr>
        <w:bidi w:val="0"/>
      </w:pPr>
      <w:r>
        <w:rPr>
          <w:rFonts w:hint="eastAsia"/>
          <w:lang w:val="en-US" w:eastAsia="zh-CN"/>
        </w:rPr>
        <w:t>展规划和自然资源开发利用标准并组织实施，建立政府公示自然资源价格体系，组织开展自然资源分等定级价格评估，开展自然资源利用评价考核，指导节约集约利用；负责自然资源市场监管；开展自然资源管理涉及宏观调控、区域协调和城乡统筹的政策措施的调查研究。</w:t>
      </w:r>
    </w:p>
    <w:p>
      <w:pPr>
        <w:bidi w:val="0"/>
      </w:pPr>
      <w:r>
        <w:rPr>
          <w:rFonts w:hint="eastAsia"/>
          <w:lang w:val="en-US" w:eastAsia="zh-CN"/>
        </w:rPr>
        <w:t>（6）负责建立空间规划体系并监督实施；推进全市主体功</w:t>
      </w:r>
    </w:p>
    <w:p>
      <w:pPr>
        <w:bidi w:val="0"/>
      </w:pPr>
      <w:r>
        <w:rPr>
          <w:rFonts w:hint="eastAsia"/>
          <w:lang w:val="en-US" w:eastAsia="zh-CN"/>
        </w:rPr>
        <w:t>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负责城乡规划的监督管理工作；组织拟订并实施土地等自然资源年度利用计划；负责土地等国土空间用途转用工作；组织编制城市规划，负责城市规划区内建设规划的监督管理工作，开展城市规划区内建设工程执行规划要求情况的监督检查；负责全市土地征收征用管理工作，承担商州区行政区域内建设项目用地的征收征用工作。</w:t>
      </w:r>
    </w:p>
    <w:p>
      <w:pPr>
        <w:bidi w:val="0"/>
      </w:pPr>
      <w:r>
        <w:rPr>
          <w:rFonts w:hint="eastAsia"/>
          <w:lang w:val="en-US" w:eastAsia="zh-CN"/>
        </w:rPr>
        <w:t>（7）负责统筹国土空间生态修复；牵头组织编制全市国土空间生态修复规划并实施有关生态修复重大工程；负责国土空间综合整治、土地整理复垦、矿山地质环境恢复治理等工作；牵头建立和实施生态保护补偿制度，拟订合理利用社会资金进行生态修复的政策措施，提出重大备选项目的建议。</w:t>
      </w:r>
    </w:p>
    <w:p>
      <w:pPr>
        <w:bidi w:val="0"/>
      </w:pPr>
      <w:r>
        <w:rPr>
          <w:rFonts w:hint="eastAsia"/>
          <w:lang w:val="en-US" w:eastAsia="zh-CN"/>
        </w:rPr>
        <w:t>（8）贯彻执行国家有关耕地保护政策，牵头拟订全市耕地保护规范性文件，负责耕地数量、质量、生态保护，组织实施最严格的耕地保护制度；组织实施耕地保护责任目标考核和永久基本农田特殊保护；完善全市耕地占补平衡制度，监督占用耕地补偿制度执行情况。</w:t>
      </w:r>
    </w:p>
    <w:p>
      <w:pPr>
        <w:bidi w:val="0"/>
      </w:pPr>
      <w:r>
        <w:rPr>
          <w:rFonts w:hint="eastAsia"/>
          <w:lang w:val="en-US" w:eastAsia="zh-CN"/>
        </w:rPr>
        <w:t>（9）负责落实综合防灾减灾规划相关要求，组织编制全市地质灾害防治规划和防护标准并负责实施；负责地质灾害预防；负责和监督地质灾害调查评价及隐患的普查、详查、排查，监督管理地下水过量开采及引发的地面沉降等地质问题；负责开展地质灾害群测群防、专业监测、预报预警；负责地质灾害工程治理工作；承担地质灾害应急救援及技术支撑工作。</w:t>
      </w:r>
    </w:p>
    <w:p>
      <w:pPr>
        <w:bidi w:val="0"/>
      </w:pPr>
      <w:r>
        <w:rPr>
          <w:rFonts w:hint="eastAsia"/>
          <w:lang w:val="en-US" w:eastAsia="zh-CN"/>
        </w:rPr>
        <w:t>（10）负责全市矿产资源管理工作；负责管理全市矿产资源勘查工作；负责编制矿产资源总体规划并监督检查执行情况；负责矿产资源储量管理；负责矿业权管理；会同有关部门承担保护性开采的特定矿种、优势矿产的调控及相关管理工作；监督指导矿产资源合理利用和保护；负责全市古生物化石的监督管理工作；配合做好矿产资源有关行业安全生产工作。</w:t>
      </w:r>
    </w:p>
    <w:p>
      <w:pPr>
        <w:bidi w:val="0"/>
      </w:pPr>
      <w:r>
        <w:rPr>
          <w:rFonts w:hint="eastAsia"/>
          <w:lang w:val="en-US" w:eastAsia="zh-CN"/>
        </w:rPr>
        <w:t>（11）拟订全市自然资源领域科技创新发展和人才培养规划、计划并组织实施，推动自然资源领域科技发展；组织实施重大科技工程和创新能力建设，推进自然资源信息化和信息资料的公共服务；组织开展自然资源领域对外交流合作，参与处理涉外自然资源事务。</w:t>
      </w:r>
    </w:p>
    <w:p>
      <w:pPr>
        <w:bidi w:val="0"/>
      </w:pPr>
      <w:r>
        <w:rPr>
          <w:rFonts w:hint="eastAsia"/>
          <w:lang w:val="en-US" w:eastAsia="zh-CN"/>
        </w:rPr>
        <w:t>（12）根据授权，对各县（区）政府落实中、省、市有关自然资源和国土空间规划的方针政策、决策部署及法律法规执行情况进行督察；负责查处自然资源开发利用和国土空间规划等违法案件；指导各县自然资源行政执法工作。</w:t>
      </w:r>
    </w:p>
    <w:p>
      <w:pPr>
        <w:bidi w:val="0"/>
      </w:pPr>
      <w:r>
        <w:rPr>
          <w:rFonts w:hint="eastAsia"/>
          <w:lang w:val="en-US" w:eastAsia="zh-CN"/>
        </w:rPr>
        <w:t>（13）负责全市移民（脱贫）搬迁工作；统一领导和管理市林业局。</w:t>
      </w:r>
    </w:p>
    <w:p>
      <w:pPr>
        <w:bidi w:val="0"/>
      </w:pPr>
      <w:r>
        <w:rPr>
          <w:rFonts w:hint="eastAsia"/>
          <w:lang w:val="en-US" w:eastAsia="zh-CN"/>
        </w:rPr>
        <w:t>（14）完成市委、市政府和省自然资源厅交办的其他任务。</w:t>
      </w:r>
    </w:p>
    <w:p>
      <w:pPr>
        <w:pStyle w:val="3"/>
        <w:bidi w:val="0"/>
        <w:rPr>
          <w:rFonts w:hint="eastAsia"/>
          <w:color w:val="auto"/>
          <w:highlight w:val="none"/>
        </w:rPr>
      </w:pPr>
      <w:r>
        <w:rPr>
          <w:rFonts w:hint="eastAsia"/>
          <w:color w:val="auto"/>
          <w:highlight w:val="none"/>
          <w:lang w:val="en-US" w:eastAsia="zh-CN"/>
        </w:rPr>
        <w:t>机构设置情况</w:t>
      </w:r>
    </w:p>
    <w:p>
      <w:pPr>
        <w:bidi w:val="0"/>
        <w:rPr>
          <w:rFonts w:hint="eastAsia"/>
          <w:lang w:val="en-US" w:eastAsia="zh-CN"/>
        </w:rPr>
      </w:pPr>
      <w:r>
        <w:rPr>
          <w:rFonts w:hint="eastAsia"/>
          <w:lang w:val="en-US" w:eastAsia="zh-CN"/>
        </w:rPr>
        <w:t>（1）内设13个正科级机构：党政办公室、政策法规科、国土空间规划和生态修复科、国土空间用途管制科、建设工程规划监管科、自然资源调查监测科、自然资源确权登记科、自然资源开发利用科、耕地保护科、矿产资源管理科、地质环境科、财务和资金运用科、人事教育科。</w:t>
      </w:r>
    </w:p>
    <w:p>
      <w:pPr>
        <w:bidi w:val="0"/>
        <w:rPr>
          <w:rFonts w:hint="default"/>
          <w:lang w:val="en-US" w:eastAsia="zh-CN"/>
        </w:rPr>
      </w:pPr>
      <w:r>
        <w:rPr>
          <w:rFonts w:hint="eastAsia"/>
          <w:lang w:val="en-US" w:eastAsia="zh-CN"/>
        </w:rPr>
        <w:t>（2）所属1家行政单位：商洛市自然资源局商州分局；20家事业单位：商洛市土地收购储备中心、商洛市国土资源执法监察支队、商洛市统一征地办公室、商洛市移民（脱贫）搬迁工作办公室、商洛市土地开发复垦整理中心、商洛市地质环境监测中心站、商洛市国土资源局商州分局土地收购储备中心、商洛市国土资源局商州分局土地开发复垦整理中心、商洛市国土资源局商州分局地质环境监测站、商洛市不动产登记中心、商洛市城市规划勘测院、商洛市城建档案馆、商洛市城乡建设规划局商州分局、商洛市城市规划展览馆、商洛市城乡建设规划局高新区（商丹园区）分局、商洛市城乡建设规划局商州分局杨峪河城市规划建设管理所、商洛市城乡建设规划局商州分局沙河子城市规划建设管理所、商洛市城乡建设规划局商州分局陈塬城市规划建设管理所、商洛市城乡建设规划局商州分局大赵峪城市规划建设管理所、商洛市城乡建设规划局商州分局板桥城市规划建设管理所。</w:t>
      </w:r>
    </w:p>
    <w:p>
      <w:pPr>
        <w:pStyle w:val="2"/>
        <w:bidi w:val="0"/>
        <w:rPr>
          <w:rFonts w:hint="eastAsia"/>
          <w:color w:val="auto"/>
          <w:highlight w:val="none"/>
        </w:rPr>
      </w:pPr>
      <w:r>
        <w:rPr>
          <w:rFonts w:hint="eastAsia"/>
          <w:color w:val="auto"/>
          <w:highlight w:val="none"/>
        </w:rPr>
        <w:t>20</w:t>
      </w:r>
      <w:r>
        <w:rPr>
          <w:rFonts w:hint="eastAsia"/>
          <w:color w:val="auto"/>
          <w:highlight w:val="none"/>
          <w:lang w:val="en-US" w:eastAsia="zh-CN"/>
        </w:rPr>
        <w:t>20</w:t>
      </w:r>
      <w:r>
        <w:rPr>
          <w:rFonts w:hint="eastAsia"/>
          <w:color w:val="auto"/>
          <w:highlight w:val="none"/>
        </w:rPr>
        <w:t>年年度部门工作任务</w:t>
      </w:r>
    </w:p>
    <w:p>
      <w:pPr>
        <w:bidi w:val="0"/>
        <w:rPr>
          <w:rFonts w:hint="eastAsia"/>
          <w:lang w:val="en-US" w:eastAsia="zh-CN"/>
        </w:rPr>
      </w:pPr>
      <w:r>
        <w:rPr>
          <w:rFonts w:hint="eastAsia"/>
          <w:lang w:val="en-US" w:eastAsia="zh-CN"/>
        </w:rPr>
        <w:t>2020年全市自然资源工作的指导思想是：坚持以习近平新时代中国特色社会主义思想和生态文明理念为指导，深入学习贯彻党的十九届四中全会、部省自然资源工作会议精神，全面落实“两统一、一专项”工作职责，坚守“保生态、保资源、保资产、保发展、保民生”工作主线，大力推进“山水林田湖草”综合治理，为建设创新美丽幸福商洛做贡献。</w:t>
      </w:r>
    </w:p>
    <w:p>
      <w:pPr>
        <w:bidi w:val="0"/>
        <w:rPr>
          <w:lang w:val="en-US" w:eastAsia="zh-CN"/>
        </w:rPr>
      </w:pPr>
      <w:r>
        <w:rPr>
          <w:rFonts w:hint="eastAsia" w:ascii="楷体_GB2312" w:hAnsi="楷体_GB2312" w:eastAsia="楷体_GB2312" w:cs="楷体_GB2312"/>
          <w:b/>
          <w:bCs/>
          <w:lang w:val="en-US" w:eastAsia="zh-CN"/>
        </w:rPr>
        <w:t>一是扎实做好移民搬迁后续工作。</w:t>
      </w:r>
      <w:r>
        <w:rPr>
          <w:lang w:val="en-US" w:eastAsia="zh-CN"/>
        </w:rPr>
        <w:t>严格按照中省高质量打赢精准脱贫攻坚战决策要求，以实现移民群众“稳得住、能致富”为目标，</w:t>
      </w:r>
      <w:r>
        <w:rPr>
          <w:rFonts w:hint="eastAsia"/>
          <w:lang w:val="en-US" w:eastAsia="zh-CN"/>
        </w:rPr>
        <w:t>持续推进</w:t>
      </w:r>
      <w:r>
        <w:rPr>
          <w:lang w:val="en-US" w:eastAsia="zh-CN"/>
        </w:rPr>
        <w:t>移民旧宅基地腾退，确保2020年6月底前全面完成“十三五”易地扶贫搬迁旧宅腾退任务</w:t>
      </w:r>
      <w:r>
        <w:rPr>
          <w:rFonts w:hint="eastAsia"/>
          <w:lang w:val="en-US" w:eastAsia="zh-CN"/>
        </w:rPr>
        <w:t>。</w:t>
      </w:r>
      <w:r>
        <w:rPr>
          <w:lang w:val="en-US" w:eastAsia="zh-CN"/>
        </w:rPr>
        <w:t>不断加强移民后续扶持，积极配合职能部门整合优势资源、加大资金项目统筹，不断完善配套设施、健全社区功能、优化人居环境、强化管理服务</w:t>
      </w:r>
      <w:r>
        <w:rPr>
          <w:rFonts w:hint="eastAsia"/>
          <w:lang w:val="en-US" w:eastAsia="zh-CN"/>
        </w:rPr>
        <w:t>，确保移民群众尽快融入新社区，过上新生活。</w:t>
      </w:r>
    </w:p>
    <w:p>
      <w:pPr>
        <w:bidi w:val="0"/>
        <w:rPr>
          <w:lang w:val="en-US" w:eastAsia="zh-CN"/>
        </w:rPr>
      </w:pPr>
      <w:r>
        <w:rPr>
          <w:rFonts w:hint="eastAsia" w:ascii="楷体_GB2312" w:hAnsi="楷体_GB2312" w:eastAsia="楷体_GB2312" w:cs="楷体_GB2312"/>
          <w:b/>
          <w:bCs/>
          <w:lang w:val="en-US" w:eastAsia="zh-CN"/>
        </w:rPr>
        <w:t>二是全面完成第三地全国国土调查工作任务。</w:t>
      </w:r>
      <w:r>
        <w:rPr>
          <w:rFonts w:hint="eastAsia"/>
          <w:lang w:val="en-US" w:eastAsia="zh-CN"/>
        </w:rPr>
        <w:t>在</w:t>
      </w:r>
      <w:r>
        <w:rPr>
          <w:lang w:val="en-US" w:eastAsia="zh-CN"/>
        </w:rPr>
        <w:t>完成县区外业核查，做好国家统一时点变更调查准备</w:t>
      </w:r>
      <w:r>
        <w:rPr>
          <w:rFonts w:hint="eastAsia"/>
          <w:lang w:val="en-US" w:eastAsia="zh-CN"/>
        </w:rPr>
        <w:t>的同时，</w:t>
      </w:r>
      <w:r>
        <w:rPr>
          <w:lang w:val="en-US" w:eastAsia="zh-CN"/>
        </w:rPr>
        <w:t>配合省厅开展好交通物流用地及秦岭生态环境保护范围自然资源调查</w:t>
      </w:r>
      <w:r>
        <w:rPr>
          <w:rFonts w:hint="eastAsia"/>
          <w:lang w:val="en-US" w:eastAsia="zh-CN"/>
        </w:rPr>
        <w:t>，</w:t>
      </w:r>
      <w:r>
        <w:rPr>
          <w:lang w:val="en-US" w:eastAsia="zh-CN"/>
        </w:rPr>
        <w:t>完成市级汇总及第三次国土调查的各项收尾工作</w:t>
      </w:r>
      <w:r>
        <w:rPr>
          <w:rFonts w:hint="eastAsia"/>
          <w:lang w:val="en-US" w:eastAsia="zh-CN"/>
        </w:rPr>
        <w:t>，</w:t>
      </w:r>
      <w:r>
        <w:rPr>
          <w:lang w:val="en-US" w:eastAsia="zh-CN"/>
        </w:rPr>
        <w:t>确保调查成果的完整性、规范性、真实性。围绕</w:t>
      </w:r>
      <w:r>
        <w:rPr>
          <w:rFonts w:hint="eastAsia"/>
          <w:lang w:val="en-US" w:eastAsia="zh-CN"/>
        </w:rPr>
        <w:t>“</w:t>
      </w:r>
      <w:r>
        <w:rPr>
          <w:lang w:val="en-US" w:eastAsia="zh-CN"/>
        </w:rPr>
        <w:t>二调</w:t>
      </w:r>
      <w:r>
        <w:rPr>
          <w:rFonts w:hint="eastAsia"/>
          <w:lang w:val="en-US" w:eastAsia="zh-CN"/>
        </w:rPr>
        <w:t>”与“</w:t>
      </w:r>
      <w:r>
        <w:rPr>
          <w:lang w:val="en-US" w:eastAsia="zh-CN"/>
        </w:rPr>
        <w:t>三调</w:t>
      </w:r>
      <w:r>
        <w:rPr>
          <w:rFonts w:hint="eastAsia"/>
          <w:lang w:val="en-US" w:eastAsia="zh-CN"/>
        </w:rPr>
        <w:t>”</w:t>
      </w:r>
      <w:r>
        <w:rPr>
          <w:lang w:val="en-US" w:eastAsia="zh-CN"/>
        </w:rPr>
        <w:t>中耕地保有量、建设用地规模</w:t>
      </w:r>
      <w:r>
        <w:rPr>
          <w:rFonts w:hint="eastAsia"/>
          <w:lang w:val="en-US" w:eastAsia="zh-CN"/>
        </w:rPr>
        <w:t>等变化</w:t>
      </w:r>
      <w:r>
        <w:rPr>
          <w:lang w:val="en-US" w:eastAsia="zh-CN"/>
        </w:rPr>
        <w:t>，进行深</w:t>
      </w:r>
      <w:r>
        <w:rPr>
          <w:rFonts w:hint="eastAsia"/>
          <w:lang w:val="en-US" w:eastAsia="zh-CN"/>
        </w:rPr>
        <w:t>入</w:t>
      </w:r>
      <w:r>
        <w:rPr>
          <w:lang w:val="en-US" w:eastAsia="zh-CN"/>
        </w:rPr>
        <w:t>比对分析</w:t>
      </w:r>
      <w:r>
        <w:rPr>
          <w:rFonts w:hint="eastAsia"/>
          <w:lang w:val="en-US" w:eastAsia="zh-CN"/>
        </w:rPr>
        <w:t>，优化“</w:t>
      </w:r>
      <w:r>
        <w:rPr>
          <w:lang w:val="en-US" w:eastAsia="zh-CN"/>
        </w:rPr>
        <w:t>三调</w:t>
      </w:r>
      <w:r>
        <w:rPr>
          <w:rFonts w:hint="eastAsia"/>
          <w:lang w:val="en-US" w:eastAsia="zh-CN"/>
        </w:rPr>
        <w:t>”</w:t>
      </w:r>
      <w:r>
        <w:rPr>
          <w:lang w:val="en-US" w:eastAsia="zh-CN"/>
        </w:rPr>
        <w:t>初始成果应用</w:t>
      </w:r>
      <w:r>
        <w:rPr>
          <w:rFonts w:hint="eastAsia"/>
          <w:lang w:val="en-US" w:eastAsia="zh-CN"/>
        </w:rPr>
        <w:t>，</w:t>
      </w:r>
      <w:r>
        <w:rPr>
          <w:lang w:val="en-US" w:eastAsia="zh-CN"/>
        </w:rPr>
        <w:t>实现全市第三次国土调查成果信息化管理与共享，满足生态文明建设和国土空间用途管制等各项工作的需</w:t>
      </w:r>
      <w:r>
        <w:rPr>
          <w:rFonts w:hint="eastAsia"/>
          <w:lang w:val="en-US" w:eastAsia="zh-CN"/>
        </w:rPr>
        <w:t>求</w:t>
      </w:r>
      <w:r>
        <w:rPr>
          <w:lang w:val="en-US" w:eastAsia="zh-CN"/>
        </w:rPr>
        <w:t>。</w:t>
      </w:r>
    </w:p>
    <w:p>
      <w:pPr>
        <w:bidi w:val="0"/>
        <w:rPr>
          <w:rFonts w:hint="eastAsia"/>
          <w:lang w:val="en-US" w:eastAsia="zh-CN"/>
        </w:rPr>
      </w:pPr>
      <w:r>
        <w:rPr>
          <w:rFonts w:hint="eastAsia" w:ascii="楷体_GB2312" w:hAnsi="楷体_GB2312" w:eastAsia="楷体_GB2312" w:cs="楷体_GB2312"/>
          <w:b/>
          <w:bCs/>
          <w:lang w:val="en-US" w:eastAsia="zh-CN"/>
        </w:rPr>
        <w:t>三是全面完成国土空间规划编制工作。</w:t>
      </w:r>
      <w:r>
        <w:rPr>
          <w:rFonts w:hint="eastAsia"/>
          <w:lang w:val="en-US" w:eastAsia="zh-CN"/>
        </w:rPr>
        <w:t>根据《中共中央、国务院关于建立国土空间规划体系并监督实施的若干意见》《自然资源部关于全面开展国土空间规划编制工作的通知》，扎实开展国土空间总体规划编制前期调研、资料收集等工作。加强与省资源厅等部门对接，待中省编制依据出台后，全面推进我市国土空间总体规划编制工作开展。与此同时，积极推进市、县及控制性详细规划、已有专项规划的报批工作，确保国土空间规划基础资料的法定性。同时围绕乡村振兴战略、秦岭生态环境保护以及农村人居环境整治要求，科学编制村庄规划，以试点先行，为乡村振兴战略实施提供技术保障。</w:t>
      </w:r>
    </w:p>
    <w:p>
      <w:pPr>
        <w:bidi w:val="0"/>
        <w:rPr>
          <w:lang w:val="en-US" w:eastAsia="zh-CN"/>
        </w:rPr>
      </w:pPr>
      <w:r>
        <w:rPr>
          <w:rFonts w:hint="eastAsia" w:ascii="楷体_GB2312" w:hAnsi="楷体_GB2312" w:eastAsia="楷体_GB2312" w:cs="楷体_GB2312"/>
          <w:b/>
          <w:bCs/>
          <w:lang w:val="en-US" w:eastAsia="zh-CN"/>
        </w:rPr>
        <w:t>四是全力做好秦岭生态环境保护专项巡视反馈问题整改工作。</w:t>
      </w:r>
      <w:r>
        <w:rPr>
          <w:lang w:val="en-US" w:eastAsia="zh-CN"/>
        </w:rPr>
        <w:t>以秦岭违建、土地督察、环保督察反馈问题整改为重点，举一反三，全面核查，建立问题清单，明确责任领导，责任科（股）室和责任人，针对存在的问题，逐一落实整改措施</w:t>
      </w:r>
      <w:r>
        <w:rPr>
          <w:rFonts w:hint="eastAsia"/>
          <w:lang w:val="en-US" w:eastAsia="zh-CN"/>
        </w:rPr>
        <w:t>。</w:t>
      </w:r>
      <w:r>
        <w:rPr>
          <w:lang w:val="en-US" w:eastAsia="zh-CN"/>
        </w:rPr>
        <w:t>全面摸清核心保护区、重点保护区、重要湿地、森林公园的矿业权分布情况，做好依法退出工作</w:t>
      </w:r>
      <w:r>
        <w:rPr>
          <w:rFonts w:hint="eastAsia"/>
          <w:lang w:val="en-US" w:eastAsia="zh-CN"/>
        </w:rPr>
        <w:t>。</w:t>
      </w:r>
      <w:r>
        <w:rPr>
          <w:lang w:val="en-US" w:eastAsia="zh-CN"/>
        </w:rPr>
        <w:t>严格执行生态环境保护红线要求，严禁在各类保护区新立矿业权。坚定不移地把秦岭生态环境保护工作抓紧抓实。</w:t>
      </w:r>
    </w:p>
    <w:p>
      <w:pPr>
        <w:bidi w:val="0"/>
        <w:rPr>
          <w:lang w:val="en-US" w:eastAsia="zh-CN"/>
        </w:rPr>
      </w:pPr>
      <w:r>
        <w:rPr>
          <w:rFonts w:hint="eastAsia" w:ascii="楷体_GB2312" w:hAnsi="楷体_GB2312" w:eastAsia="楷体_GB2312" w:cs="楷体_GB2312"/>
          <w:b/>
          <w:bCs/>
          <w:lang w:val="en-US" w:eastAsia="zh-CN"/>
        </w:rPr>
        <w:t>五是接续推进城乡建设用地增减挂钩。</w:t>
      </w:r>
      <w:r>
        <w:rPr>
          <w:lang w:val="en-US" w:eastAsia="zh-CN"/>
        </w:rPr>
        <w:t>继续发挥自然资源政策助力脱贫攻坚的作用，做好</w:t>
      </w:r>
      <w:r>
        <w:rPr>
          <w:rFonts w:hint="eastAsia"/>
          <w:lang w:val="en-US" w:eastAsia="zh-CN"/>
        </w:rPr>
        <w:t>2019</w:t>
      </w:r>
      <w:r>
        <w:rPr>
          <w:lang w:val="en-US" w:eastAsia="zh-CN"/>
        </w:rPr>
        <w:t>年节余指标跨省域调剂项目实施，配合部、省</w:t>
      </w:r>
      <w:r>
        <w:rPr>
          <w:rFonts w:hint="eastAsia"/>
          <w:lang w:val="en-US" w:eastAsia="zh-CN"/>
        </w:rPr>
        <w:t>开展</w:t>
      </w:r>
      <w:r>
        <w:rPr>
          <w:lang w:val="en-US" w:eastAsia="zh-CN"/>
        </w:rPr>
        <w:t>项目核查抽检，</w:t>
      </w:r>
      <w:r>
        <w:rPr>
          <w:rFonts w:hint="eastAsia"/>
          <w:lang w:val="en-US" w:eastAsia="zh-CN"/>
        </w:rPr>
        <w:t>及时</w:t>
      </w:r>
      <w:r>
        <w:rPr>
          <w:lang w:val="en-US" w:eastAsia="zh-CN"/>
        </w:rPr>
        <w:t>建立</w:t>
      </w:r>
      <w:r>
        <w:rPr>
          <w:rFonts w:hint="eastAsia"/>
          <w:lang w:val="en-US" w:eastAsia="zh-CN"/>
        </w:rPr>
        <w:t>完善</w:t>
      </w:r>
      <w:r>
        <w:rPr>
          <w:lang w:val="en-US" w:eastAsia="zh-CN"/>
        </w:rPr>
        <w:t>项目数据库</w:t>
      </w:r>
      <w:r>
        <w:rPr>
          <w:rFonts w:hint="eastAsia"/>
          <w:lang w:val="en-US" w:eastAsia="zh-CN"/>
        </w:rPr>
        <w:t>并</w:t>
      </w:r>
      <w:r>
        <w:rPr>
          <w:lang w:val="en-US" w:eastAsia="zh-CN"/>
        </w:rPr>
        <w:t>报部备案，</w:t>
      </w:r>
      <w:r>
        <w:rPr>
          <w:rFonts w:hint="eastAsia"/>
          <w:lang w:val="en-US" w:eastAsia="zh-CN"/>
        </w:rPr>
        <w:t>确保</w:t>
      </w:r>
      <w:r>
        <w:rPr>
          <w:lang w:val="en-US" w:eastAsia="zh-CN"/>
        </w:rPr>
        <w:t>我市城乡建设用地增减挂钩节余指标跨省调剂工作</w:t>
      </w:r>
      <w:r>
        <w:rPr>
          <w:rFonts w:hint="eastAsia"/>
          <w:lang w:val="en-US" w:eastAsia="zh-CN"/>
        </w:rPr>
        <w:t>圆满收官</w:t>
      </w:r>
      <w:r>
        <w:rPr>
          <w:lang w:val="en-US" w:eastAsia="zh-CN"/>
        </w:rPr>
        <w:t>。</w:t>
      </w:r>
      <w:r>
        <w:rPr>
          <w:rFonts w:hint="eastAsia"/>
          <w:lang w:val="en-US" w:eastAsia="zh-CN"/>
        </w:rPr>
        <w:t>精心谋划并落实</w:t>
      </w:r>
      <w:r>
        <w:rPr>
          <w:lang w:val="en-US" w:eastAsia="zh-CN"/>
        </w:rPr>
        <w:t>节余指标省内流转增减挂钩项目，持续</w:t>
      </w:r>
      <w:r>
        <w:rPr>
          <w:rFonts w:hint="eastAsia"/>
          <w:lang w:val="en-US" w:eastAsia="zh-CN"/>
        </w:rPr>
        <w:t>深化</w:t>
      </w:r>
      <w:r>
        <w:rPr>
          <w:lang w:val="en-US" w:eastAsia="zh-CN"/>
        </w:rPr>
        <w:t>移民搬迁旧宅复垦</w:t>
      </w:r>
      <w:r>
        <w:rPr>
          <w:rFonts w:hint="eastAsia"/>
          <w:lang w:val="en-US" w:eastAsia="zh-CN"/>
        </w:rPr>
        <w:t>，</w:t>
      </w:r>
      <w:r>
        <w:rPr>
          <w:lang w:val="en-US" w:eastAsia="zh-CN"/>
        </w:rPr>
        <w:t>通过省厅协调帮助，实现节余指标省内流转。</w:t>
      </w:r>
    </w:p>
    <w:p>
      <w:pPr>
        <w:bidi w:val="0"/>
        <w:rPr>
          <w:lang w:val="en-US" w:eastAsia="zh-CN"/>
        </w:rPr>
      </w:pPr>
      <w:r>
        <w:rPr>
          <w:rFonts w:hint="eastAsia" w:ascii="楷体_GB2312" w:hAnsi="楷体_GB2312" w:eastAsia="楷体_GB2312" w:cs="楷体_GB2312"/>
          <w:b/>
          <w:bCs/>
          <w:lang w:val="en-US" w:eastAsia="zh-CN"/>
        </w:rPr>
        <w:t>六是全面夯实耕地保护责任。</w:t>
      </w:r>
      <w:r>
        <w:rPr>
          <w:rFonts w:hint="eastAsia"/>
          <w:lang w:val="en-US" w:eastAsia="zh-CN"/>
        </w:rPr>
        <w:t>严格实施耕地保护责任问责制，强化各级政府耕地保护责任意识，</w:t>
      </w:r>
      <w:r>
        <w:rPr>
          <w:lang w:val="en-US" w:eastAsia="zh-CN"/>
        </w:rPr>
        <w:t>聚合各方力量，及时兑现报酬，激发各级“田长”作用，推动耕地保护“田长制”落实</w:t>
      </w:r>
      <w:r>
        <w:rPr>
          <w:rFonts w:hint="eastAsia"/>
          <w:lang w:val="en-US" w:eastAsia="zh-CN"/>
        </w:rPr>
        <w:t>，提高农民种粮积极性。</w:t>
      </w:r>
      <w:r>
        <w:rPr>
          <w:lang w:val="en-US" w:eastAsia="zh-CN"/>
        </w:rPr>
        <w:t>同时，加大统筹力度，督促县区</w:t>
      </w:r>
      <w:r>
        <w:rPr>
          <w:rFonts w:hint="eastAsia"/>
          <w:lang w:val="en-US" w:eastAsia="zh-CN"/>
        </w:rPr>
        <w:t>充分储备年度</w:t>
      </w:r>
      <w:r>
        <w:rPr>
          <w:lang w:val="en-US" w:eastAsia="zh-CN"/>
        </w:rPr>
        <w:t>占补平衡项目，及早开工建设，</w:t>
      </w:r>
      <w:r>
        <w:rPr>
          <w:rFonts w:hint="eastAsia"/>
          <w:lang w:val="en-US" w:eastAsia="zh-CN"/>
        </w:rPr>
        <w:t>实现占补平衡</w:t>
      </w:r>
      <w:r>
        <w:rPr>
          <w:lang w:val="en-US" w:eastAsia="zh-CN"/>
        </w:rPr>
        <w:t>。</w:t>
      </w:r>
    </w:p>
    <w:p>
      <w:pPr>
        <w:bidi w:val="0"/>
        <w:rPr>
          <w:lang w:val="en-US" w:eastAsia="zh-CN"/>
        </w:rPr>
      </w:pPr>
      <w:r>
        <w:rPr>
          <w:rFonts w:hint="eastAsia" w:ascii="楷体_GB2312" w:hAnsi="楷体_GB2312" w:eastAsia="楷体_GB2312" w:cs="楷体_GB2312"/>
          <w:b/>
          <w:bCs/>
          <w:lang w:val="en-US" w:eastAsia="zh-CN"/>
        </w:rPr>
        <w:t>七是大力推进绿色矿山建设。</w:t>
      </w:r>
      <w:r>
        <w:rPr>
          <w:lang w:val="en-US" w:eastAsia="zh-CN"/>
        </w:rPr>
        <w:t>牢固树立和践行绿水青山就是金山银山的理念，修订完善市县发证采矿权的审批规则，进一步完善储量管理、出让收益评估、矿业权依法退出补偿机制等，严格执行“环评”和“三同时”制度、严守生态保护红线，把发展绿色矿业、建设绿色矿山作为转变矿业发展方式、提升矿业整体形象、促进矿业健康持续发展的重要平台和抓手，构建开采方式科学化、资源利用高效化、企业管理规范化、生产工艺环保化、矿山环境生态化、矿地关系和谐化的绿色矿山建设新格局。</w:t>
      </w:r>
    </w:p>
    <w:p>
      <w:pPr>
        <w:bidi w:val="0"/>
        <w:rPr>
          <w:lang w:val="en-US" w:eastAsia="zh-CN"/>
        </w:rPr>
      </w:pPr>
      <w:r>
        <w:rPr>
          <w:rFonts w:hint="eastAsia" w:ascii="楷体_GB2312" w:hAnsi="楷体_GB2312" w:eastAsia="楷体_GB2312" w:cs="楷体_GB2312"/>
          <w:b/>
          <w:bCs/>
          <w:lang w:val="en-US" w:eastAsia="zh-CN"/>
        </w:rPr>
        <w:t>八是有序推进地质灾害综合防治体系建设。</w:t>
      </w:r>
      <w:r>
        <w:rPr>
          <w:rFonts w:hint="eastAsia"/>
          <w:lang w:val="en-US" w:eastAsia="zh-CN"/>
        </w:rPr>
        <w:t>持</w:t>
      </w:r>
      <w:r>
        <w:rPr>
          <w:lang w:val="en-US" w:eastAsia="zh-CN"/>
        </w:rPr>
        <w:t>续加大对《陕西省地质灾害防治条例》《陕西省工程建设活动引发地质灾害防治办法》宣传贯彻，增强全市广大干部群众防灾避灾意识。推进地质灾害综合防治体系建设，确保</w:t>
      </w:r>
      <w:r>
        <w:rPr>
          <w:rFonts w:hint="eastAsia"/>
          <w:lang w:val="en-US" w:eastAsia="zh-CN"/>
        </w:rPr>
        <w:t>年度实施项目</w:t>
      </w:r>
      <w:r>
        <w:rPr>
          <w:lang w:val="en-US" w:eastAsia="zh-CN"/>
        </w:rPr>
        <w:t>按期完成建设任务。督促矿山企业加快编制矿山地质环境保护与土地复垦方案，及时开展矿山地质环境恢复治理。同时，加大对历史遗留、无主矿山的恢复治理力度，助推秦岭生态持续好转。</w:t>
      </w:r>
    </w:p>
    <w:p>
      <w:pPr>
        <w:bidi w:val="0"/>
        <w:rPr>
          <w:rFonts w:hint="eastAsia"/>
          <w:lang w:val="en-US" w:eastAsia="zh-CN"/>
        </w:rPr>
      </w:pPr>
      <w:r>
        <w:rPr>
          <w:rFonts w:hint="eastAsia" w:ascii="楷体_GB2312" w:hAnsi="楷体_GB2312" w:eastAsia="楷体_GB2312" w:cs="楷体_GB2312"/>
          <w:b/>
          <w:bCs/>
          <w:lang w:val="en-US" w:eastAsia="zh-CN"/>
        </w:rPr>
        <w:t>九是进一步深化违建别墅清查整治。</w:t>
      </w:r>
      <w:r>
        <w:rPr>
          <w:rFonts w:hint="eastAsia"/>
          <w:lang w:val="en-US" w:eastAsia="zh-CN"/>
        </w:rPr>
        <w:t>推动建立市委常委包抓县区违建别墅问题清查整治专项行动工作包联制度和驻县区督导制，定期开展明察暗访、重点区域核查，压实县区党委、政府违建别墅清查整治专项行动的主体责任，确保所有问题项目整改落实到位。针对专项行动中暴露出来的问题，结合实际，加强源头管理，健全规章制度，加强审批监管，防止各类问题死灰复燃。</w:t>
      </w:r>
    </w:p>
    <w:p>
      <w:pPr>
        <w:bidi w:val="0"/>
        <w:rPr>
          <w:rFonts w:hint="eastAsia"/>
        </w:rPr>
      </w:pPr>
      <w:r>
        <w:rPr>
          <w:rFonts w:hint="eastAsia" w:ascii="楷体_GB2312" w:hAnsi="楷体_GB2312" w:eastAsia="楷体_GB2312" w:cs="楷体_GB2312"/>
          <w:b/>
          <w:bCs/>
          <w:lang w:val="en-US" w:eastAsia="zh-CN"/>
        </w:rPr>
        <w:t>十是全力打造自然资源党建品牌。</w:t>
      </w:r>
      <w:r>
        <w:rPr>
          <w:rFonts w:hint="eastAsia"/>
          <w:lang w:val="en-US" w:eastAsia="zh-CN"/>
        </w:rPr>
        <w:t>始终以党的政治建设为统领，以习近平新时代中国特色社会主义思想为指引，深入开展党史国史、形势政策等方面的教育，筑牢党员干部高举旗帜、忠诚使命的思想根基，持续巩固“不忘初心、牢记使命”主题教育成果，把党的十九大、十九届二中、三中、四中全会精神转化为解决问题、指导自然资源事业创新发展的生动实践。充分运用“三项机制”、职级并行等政策机制，树牢正确用人导向，激发党员干部队伍干事创业活力。结合新时代党建工作的新要求和自然资源职责新定位，实施党建质量提升工程，促进机关党建工作实现新飞跃。</w:t>
      </w:r>
    </w:p>
    <w:p>
      <w:pPr>
        <w:pStyle w:val="2"/>
        <w:bidi w:val="0"/>
        <w:rPr>
          <w:rFonts w:hint="eastAsia"/>
          <w:color w:val="auto"/>
          <w:highlight w:val="none"/>
        </w:rPr>
      </w:pPr>
      <w:r>
        <w:rPr>
          <w:rFonts w:hint="eastAsia"/>
          <w:color w:val="auto"/>
          <w:highlight w:val="none"/>
        </w:rPr>
        <w:t>部门预算单位构成</w:t>
      </w:r>
    </w:p>
    <w:p>
      <w:pPr>
        <w:bidi w:val="0"/>
        <w:rPr>
          <w:rFonts w:hint="eastAsia"/>
          <w:color w:val="auto"/>
          <w:highlight w:val="none"/>
        </w:rPr>
      </w:pPr>
      <w:r>
        <w:rPr>
          <w:rFonts w:hint="eastAsia"/>
          <w:color w:val="auto"/>
          <w:highlight w:val="none"/>
        </w:rPr>
        <w:t>从预算单位构成看，本部门的部门预算包括部门本级（机关）预算和</w:t>
      </w:r>
      <w:r>
        <w:rPr>
          <w:rFonts w:hint="eastAsia"/>
          <w:color w:val="auto"/>
          <w:highlight w:val="none"/>
          <w:lang w:val="en-US" w:eastAsia="zh-CN"/>
        </w:rPr>
        <w:t>所属</w:t>
      </w:r>
      <w:r>
        <w:rPr>
          <w:rFonts w:hint="eastAsia"/>
          <w:color w:val="auto"/>
          <w:highlight w:val="none"/>
        </w:rPr>
        <w:t>单位预算。</w:t>
      </w:r>
    </w:p>
    <w:p>
      <w:pPr>
        <w:bidi w:val="0"/>
        <w:rPr>
          <w:rFonts w:hint="eastAsia"/>
          <w:color w:val="auto"/>
          <w:highlight w:val="none"/>
        </w:rPr>
      </w:pPr>
      <w:r>
        <w:rPr>
          <w:rFonts w:hint="eastAsia"/>
          <w:color w:val="auto"/>
          <w:highlight w:val="none"/>
        </w:rPr>
        <w:t>纳入本部门</w:t>
      </w:r>
      <w:r>
        <w:rPr>
          <w:rFonts w:hint="eastAsia"/>
          <w:color w:val="auto"/>
          <w:highlight w:val="none"/>
          <w:lang w:eastAsia="zh-CN"/>
        </w:rPr>
        <w:t>2020</w:t>
      </w:r>
      <w:r>
        <w:rPr>
          <w:rFonts w:hint="eastAsia"/>
          <w:color w:val="auto"/>
          <w:highlight w:val="none"/>
        </w:rPr>
        <w:t>年部门预算编制范围的二级预算单位共有</w:t>
      </w:r>
      <w:r>
        <w:rPr>
          <w:rFonts w:hint="eastAsia"/>
          <w:color w:val="auto"/>
          <w:highlight w:val="none"/>
          <w:lang w:val="en-US" w:eastAsia="zh-CN"/>
        </w:rPr>
        <w:t>22</w:t>
      </w:r>
      <w:r>
        <w:rPr>
          <w:rFonts w:hint="eastAsia"/>
          <w:color w:val="auto"/>
          <w:highlight w:val="none"/>
        </w:rPr>
        <w:t>个，包括：</w:t>
      </w:r>
    </w:p>
    <w:tbl>
      <w:tblPr>
        <w:tblStyle w:val="16"/>
        <w:tblW w:w="9249" w:type="dxa"/>
        <w:jc w:val="center"/>
        <w:tblLayout w:type="fixed"/>
        <w:tblCellMar>
          <w:top w:w="0" w:type="dxa"/>
          <w:left w:w="108" w:type="dxa"/>
          <w:bottom w:w="0" w:type="dxa"/>
          <w:right w:w="108" w:type="dxa"/>
        </w:tblCellMar>
      </w:tblPr>
      <w:tblGrid>
        <w:gridCol w:w="707"/>
        <w:gridCol w:w="6377"/>
        <w:gridCol w:w="2165"/>
      </w:tblGrid>
      <w:tr>
        <w:tblPrEx>
          <w:tblCellMar>
            <w:top w:w="0" w:type="dxa"/>
            <w:left w:w="108" w:type="dxa"/>
            <w:bottom w:w="0" w:type="dxa"/>
            <w:right w:w="108" w:type="dxa"/>
          </w:tblCellMar>
        </w:tblPrEx>
        <w:trPr>
          <w:trHeight w:val="49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rPr>
              <w:t>序号</w:t>
            </w:r>
          </w:p>
        </w:tc>
        <w:tc>
          <w:tcPr>
            <w:tcW w:w="6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rPr>
              <w:t>单位名称</w:t>
            </w:r>
          </w:p>
        </w:tc>
        <w:tc>
          <w:tcPr>
            <w:tcW w:w="2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default" w:ascii="黑体" w:hAnsi="黑体" w:eastAsia="黑体" w:cs="黑体"/>
                <w:bCs/>
                <w:color w:val="auto"/>
                <w:kern w:val="0"/>
                <w:sz w:val="24"/>
                <w:szCs w:val="24"/>
                <w:highlight w:val="none"/>
                <w:lang w:val="en-US" w:eastAsia="zh-CN"/>
              </w:rPr>
            </w:pPr>
            <w:r>
              <w:rPr>
                <w:rFonts w:hint="eastAsia" w:ascii="黑体" w:hAnsi="黑体" w:eastAsia="黑体" w:cs="黑体"/>
                <w:bCs/>
                <w:color w:val="auto"/>
                <w:kern w:val="0"/>
                <w:sz w:val="24"/>
                <w:szCs w:val="24"/>
                <w:highlight w:val="none"/>
                <w:lang w:val="en-US" w:eastAsia="zh-CN"/>
              </w:rPr>
              <w:t>拟变动情况</w:t>
            </w:r>
          </w:p>
        </w:tc>
      </w:tr>
      <w:tr>
        <w:tblPrEx>
          <w:tblCellMar>
            <w:top w:w="0" w:type="dxa"/>
            <w:left w:w="108" w:type="dxa"/>
            <w:bottom w:w="0" w:type="dxa"/>
            <w:right w:w="108" w:type="dxa"/>
          </w:tblCellMar>
        </w:tblPrEx>
        <w:trPr>
          <w:trHeight w:val="630" w:hRule="atLeast"/>
          <w:jc w:val="center"/>
        </w:trPr>
        <w:tc>
          <w:tcPr>
            <w:tcW w:w="7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1</w:t>
            </w:r>
          </w:p>
        </w:tc>
        <w:tc>
          <w:tcPr>
            <w:tcW w:w="63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sz w:val="24"/>
                <w:szCs w:val="24"/>
                <w:highlight w:val="none"/>
              </w:rPr>
              <w:t>商洛市</w:t>
            </w:r>
            <w:r>
              <w:rPr>
                <w:rFonts w:hint="eastAsia" w:cs="仿宋_GB2312"/>
                <w:bCs/>
                <w:color w:val="auto"/>
                <w:sz w:val="24"/>
                <w:szCs w:val="24"/>
                <w:highlight w:val="none"/>
                <w:lang w:eastAsia="zh-CN"/>
              </w:rPr>
              <w:t>自然资源局</w:t>
            </w:r>
            <w:r>
              <w:rPr>
                <w:rFonts w:hint="eastAsia" w:cs="仿宋_GB2312"/>
                <w:bCs/>
                <w:color w:val="auto"/>
                <w:sz w:val="24"/>
                <w:szCs w:val="24"/>
                <w:highlight w:val="none"/>
                <w:lang w:val="en-US" w:eastAsia="zh-CN"/>
              </w:rPr>
              <w:t>本级（</w:t>
            </w:r>
            <w:r>
              <w:rPr>
                <w:rFonts w:ascii="仿宋_GB2312" w:hAnsi="仿宋_GB2312" w:eastAsia="仿宋_GB2312" w:cs="仿宋_GB2312"/>
                <w:bCs/>
                <w:color w:val="auto"/>
                <w:sz w:val="24"/>
                <w:szCs w:val="24"/>
                <w:highlight w:val="none"/>
              </w:rPr>
              <w:t>机关</w:t>
            </w:r>
            <w:r>
              <w:rPr>
                <w:rFonts w:hint="eastAsia" w:cs="仿宋_GB2312"/>
                <w:bCs/>
                <w:color w:val="auto"/>
                <w:sz w:val="24"/>
                <w:szCs w:val="24"/>
                <w:highlight w:val="none"/>
                <w:lang w:val="en-US" w:eastAsia="zh-CN"/>
              </w:rPr>
              <w:t>）</w:t>
            </w:r>
          </w:p>
        </w:tc>
        <w:tc>
          <w:tcPr>
            <w:tcW w:w="21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sz w:val="24"/>
                <w:szCs w:val="24"/>
                <w:highlight w:val="none"/>
              </w:rPr>
            </w:pPr>
            <w:r>
              <w:rPr>
                <w:rFonts w:hint="eastAsia" w:cs="仿宋_GB2312"/>
                <w:bCs/>
                <w:kern w:val="0"/>
                <w:sz w:val="24"/>
                <w:szCs w:val="24"/>
                <w:lang w:val="en-US" w:eastAsia="zh-CN"/>
              </w:rPr>
              <w:t>机构改革已经完成</w:t>
            </w:r>
          </w:p>
        </w:tc>
      </w:tr>
      <w:tr>
        <w:tblPrEx>
          <w:tblCellMar>
            <w:top w:w="0" w:type="dxa"/>
            <w:left w:w="108" w:type="dxa"/>
            <w:bottom w:w="0" w:type="dxa"/>
            <w:right w:w="108" w:type="dxa"/>
          </w:tblCellMar>
        </w:tblPrEx>
        <w:trPr>
          <w:trHeight w:val="459" w:hRule="atLeast"/>
          <w:jc w:val="center"/>
        </w:trPr>
        <w:tc>
          <w:tcPr>
            <w:tcW w:w="7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2</w:t>
            </w:r>
          </w:p>
        </w:tc>
        <w:tc>
          <w:tcPr>
            <w:tcW w:w="63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sz w:val="24"/>
                <w:szCs w:val="24"/>
                <w:highlight w:val="none"/>
              </w:rPr>
              <w:t>商洛市土地收购储备中心</w:t>
            </w:r>
          </w:p>
        </w:tc>
        <w:tc>
          <w:tcPr>
            <w:tcW w:w="21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445" w:hRule="atLeast"/>
          <w:jc w:val="center"/>
        </w:trPr>
        <w:tc>
          <w:tcPr>
            <w:tcW w:w="7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3</w:t>
            </w:r>
          </w:p>
        </w:tc>
        <w:tc>
          <w:tcPr>
            <w:tcW w:w="63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sz w:val="24"/>
                <w:szCs w:val="24"/>
                <w:highlight w:val="none"/>
              </w:rPr>
              <w:t>商洛市国土资源执法监察支队</w:t>
            </w:r>
          </w:p>
        </w:tc>
        <w:tc>
          <w:tcPr>
            <w:tcW w:w="21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429"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4</w:t>
            </w:r>
          </w:p>
        </w:tc>
        <w:tc>
          <w:tcPr>
            <w:tcW w:w="6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sz w:val="24"/>
                <w:szCs w:val="24"/>
                <w:highlight w:val="none"/>
              </w:rPr>
              <w:t>商洛市统一征地办公室</w:t>
            </w:r>
          </w:p>
        </w:tc>
        <w:tc>
          <w:tcPr>
            <w:tcW w:w="2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405"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5</w:t>
            </w:r>
          </w:p>
        </w:tc>
        <w:tc>
          <w:tcPr>
            <w:tcW w:w="6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sz w:val="24"/>
                <w:szCs w:val="24"/>
                <w:highlight w:val="none"/>
              </w:rPr>
              <w:t>商洛</w:t>
            </w:r>
            <w:r>
              <w:rPr>
                <w:rFonts w:ascii="仿宋_GB2312" w:hAnsi="仿宋_GB2312" w:eastAsia="仿宋_GB2312" w:cs="仿宋_GB2312"/>
                <w:bCs/>
                <w:color w:val="auto"/>
                <w:sz w:val="24"/>
                <w:szCs w:val="24"/>
                <w:highlight w:val="none"/>
              </w:rPr>
              <w:t>市移民（脱贫）搬迁工作办公室</w:t>
            </w:r>
          </w:p>
        </w:tc>
        <w:tc>
          <w:tcPr>
            <w:tcW w:w="2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465"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6</w:t>
            </w:r>
          </w:p>
        </w:tc>
        <w:tc>
          <w:tcPr>
            <w:tcW w:w="6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商洛市土地开发复垦整理中心</w:t>
            </w:r>
          </w:p>
        </w:tc>
        <w:tc>
          <w:tcPr>
            <w:tcW w:w="2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495"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7</w:t>
            </w:r>
          </w:p>
        </w:tc>
        <w:tc>
          <w:tcPr>
            <w:tcW w:w="6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商洛市地质环境监测中心站</w:t>
            </w:r>
          </w:p>
        </w:tc>
        <w:tc>
          <w:tcPr>
            <w:tcW w:w="2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609"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8</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商洛市</w:t>
            </w:r>
            <w:r>
              <w:rPr>
                <w:rFonts w:hint="eastAsia" w:cs="仿宋_GB2312"/>
                <w:bCs/>
                <w:color w:val="auto"/>
                <w:sz w:val="24"/>
                <w:szCs w:val="24"/>
                <w:highlight w:val="none"/>
                <w:lang w:eastAsia="zh-CN"/>
              </w:rPr>
              <w:t>自然资源局</w:t>
            </w:r>
            <w:r>
              <w:rPr>
                <w:rFonts w:ascii="仿宋_GB2312" w:hAnsi="仿宋_GB2312" w:eastAsia="仿宋_GB2312" w:cs="仿宋_GB2312"/>
                <w:bCs/>
                <w:color w:val="auto"/>
                <w:sz w:val="24"/>
                <w:szCs w:val="24"/>
                <w:highlight w:val="none"/>
              </w:rPr>
              <w:t>商州分局</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机构改革已经完成</w:t>
            </w:r>
          </w:p>
        </w:tc>
      </w:tr>
      <w:tr>
        <w:tblPrEx>
          <w:tblCellMar>
            <w:top w:w="0" w:type="dxa"/>
            <w:left w:w="108" w:type="dxa"/>
            <w:bottom w:w="0" w:type="dxa"/>
            <w:right w:w="108" w:type="dxa"/>
          </w:tblCellMar>
        </w:tblPrEx>
        <w:trPr>
          <w:trHeight w:val="496"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9</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商洛市国土资源局商州分局土地收购储备中心</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03"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10</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商洛市国土资源局商州分局土地开发复垦整理中心</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11</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商洛市国土资源局商州分局地质环境监测站</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ascii="仿宋_GB2312" w:hAnsi="仿宋_GB2312" w:eastAsia="仿宋_GB2312" w:cs="仿宋_GB2312"/>
                <w:bCs/>
                <w:color w:val="auto"/>
                <w:kern w:val="0"/>
                <w:sz w:val="24"/>
                <w:szCs w:val="24"/>
                <w:highlight w:val="none"/>
              </w:rPr>
            </w:pPr>
            <w:r>
              <w:rPr>
                <w:rFonts w:ascii="仿宋_GB2312" w:hAnsi="仿宋_GB2312" w:eastAsia="仿宋_GB2312" w:cs="仿宋_GB2312"/>
                <w:bCs/>
                <w:color w:val="auto"/>
                <w:kern w:val="0"/>
                <w:sz w:val="24"/>
                <w:szCs w:val="24"/>
                <w:highlight w:val="none"/>
              </w:rPr>
              <w:t>12</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color w:val="auto"/>
                <w:sz w:val="24"/>
                <w:szCs w:val="24"/>
                <w:highlight w:val="none"/>
              </w:rPr>
            </w:pPr>
            <w:r>
              <w:rPr>
                <w:rFonts w:hint="eastAsia" w:cs="仿宋_GB2312"/>
                <w:bCs/>
                <w:color w:val="auto"/>
                <w:sz w:val="24"/>
                <w:szCs w:val="24"/>
                <w:highlight w:val="none"/>
                <w:lang w:val="en-US" w:eastAsia="zh-CN"/>
              </w:rPr>
              <w:t>商洛</w:t>
            </w:r>
            <w:r>
              <w:rPr>
                <w:rFonts w:ascii="仿宋_GB2312" w:hAnsi="仿宋_GB2312" w:eastAsia="仿宋_GB2312" w:cs="仿宋_GB2312"/>
                <w:bCs/>
                <w:color w:val="auto"/>
                <w:sz w:val="24"/>
                <w:szCs w:val="24"/>
                <w:highlight w:val="none"/>
              </w:rPr>
              <w:t>市不动产登记中心</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eastAsia" w:cs="仿宋_GB2312"/>
                <w:bCs/>
                <w:color w:val="auto"/>
                <w:kern w:val="0"/>
                <w:sz w:val="24"/>
                <w:szCs w:val="24"/>
                <w:highlight w:val="none"/>
                <w:lang w:val="en-US" w:eastAsia="zh-CN"/>
              </w:rPr>
              <w:t>13</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商洛市城市规划勘测院</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eastAsia" w:cs="仿宋_GB2312"/>
                <w:bCs/>
                <w:color w:val="auto"/>
                <w:kern w:val="0"/>
                <w:sz w:val="24"/>
                <w:szCs w:val="24"/>
                <w:highlight w:val="none"/>
                <w:lang w:val="en-US" w:eastAsia="zh-CN"/>
              </w:rPr>
              <w:t>14</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商洛市城建档案馆</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eastAsia" w:cs="仿宋_GB2312"/>
                <w:bCs/>
                <w:color w:val="auto"/>
                <w:kern w:val="0"/>
                <w:sz w:val="24"/>
                <w:szCs w:val="24"/>
                <w:highlight w:val="none"/>
                <w:lang w:val="en-US" w:eastAsia="zh-CN"/>
              </w:rPr>
              <w:t>15</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商洛市城市规划展览馆</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eastAsia" w:cs="仿宋_GB2312"/>
                <w:bCs/>
                <w:color w:val="auto"/>
                <w:kern w:val="0"/>
                <w:sz w:val="24"/>
                <w:szCs w:val="24"/>
                <w:highlight w:val="none"/>
                <w:lang w:val="en-US" w:eastAsia="zh-CN"/>
              </w:rPr>
              <w:t>16</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商洛市城乡建设规划局高新区（商丹园区）分局</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eastAsia" w:cs="仿宋_GB2312"/>
                <w:bCs/>
                <w:color w:val="auto"/>
                <w:kern w:val="0"/>
                <w:sz w:val="24"/>
                <w:szCs w:val="24"/>
                <w:highlight w:val="none"/>
                <w:lang w:val="en-US" w:eastAsia="zh-CN"/>
              </w:rPr>
              <w:t>17</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商洛市城乡建设规划局商州分局</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eastAsia" w:cs="仿宋_GB2312"/>
                <w:bCs/>
                <w:color w:val="auto"/>
                <w:kern w:val="0"/>
                <w:sz w:val="24"/>
                <w:szCs w:val="24"/>
                <w:highlight w:val="none"/>
                <w:lang w:val="en-US" w:eastAsia="zh-CN"/>
              </w:rPr>
              <w:t>18</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商洛市城乡建设规划局商州分局陈塬城市规划建设管理所</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eastAsia" w:cs="仿宋_GB2312"/>
                <w:bCs/>
                <w:color w:val="auto"/>
                <w:kern w:val="0"/>
                <w:sz w:val="24"/>
                <w:szCs w:val="24"/>
                <w:highlight w:val="none"/>
                <w:lang w:val="en-US" w:eastAsia="zh-CN"/>
              </w:rPr>
              <w:t>19</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商洛市城乡建设规划局商州分局杨峪河城市规划建设管理所</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eastAsia" w:cs="仿宋_GB2312"/>
                <w:bCs/>
                <w:color w:val="auto"/>
                <w:kern w:val="0"/>
                <w:sz w:val="24"/>
                <w:szCs w:val="24"/>
                <w:highlight w:val="none"/>
                <w:lang w:val="en-US" w:eastAsia="zh-CN"/>
              </w:rPr>
              <w:t>20</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商洛市城乡建设规划局商州分局大赵峪城市规划建设管理所</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eastAsia" w:cs="仿宋_GB2312"/>
                <w:bCs/>
                <w:color w:val="auto"/>
                <w:kern w:val="0"/>
                <w:sz w:val="24"/>
                <w:szCs w:val="24"/>
                <w:highlight w:val="none"/>
                <w:lang w:val="en-US" w:eastAsia="zh-CN"/>
              </w:rPr>
              <w:t>21</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商洛市城乡建设规划局商州分局沙河子城市规划建设管理所</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r>
        <w:tblPrEx>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cs="仿宋_GB2312"/>
                <w:bCs/>
                <w:color w:val="auto"/>
                <w:kern w:val="0"/>
                <w:sz w:val="24"/>
                <w:szCs w:val="24"/>
                <w:highlight w:val="none"/>
                <w:lang w:val="en-US" w:eastAsia="zh-CN"/>
              </w:rPr>
            </w:pPr>
            <w:r>
              <w:rPr>
                <w:rFonts w:hint="eastAsia" w:cs="仿宋_GB2312"/>
                <w:bCs/>
                <w:color w:val="auto"/>
                <w:kern w:val="0"/>
                <w:sz w:val="24"/>
                <w:szCs w:val="24"/>
                <w:highlight w:val="none"/>
                <w:lang w:val="en-US" w:eastAsia="zh-CN"/>
              </w:rPr>
              <w:t>22</w:t>
            </w:r>
          </w:p>
        </w:tc>
        <w:tc>
          <w:tcPr>
            <w:tcW w:w="63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商洛市城乡建设规划局商州分局板桥城市规划建设管理所</w:t>
            </w:r>
          </w:p>
        </w:tc>
        <w:tc>
          <w:tcPr>
            <w:tcW w:w="21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bCs/>
                <w:kern w:val="0"/>
                <w:sz w:val="24"/>
                <w:szCs w:val="24"/>
                <w:lang w:val="en-US" w:eastAsia="zh-CN" w:bidi="ar-SA"/>
              </w:rPr>
            </w:pPr>
            <w:r>
              <w:rPr>
                <w:rFonts w:hint="eastAsia" w:cs="仿宋_GB2312"/>
                <w:bCs/>
                <w:kern w:val="0"/>
                <w:sz w:val="24"/>
                <w:szCs w:val="24"/>
                <w:lang w:val="en-US" w:eastAsia="zh-CN"/>
              </w:rPr>
              <w:t>机构改革尚未完成</w:t>
            </w:r>
          </w:p>
        </w:tc>
      </w:tr>
    </w:tbl>
    <w:p>
      <w:pPr>
        <w:pStyle w:val="2"/>
        <w:bidi w:val="0"/>
        <w:rPr>
          <w:rFonts w:hint="eastAsia"/>
          <w:color w:val="auto"/>
          <w:highlight w:val="none"/>
        </w:rPr>
      </w:pPr>
      <w:r>
        <w:rPr>
          <w:rFonts w:hint="eastAsia"/>
          <w:color w:val="auto"/>
          <w:highlight w:val="none"/>
        </w:rPr>
        <w:t>部门人员情况说明</w:t>
      </w:r>
    </w:p>
    <w:p>
      <w:pPr>
        <w:bidi w:val="0"/>
        <w:rPr>
          <w:rFonts w:hint="eastAsia"/>
          <w:lang w:val="en-US" w:eastAsia="zh-CN"/>
        </w:rPr>
      </w:pPr>
      <w:r>
        <w:rPr>
          <w:rFonts w:hint="eastAsia"/>
          <w:lang w:val="en-US" w:eastAsia="zh-CN"/>
        </w:rPr>
        <w:t>截止2019年底，本部门人员编制333人，其中行政编制51人、事业编制282人；实有人员357人，其中行政68人（其中工勤7人）、事业289人（其中工勤136人）。单位管理的离退</w:t>
      </w:r>
      <w:bookmarkStart w:id="0" w:name="_GoBack"/>
      <w:bookmarkEnd w:id="0"/>
      <w:r>
        <w:rPr>
          <w:rFonts w:hint="eastAsia"/>
          <w:lang w:val="en-US" w:eastAsia="zh-CN"/>
        </w:rPr>
        <w:t>休人员90人。</w:t>
      </w:r>
    </w:p>
    <w:p>
      <w:pPr>
        <w:bidi w:val="0"/>
        <w:ind w:left="0" w:leftChars="0" w:firstLine="0" w:firstLineChars="0"/>
        <w:jc w:val="center"/>
        <w:rPr>
          <w:rFonts w:hint="default" w:eastAsia="仿宋_GB2312"/>
          <w:lang w:val="en-US" w:eastAsia="zh-CN"/>
        </w:rPr>
      </w:pPr>
      <w:r>
        <w:drawing>
          <wp:inline distT="0" distB="0" distL="114300" distR="114300">
            <wp:extent cx="2260600" cy="3404235"/>
            <wp:effectExtent l="0" t="0" r="10160"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rcRect l="30270" t="587" r="30753" b="1485"/>
                    <a:stretch>
                      <a:fillRect/>
                    </a:stretch>
                  </pic:blipFill>
                  <pic:spPr>
                    <a:xfrm>
                      <a:off x="0" y="0"/>
                      <a:ext cx="2260600" cy="340423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219960" cy="3415665"/>
            <wp:effectExtent l="0" t="0" r="5080" b="1333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9"/>
                    <a:srcRect l="30753" t="916" r="31222" b="1483"/>
                    <a:stretch>
                      <a:fillRect/>
                    </a:stretch>
                  </pic:blipFill>
                  <pic:spPr>
                    <a:xfrm>
                      <a:off x="0" y="0"/>
                      <a:ext cx="2219960" cy="3415665"/>
                    </a:xfrm>
                    <a:prstGeom prst="rect">
                      <a:avLst/>
                    </a:prstGeom>
                    <a:noFill/>
                    <a:ln>
                      <a:noFill/>
                    </a:ln>
                  </pic:spPr>
                </pic:pic>
              </a:graphicData>
            </a:graphic>
          </wp:inline>
        </w:drawing>
      </w:r>
    </w:p>
    <w:p>
      <w:pPr>
        <w:bidi w:val="0"/>
        <w:rPr>
          <w:rFonts w:hint="eastAsia"/>
          <w:lang w:val="en-US" w:eastAsia="zh-CN"/>
        </w:rPr>
      </w:pPr>
    </w:p>
    <w:p>
      <w:pPr>
        <w:pStyle w:val="30"/>
        <w:bidi w:val="0"/>
        <w:rPr>
          <w:rFonts w:hint="eastAsia"/>
        </w:rPr>
      </w:pPr>
      <w:r>
        <w:rPr>
          <w:rFonts w:hint="eastAsia"/>
          <w:lang w:val="en-US" w:eastAsia="zh-CN"/>
        </w:rPr>
        <w:t xml:space="preserve">第二部分  </w:t>
      </w:r>
      <w:r>
        <w:rPr>
          <w:rFonts w:hint="eastAsia"/>
        </w:rPr>
        <w:t>收支情况</w:t>
      </w:r>
    </w:p>
    <w:p>
      <w:pPr>
        <w:bidi w:val="0"/>
        <w:rPr>
          <w:rFonts w:hint="default"/>
          <w:lang w:val="en-US" w:eastAsia="zh-CN"/>
        </w:rPr>
      </w:pPr>
    </w:p>
    <w:p>
      <w:pPr>
        <w:pStyle w:val="2"/>
        <w:bidi w:val="0"/>
        <w:rPr>
          <w:rFonts w:hint="eastAsia"/>
          <w:color w:val="auto"/>
          <w:highlight w:val="none"/>
        </w:rPr>
      </w:pPr>
      <w:r>
        <w:rPr>
          <w:rFonts w:hint="eastAsia"/>
          <w:color w:val="auto"/>
          <w:highlight w:val="none"/>
        </w:rPr>
        <w:t>20</w:t>
      </w:r>
      <w:r>
        <w:rPr>
          <w:rFonts w:hint="eastAsia"/>
          <w:color w:val="auto"/>
          <w:highlight w:val="none"/>
          <w:lang w:val="en-US" w:eastAsia="zh-CN"/>
        </w:rPr>
        <w:t>20</w:t>
      </w:r>
      <w:r>
        <w:rPr>
          <w:rFonts w:hint="eastAsia"/>
          <w:color w:val="auto"/>
          <w:highlight w:val="none"/>
        </w:rPr>
        <w:t>年部门预算收支说明</w:t>
      </w:r>
    </w:p>
    <w:p>
      <w:pPr>
        <w:pStyle w:val="3"/>
        <w:bidi w:val="0"/>
        <w:rPr>
          <w:rFonts w:hint="eastAsia"/>
          <w:color w:val="auto"/>
          <w:highlight w:val="none"/>
        </w:rPr>
      </w:pPr>
      <w:r>
        <w:rPr>
          <w:rFonts w:hint="eastAsia"/>
          <w:color w:val="auto"/>
          <w:highlight w:val="none"/>
        </w:rPr>
        <w:t>收支预算总体情况</w:t>
      </w:r>
    </w:p>
    <w:p>
      <w:pPr>
        <w:bidi w:val="0"/>
        <w:rPr>
          <w:rFonts w:hint="eastAsia" w:eastAsia="仿宋_GB2312"/>
          <w:lang w:val="en-US" w:eastAsia="zh-CN"/>
        </w:rPr>
      </w:pPr>
      <w:r>
        <w:rPr>
          <w:rFonts w:hint="eastAsia"/>
          <w:color w:val="auto"/>
          <w:highlight w:val="none"/>
          <w:lang w:val="en-US" w:eastAsia="zh-CN"/>
        </w:rPr>
        <w:t>(1)</w:t>
      </w:r>
      <w:r>
        <w:rPr>
          <w:rFonts w:hint="eastAsia" w:ascii="仿宋" w:hAnsi="仿宋" w:eastAsia="仿宋" w:cs="仿宋"/>
          <w:sz w:val="32"/>
          <w:szCs w:val="32"/>
        </w:rPr>
        <w:t>按照综合预算的原则，本部门所有收入和支出均纳入部门预算管理。</w:t>
      </w:r>
      <w:r>
        <w:rPr>
          <w:rFonts w:hint="eastAsia"/>
          <w:color w:val="auto"/>
          <w:highlight w:val="none"/>
          <w:lang w:val="en-US" w:eastAsia="zh-CN"/>
        </w:rPr>
        <w:t>2020年本部门预算收入7326.02万元（含专项资金5万</w:t>
      </w:r>
      <w:r>
        <w:rPr>
          <w:rFonts w:hint="eastAsia"/>
          <w:lang w:val="en-US" w:eastAsia="zh-CN"/>
        </w:rPr>
        <w:t>元），其中一般公共预算拨款收入2918.30万元（含专项资金5万元）、2019年结转结余资金4407.72万元，2020年本部门预算收入较上年增加2827.79万元，主要原因是2019年结转结余资金增加所致；</w:t>
      </w:r>
    </w:p>
    <w:p>
      <w:pPr>
        <w:bidi w:val="0"/>
        <w:rPr>
          <w:rFonts w:hint="eastAsia"/>
          <w:color w:val="auto"/>
          <w:highlight w:val="none"/>
          <w:lang w:val="en-US" w:eastAsia="zh-CN"/>
        </w:rPr>
      </w:pPr>
      <w:r>
        <w:rPr>
          <w:rFonts w:hint="eastAsia"/>
          <w:lang w:val="en-US" w:eastAsia="zh-CN"/>
        </w:rPr>
        <w:t>(2)2020年本部门预算支出7324.08万元（含专项资金5万元），其中一般公共</w:t>
      </w:r>
      <w:r>
        <w:rPr>
          <w:rFonts w:hint="eastAsia"/>
        </w:rPr>
        <w:t>预算拨款支出</w:t>
      </w:r>
      <w:r>
        <w:rPr>
          <w:rFonts w:hint="eastAsia"/>
          <w:lang w:val="en-US" w:eastAsia="zh-CN"/>
        </w:rPr>
        <w:t>2918.30</w:t>
      </w:r>
      <w:r>
        <w:rPr>
          <w:rFonts w:hint="eastAsia"/>
        </w:rPr>
        <w:t>万元</w:t>
      </w:r>
      <w:r>
        <w:rPr>
          <w:rFonts w:hint="eastAsia"/>
          <w:lang w:val="en-US" w:eastAsia="zh-CN"/>
        </w:rPr>
        <w:t>（含专项资金5万元）、2019年结转结余资金4407.72万元</w:t>
      </w:r>
      <w:r>
        <w:rPr>
          <w:rFonts w:hint="eastAsia"/>
        </w:rPr>
        <w:t>，</w:t>
      </w:r>
      <w:r>
        <w:rPr>
          <w:rFonts w:hint="eastAsia"/>
          <w:lang w:eastAsia="zh-CN"/>
        </w:rPr>
        <w:t>2020</w:t>
      </w:r>
      <w:r>
        <w:rPr>
          <w:rFonts w:hint="eastAsia"/>
        </w:rPr>
        <w:t>年本部门预</w:t>
      </w:r>
      <w:r>
        <w:rPr>
          <w:rFonts w:hint="eastAsia"/>
          <w:color w:val="auto"/>
          <w:highlight w:val="none"/>
        </w:rPr>
        <w:t>算支出</w:t>
      </w:r>
      <w:r>
        <w:rPr>
          <w:rFonts w:hint="eastAsia"/>
          <w:color w:val="auto"/>
          <w:highlight w:val="none"/>
          <w:lang w:eastAsia="zh-CN"/>
        </w:rPr>
        <w:t>较上年</w:t>
      </w:r>
      <w:r>
        <w:rPr>
          <w:rFonts w:hint="eastAsia"/>
          <w:color w:val="auto"/>
          <w:highlight w:val="none"/>
        </w:rPr>
        <w:t>增加</w:t>
      </w:r>
      <w:r>
        <w:rPr>
          <w:rFonts w:hint="eastAsia"/>
          <w:color w:val="auto"/>
          <w:highlight w:val="none"/>
          <w:lang w:val="en-US" w:eastAsia="zh-CN"/>
        </w:rPr>
        <w:t>2827.79</w:t>
      </w:r>
      <w:r>
        <w:rPr>
          <w:rFonts w:hint="eastAsia"/>
          <w:color w:val="auto"/>
          <w:highlight w:val="none"/>
        </w:rPr>
        <w:t>万元，</w:t>
      </w:r>
      <w:r>
        <w:rPr>
          <w:rFonts w:hint="eastAsia"/>
          <w:color w:val="auto"/>
          <w:highlight w:val="none"/>
          <w:lang w:val="en-US" w:eastAsia="zh-CN"/>
        </w:rPr>
        <w:t>主要原因同上。</w:t>
      </w:r>
    </w:p>
    <w:p>
      <w:pPr>
        <w:pStyle w:val="3"/>
        <w:bidi w:val="0"/>
        <w:rPr>
          <w:rFonts w:hint="eastAsia"/>
          <w:color w:val="auto"/>
          <w:highlight w:val="none"/>
        </w:rPr>
      </w:pPr>
      <w:r>
        <w:rPr>
          <w:rFonts w:hint="eastAsia"/>
          <w:color w:val="auto"/>
          <w:highlight w:val="none"/>
        </w:rPr>
        <w:t>财政拨款收支情况</w:t>
      </w:r>
    </w:p>
    <w:p>
      <w:pPr>
        <w:bidi w:val="0"/>
        <w:rPr>
          <w:rFonts w:hint="eastAsia"/>
          <w:lang w:val="en-US" w:eastAsia="zh-CN"/>
        </w:rPr>
      </w:pPr>
      <w:r>
        <w:rPr>
          <w:rFonts w:hint="eastAsia"/>
          <w:color w:val="auto"/>
          <w:highlight w:val="none"/>
          <w:lang w:val="en-US" w:eastAsia="zh-CN"/>
        </w:rPr>
        <w:t>(1)</w:t>
      </w:r>
      <w:r>
        <w:rPr>
          <w:rFonts w:hint="eastAsia"/>
          <w:color w:val="auto"/>
          <w:highlight w:val="none"/>
          <w:lang w:eastAsia="zh-CN"/>
        </w:rPr>
        <w:t>2020</w:t>
      </w:r>
      <w:r>
        <w:rPr>
          <w:rFonts w:hint="eastAsia"/>
          <w:color w:val="auto"/>
          <w:highlight w:val="none"/>
        </w:rPr>
        <w:t>年本部门财政拨款收入</w:t>
      </w:r>
      <w:r>
        <w:rPr>
          <w:rFonts w:hint="eastAsia"/>
          <w:color w:val="auto"/>
          <w:highlight w:val="none"/>
          <w:lang w:val="en-US" w:eastAsia="zh-CN"/>
        </w:rPr>
        <w:t>6181.47万元（含专项资金5</w:t>
      </w:r>
      <w:r>
        <w:rPr>
          <w:rFonts w:hint="eastAsia"/>
          <w:lang w:val="en-US" w:eastAsia="zh-CN"/>
        </w:rPr>
        <w:t>万元），其中一般公共预算拨款收入2918.30万元（含专项资金5万元）、2019年结转财政资金3263.17万元（其中一般公共预算拨款支出1869.08万元，政府性基金拨款支出1394.08万元），2020年本部门预算收入较上年增加1683.24万元，主要原因是2019年结转财政资金增加所致；</w:t>
      </w:r>
    </w:p>
    <w:p>
      <w:pPr>
        <w:bidi w:val="0"/>
        <w:rPr>
          <w:rFonts w:hint="eastAsia"/>
        </w:rPr>
      </w:pPr>
      <w:r>
        <w:rPr>
          <w:rFonts w:hint="eastAsia"/>
          <w:lang w:val="en-US" w:eastAsia="zh-CN"/>
        </w:rPr>
        <w:t>(2)</w:t>
      </w:r>
      <w:r>
        <w:rPr>
          <w:rFonts w:hint="eastAsia"/>
          <w:lang w:eastAsia="zh-CN"/>
        </w:rPr>
        <w:t>2020</w:t>
      </w:r>
      <w:r>
        <w:rPr>
          <w:rFonts w:hint="eastAsia"/>
        </w:rPr>
        <w:t>年本部门财政拨款支出</w:t>
      </w:r>
      <w:r>
        <w:rPr>
          <w:rFonts w:hint="eastAsia"/>
          <w:lang w:val="en-US" w:eastAsia="zh-CN"/>
        </w:rPr>
        <w:t>6181.47万元（含专项资金5万元），其中一般公共</w:t>
      </w:r>
      <w:r>
        <w:rPr>
          <w:rFonts w:hint="eastAsia"/>
        </w:rPr>
        <w:t>预算拨款支出</w:t>
      </w:r>
      <w:r>
        <w:rPr>
          <w:rFonts w:hint="eastAsia"/>
          <w:lang w:val="en-US" w:eastAsia="zh-CN"/>
        </w:rPr>
        <w:t>2918.30</w:t>
      </w:r>
      <w:r>
        <w:rPr>
          <w:rFonts w:hint="eastAsia"/>
        </w:rPr>
        <w:t>万元</w:t>
      </w:r>
      <w:r>
        <w:rPr>
          <w:rFonts w:hint="eastAsia"/>
          <w:lang w:val="en-US" w:eastAsia="zh-CN"/>
        </w:rPr>
        <w:t>（含专项资金5万元）、2019年结转财政资金3263.17万元（其中一般公共预算拨款支出1869.08万元，政府性基金拨款支出1394.08万元）</w:t>
      </w:r>
      <w:r>
        <w:rPr>
          <w:rFonts w:hint="eastAsia"/>
        </w:rPr>
        <w:t>，</w:t>
      </w:r>
      <w:r>
        <w:rPr>
          <w:rFonts w:hint="eastAsia"/>
          <w:lang w:eastAsia="zh-CN"/>
        </w:rPr>
        <w:t>2020</w:t>
      </w:r>
      <w:r>
        <w:rPr>
          <w:rFonts w:hint="eastAsia"/>
        </w:rPr>
        <w:t>年本部门预算支出</w:t>
      </w:r>
      <w:r>
        <w:rPr>
          <w:rFonts w:hint="eastAsia"/>
          <w:lang w:eastAsia="zh-CN"/>
        </w:rPr>
        <w:t>较上年</w:t>
      </w:r>
      <w:r>
        <w:rPr>
          <w:rFonts w:hint="eastAsia"/>
        </w:rPr>
        <w:t>增加</w:t>
      </w:r>
      <w:r>
        <w:rPr>
          <w:rFonts w:hint="eastAsia"/>
          <w:lang w:val="en-US" w:eastAsia="zh-CN"/>
        </w:rPr>
        <w:t>1683.24</w:t>
      </w:r>
      <w:r>
        <w:rPr>
          <w:rFonts w:hint="eastAsia"/>
        </w:rPr>
        <w:t>万元，</w:t>
      </w:r>
      <w:r>
        <w:rPr>
          <w:rFonts w:hint="eastAsia"/>
          <w:lang w:val="en-US" w:eastAsia="zh-CN"/>
        </w:rPr>
        <w:t>主要原因同上</w:t>
      </w:r>
      <w:r>
        <w:rPr>
          <w:rFonts w:hint="eastAsia"/>
        </w:rPr>
        <w:t>。</w:t>
      </w:r>
    </w:p>
    <w:p>
      <w:pPr>
        <w:pStyle w:val="3"/>
        <w:bidi w:val="0"/>
        <w:rPr>
          <w:rFonts w:hint="eastAsia"/>
          <w:color w:val="auto"/>
          <w:highlight w:val="none"/>
        </w:rPr>
      </w:pPr>
      <w:r>
        <w:rPr>
          <w:rFonts w:hint="eastAsia"/>
          <w:color w:val="auto"/>
          <w:highlight w:val="none"/>
        </w:rPr>
        <w:t>一般公共预算拨款支出明细情况</w:t>
      </w:r>
    </w:p>
    <w:p>
      <w:pPr>
        <w:pStyle w:val="4"/>
        <w:bidi w:val="0"/>
        <w:rPr>
          <w:rFonts w:hint="eastAsia"/>
          <w:color w:val="auto"/>
          <w:highlight w:val="none"/>
        </w:rPr>
      </w:pPr>
      <w:r>
        <w:rPr>
          <w:rFonts w:hint="eastAsia"/>
          <w:color w:val="auto"/>
          <w:highlight w:val="none"/>
        </w:rPr>
        <w:t>一般公共预算当年拨款规模变化情况</w:t>
      </w:r>
    </w:p>
    <w:p>
      <w:pPr>
        <w:bidi w:val="0"/>
        <w:rPr>
          <w:rFonts w:hint="eastAsia"/>
          <w:color w:val="auto"/>
          <w:highlight w:val="none"/>
          <w:lang w:val="en-US" w:eastAsia="zh-CN"/>
        </w:rPr>
      </w:pPr>
      <w:r>
        <w:rPr>
          <w:rFonts w:hint="eastAsia"/>
          <w:color w:val="auto"/>
          <w:highlight w:val="none"/>
          <w:lang w:eastAsia="zh-CN"/>
        </w:rPr>
        <w:t>2020</w:t>
      </w:r>
      <w:r>
        <w:rPr>
          <w:rFonts w:hint="eastAsia"/>
          <w:color w:val="auto"/>
          <w:highlight w:val="none"/>
        </w:rPr>
        <w:t>年本部门</w:t>
      </w:r>
      <w:r>
        <w:rPr>
          <w:rFonts w:hint="eastAsia"/>
          <w:color w:val="auto"/>
          <w:highlight w:val="none"/>
          <w:lang w:val="en-US" w:eastAsia="zh-CN"/>
        </w:rPr>
        <w:t>当年</w:t>
      </w:r>
      <w:r>
        <w:rPr>
          <w:rFonts w:hint="eastAsia"/>
          <w:color w:val="auto"/>
          <w:highlight w:val="none"/>
          <w:lang w:eastAsia="zh-CN"/>
        </w:rPr>
        <w:t>一般公共预算拨款支出</w:t>
      </w:r>
      <w:r>
        <w:rPr>
          <w:rFonts w:hint="eastAsia"/>
          <w:color w:val="auto"/>
          <w:highlight w:val="none"/>
          <w:lang w:val="en-US" w:eastAsia="zh-CN"/>
        </w:rPr>
        <w:t>2918.30</w:t>
      </w:r>
      <w:r>
        <w:rPr>
          <w:rFonts w:hint="eastAsia"/>
          <w:color w:val="auto"/>
          <w:highlight w:val="none"/>
          <w:lang w:eastAsia="zh-CN"/>
        </w:rPr>
        <w:t>万元</w:t>
      </w:r>
      <w:r>
        <w:rPr>
          <w:rFonts w:hint="eastAsia"/>
          <w:color w:val="auto"/>
          <w:highlight w:val="none"/>
          <w:lang w:val="en-US" w:eastAsia="zh-CN"/>
        </w:rPr>
        <w:t>（含专项资金5万元）</w:t>
      </w:r>
      <w:r>
        <w:rPr>
          <w:rFonts w:hint="eastAsia"/>
          <w:color w:val="auto"/>
          <w:highlight w:val="none"/>
          <w:lang w:eastAsia="zh-CN"/>
        </w:rPr>
        <w:t>，较上年</w:t>
      </w:r>
      <w:r>
        <w:rPr>
          <w:rFonts w:hint="eastAsia"/>
          <w:color w:val="auto"/>
          <w:highlight w:val="none"/>
          <w:lang w:val="en-US" w:eastAsia="zh-CN"/>
        </w:rPr>
        <w:t>减少50.70万元，主要原因是降低基本养老单位缴费基数、不再预算职业年金缴费支出等所致。</w:t>
      </w:r>
    </w:p>
    <w:p>
      <w:pPr>
        <w:bidi w:val="0"/>
        <w:ind w:left="0" w:leftChars="0" w:firstLine="0" w:firstLineChars="0"/>
        <w:jc w:val="center"/>
        <w:rPr>
          <w:rFonts w:hint="default"/>
          <w:color w:val="auto"/>
          <w:highlight w:val="none"/>
          <w:lang w:val="en-US" w:eastAsia="zh-CN"/>
        </w:rPr>
      </w:pPr>
      <w:r>
        <w:drawing>
          <wp:inline distT="0" distB="0" distL="114300" distR="114300">
            <wp:extent cx="5663565" cy="2824480"/>
            <wp:effectExtent l="0" t="0" r="5715" b="1016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0"/>
                    <a:stretch>
                      <a:fillRect/>
                    </a:stretch>
                  </pic:blipFill>
                  <pic:spPr>
                    <a:xfrm>
                      <a:off x="0" y="0"/>
                      <a:ext cx="5663565" cy="2824480"/>
                    </a:xfrm>
                    <a:prstGeom prst="rect">
                      <a:avLst/>
                    </a:prstGeom>
                    <a:noFill/>
                    <a:ln>
                      <a:noFill/>
                    </a:ln>
                  </pic:spPr>
                </pic:pic>
              </a:graphicData>
            </a:graphic>
          </wp:inline>
        </w:drawing>
      </w:r>
    </w:p>
    <w:p>
      <w:pPr>
        <w:pStyle w:val="4"/>
        <w:bidi w:val="0"/>
        <w:rPr>
          <w:rFonts w:hint="eastAsia"/>
          <w:color w:val="auto"/>
          <w:highlight w:val="none"/>
        </w:rPr>
      </w:pPr>
      <w:r>
        <w:rPr>
          <w:rFonts w:hint="eastAsia"/>
          <w:color w:val="auto"/>
          <w:highlight w:val="none"/>
        </w:rPr>
        <w:t>支出按功能科目分类的明细情况</w:t>
      </w:r>
    </w:p>
    <w:p>
      <w:pPr>
        <w:bidi w:val="0"/>
        <w:rPr>
          <w:rFonts w:hint="eastAsia"/>
          <w:color w:val="auto"/>
          <w:highlight w:val="none"/>
        </w:rPr>
      </w:pPr>
      <w:r>
        <w:rPr>
          <w:rFonts w:hint="eastAsia"/>
          <w:color w:val="auto"/>
          <w:highlight w:val="none"/>
        </w:rPr>
        <w:t>本部门</w:t>
      </w:r>
      <w:r>
        <w:rPr>
          <w:rFonts w:hint="eastAsia"/>
          <w:color w:val="auto"/>
          <w:highlight w:val="none"/>
          <w:lang w:eastAsia="zh-CN"/>
        </w:rPr>
        <w:t>2020</w:t>
      </w:r>
      <w:r>
        <w:rPr>
          <w:rFonts w:hint="eastAsia"/>
          <w:color w:val="auto"/>
          <w:highlight w:val="none"/>
        </w:rPr>
        <w:t>年</w:t>
      </w:r>
      <w:r>
        <w:rPr>
          <w:rFonts w:hint="eastAsia"/>
          <w:color w:val="auto"/>
          <w:highlight w:val="none"/>
          <w:lang w:val="en-US" w:eastAsia="zh-CN"/>
        </w:rPr>
        <w:t>当年</w:t>
      </w:r>
      <w:r>
        <w:rPr>
          <w:rFonts w:hint="eastAsia"/>
          <w:color w:val="auto"/>
          <w:highlight w:val="none"/>
        </w:rPr>
        <w:t>一般公共预算支出</w:t>
      </w:r>
      <w:r>
        <w:rPr>
          <w:rFonts w:hint="eastAsia"/>
          <w:color w:val="auto"/>
          <w:highlight w:val="none"/>
          <w:lang w:val="en-US" w:eastAsia="zh-CN"/>
        </w:rPr>
        <w:t>2918.30</w:t>
      </w:r>
      <w:r>
        <w:rPr>
          <w:rFonts w:hint="eastAsia"/>
          <w:color w:val="auto"/>
          <w:highlight w:val="none"/>
        </w:rPr>
        <w:t>万元</w:t>
      </w:r>
      <w:r>
        <w:rPr>
          <w:rFonts w:hint="eastAsia"/>
          <w:color w:val="auto"/>
          <w:highlight w:val="none"/>
          <w:lang w:val="en-US" w:eastAsia="zh-CN"/>
        </w:rPr>
        <w:t>（含专项资金5万元）</w:t>
      </w:r>
      <w:r>
        <w:rPr>
          <w:rFonts w:hint="eastAsia"/>
          <w:color w:val="auto"/>
          <w:highlight w:val="none"/>
        </w:rPr>
        <w:t>，其中：</w:t>
      </w:r>
    </w:p>
    <w:p>
      <w:pPr>
        <w:bidi w:val="0"/>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eastAsia="zh-CN"/>
        </w:rPr>
        <w:t>行政运行（</w:t>
      </w:r>
      <w:r>
        <w:rPr>
          <w:rFonts w:hint="eastAsia"/>
          <w:color w:val="auto"/>
          <w:highlight w:val="none"/>
          <w:lang w:val="en-US" w:eastAsia="zh-CN"/>
        </w:rPr>
        <w:t>2200101</w:t>
      </w:r>
      <w:r>
        <w:rPr>
          <w:rFonts w:hint="eastAsia"/>
          <w:color w:val="auto"/>
          <w:highlight w:val="none"/>
          <w:lang w:eastAsia="zh-CN"/>
        </w:rPr>
        <w:t>）</w:t>
      </w:r>
      <w:r>
        <w:rPr>
          <w:rFonts w:hint="eastAsia"/>
          <w:color w:val="auto"/>
          <w:highlight w:val="none"/>
          <w:lang w:val="en-US" w:eastAsia="zh-CN"/>
        </w:rPr>
        <w:t>1436.07</w:t>
      </w:r>
      <w:r>
        <w:rPr>
          <w:rFonts w:hint="eastAsia"/>
          <w:color w:val="auto"/>
          <w:highlight w:val="none"/>
          <w:lang w:eastAsia="zh-CN"/>
        </w:rPr>
        <w:t>万元</w:t>
      </w:r>
      <w:r>
        <w:rPr>
          <w:rFonts w:hint="eastAsia"/>
          <w:color w:val="auto"/>
          <w:highlight w:val="none"/>
          <w:lang w:val="en-US" w:eastAsia="zh-CN"/>
        </w:rPr>
        <w:t>（含专项资金5万元）</w:t>
      </w:r>
      <w:r>
        <w:rPr>
          <w:rFonts w:hint="eastAsia"/>
          <w:color w:val="auto"/>
          <w:highlight w:val="none"/>
          <w:lang w:eastAsia="zh-CN"/>
        </w:rPr>
        <w:t>，</w:t>
      </w:r>
      <w:r>
        <w:rPr>
          <w:rFonts w:hint="eastAsia"/>
          <w:color w:val="auto"/>
          <w:highlight w:val="none"/>
          <w:lang w:val="en-US" w:eastAsia="zh-CN"/>
        </w:rPr>
        <w:t>同口径</w:t>
      </w:r>
      <w:r>
        <w:rPr>
          <w:rFonts w:hint="eastAsia"/>
          <w:color w:val="auto"/>
          <w:highlight w:val="none"/>
          <w:lang w:eastAsia="zh-CN"/>
        </w:rPr>
        <w:t>较</w:t>
      </w:r>
      <w:r>
        <w:rPr>
          <w:rFonts w:hint="eastAsia"/>
          <w:color w:val="auto"/>
          <w:highlight w:val="none"/>
          <w:lang w:val="en-US" w:eastAsia="zh-CN"/>
        </w:rPr>
        <w:t>上年增加39.76万元，主要原因是原市规划局经费由行政运行（2200101）划入本科目所致；</w:t>
      </w:r>
    </w:p>
    <w:p>
      <w:pPr>
        <w:bidi w:val="0"/>
        <w:rPr>
          <w:rFonts w:hint="default"/>
          <w:color w:val="auto"/>
          <w:highlight w:val="none"/>
          <w:lang w:val="en-US" w:eastAsia="zh-CN"/>
        </w:rPr>
      </w:pPr>
      <w:r>
        <w:rPr>
          <w:rFonts w:hint="eastAsia"/>
          <w:color w:val="auto"/>
          <w:highlight w:val="none"/>
          <w:lang w:val="en-US" w:eastAsia="zh-CN"/>
        </w:rPr>
        <w:t>(2)行政运行（2120101）0万元，同口径较上年减少383.82万元，主要原因是机构改革后原市规划局经费由本科目划入行政运行（2200101）所致；</w:t>
      </w:r>
    </w:p>
    <w:p>
      <w:pPr>
        <w:bidi w:val="0"/>
        <w:rPr>
          <w:rFonts w:hint="eastAsia"/>
          <w:color w:val="auto"/>
          <w:highlight w:val="none"/>
          <w:lang w:val="en-US" w:eastAsia="zh-CN"/>
        </w:rPr>
      </w:pPr>
      <w:r>
        <w:rPr>
          <w:rFonts w:hint="eastAsia"/>
          <w:color w:val="auto"/>
          <w:highlight w:val="none"/>
          <w:lang w:val="en-US" w:eastAsia="zh-CN"/>
        </w:rPr>
        <w:t>(3)</w:t>
      </w:r>
      <w:r>
        <w:rPr>
          <w:rFonts w:hint="eastAsia"/>
          <w:color w:val="auto"/>
          <w:highlight w:val="none"/>
          <w:lang w:eastAsia="zh-CN"/>
        </w:rPr>
        <w:t>事业运行（</w:t>
      </w:r>
      <w:r>
        <w:rPr>
          <w:rFonts w:hint="eastAsia"/>
          <w:color w:val="auto"/>
          <w:highlight w:val="none"/>
          <w:lang w:val="en-US" w:eastAsia="zh-CN"/>
        </w:rPr>
        <w:t>2200150</w:t>
      </w:r>
      <w:r>
        <w:rPr>
          <w:rFonts w:hint="eastAsia"/>
          <w:color w:val="auto"/>
          <w:highlight w:val="none"/>
          <w:lang w:eastAsia="zh-CN"/>
        </w:rPr>
        <w:t>）</w:t>
      </w:r>
      <w:r>
        <w:rPr>
          <w:rFonts w:hint="eastAsia"/>
          <w:color w:val="auto"/>
          <w:highlight w:val="none"/>
          <w:lang w:val="en-US" w:eastAsia="zh-CN"/>
        </w:rPr>
        <w:t>1192.77万元</w:t>
      </w:r>
      <w:r>
        <w:rPr>
          <w:rFonts w:hint="eastAsia"/>
          <w:color w:val="auto"/>
          <w:highlight w:val="none"/>
          <w:lang w:eastAsia="zh-CN"/>
        </w:rPr>
        <w:t>，</w:t>
      </w:r>
      <w:r>
        <w:rPr>
          <w:rFonts w:hint="eastAsia"/>
          <w:color w:val="auto"/>
          <w:highlight w:val="none"/>
          <w:lang w:val="en-US" w:eastAsia="zh-CN"/>
        </w:rPr>
        <w:t>同口径</w:t>
      </w:r>
      <w:r>
        <w:rPr>
          <w:rFonts w:hint="eastAsia"/>
          <w:color w:val="auto"/>
          <w:highlight w:val="none"/>
          <w:lang w:eastAsia="zh-CN"/>
        </w:rPr>
        <w:t>较上年</w:t>
      </w:r>
      <w:r>
        <w:rPr>
          <w:rFonts w:hint="eastAsia"/>
          <w:color w:val="auto"/>
          <w:highlight w:val="none"/>
          <w:lang w:val="en-US" w:eastAsia="zh-CN"/>
        </w:rPr>
        <w:t>增加473.29</w:t>
      </w:r>
      <w:r>
        <w:rPr>
          <w:rFonts w:hint="eastAsia"/>
          <w:color w:val="auto"/>
          <w:highlight w:val="none"/>
          <w:lang w:eastAsia="zh-CN"/>
        </w:rPr>
        <w:t>万元，</w:t>
      </w:r>
      <w:r>
        <w:rPr>
          <w:rFonts w:hint="eastAsia"/>
          <w:color w:val="auto"/>
          <w:highlight w:val="none"/>
          <w:lang w:val="en-US" w:eastAsia="zh-CN"/>
        </w:rPr>
        <w:t>主要</w:t>
      </w:r>
      <w:r>
        <w:rPr>
          <w:rFonts w:hint="eastAsia"/>
          <w:color w:val="auto"/>
          <w:highlight w:val="none"/>
          <w:lang w:eastAsia="zh-CN"/>
        </w:rPr>
        <w:t>原因</w:t>
      </w:r>
      <w:r>
        <w:rPr>
          <w:rFonts w:hint="eastAsia"/>
          <w:color w:val="auto"/>
          <w:highlight w:val="none"/>
          <w:lang w:val="en-US" w:eastAsia="zh-CN"/>
        </w:rPr>
        <w:t>是原市规划局局属事业单位经费由行政运行（2120101）划入本科目、市移民办大部分经费由</w:t>
      </w:r>
      <w:r>
        <w:rPr>
          <w:rFonts w:hint="eastAsia"/>
          <w:color w:val="auto"/>
          <w:highlight w:val="none"/>
          <w:lang w:eastAsia="zh-CN"/>
        </w:rPr>
        <w:t>行政运行（</w:t>
      </w:r>
      <w:r>
        <w:rPr>
          <w:rFonts w:hint="eastAsia"/>
          <w:color w:val="auto"/>
          <w:highlight w:val="none"/>
          <w:lang w:val="en-US" w:eastAsia="zh-CN"/>
        </w:rPr>
        <w:t>2010401</w:t>
      </w:r>
      <w:r>
        <w:rPr>
          <w:rFonts w:hint="eastAsia"/>
          <w:color w:val="auto"/>
          <w:highlight w:val="none"/>
          <w:lang w:eastAsia="zh-CN"/>
        </w:rPr>
        <w:t>）</w:t>
      </w:r>
      <w:r>
        <w:rPr>
          <w:rFonts w:hint="eastAsia"/>
          <w:color w:val="auto"/>
          <w:highlight w:val="none"/>
          <w:lang w:val="en-US" w:eastAsia="zh-CN"/>
        </w:rPr>
        <w:t>划入本科目</w:t>
      </w:r>
      <w:r>
        <w:rPr>
          <w:rFonts w:hint="eastAsia"/>
          <w:color w:val="auto"/>
          <w:highlight w:val="none"/>
          <w:lang w:eastAsia="zh-CN"/>
        </w:rPr>
        <w:t>、</w:t>
      </w:r>
      <w:r>
        <w:rPr>
          <w:rFonts w:hint="eastAsia"/>
          <w:color w:val="auto"/>
          <w:highlight w:val="none"/>
          <w:lang w:val="en-US" w:eastAsia="zh-CN"/>
        </w:rPr>
        <w:t>事业单位人员工资上涨同时造成社保费用上涨等所致；</w:t>
      </w:r>
    </w:p>
    <w:p>
      <w:pPr>
        <w:bidi w:val="0"/>
        <w:rPr>
          <w:rFonts w:hint="default"/>
          <w:color w:val="auto"/>
          <w:highlight w:val="none"/>
          <w:lang w:val="en-US" w:eastAsia="zh-CN"/>
        </w:rPr>
      </w:pPr>
      <w:r>
        <w:rPr>
          <w:rFonts w:hint="eastAsia"/>
          <w:color w:val="auto"/>
          <w:highlight w:val="none"/>
          <w:lang w:val="en-US" w:eastAsia="zh-CN"/>
        </w:rPr>
        <w:t>(4)</w:t>
      </w:r>
      <w:r>
        <w:rPr>
          <w:rFonts w:hint="eastAsia"/>
          <w:color w:val="auto"/>
          <w:highlight w:val="none"/>
          <w:lang w:eastAsia="zh-CN"/>
        </w:rPr>
        <w:t>行政运行（</w:t>
      </w:r>
      <w:r>
        <w:rPr>
          <w:rFonts w:hint="eastAsia"/>
          <w:color w:val="auto"/>
          <w:highlight w:val="none"/>
          <w:lang w:val="en-US" w:eastAsia="zh-CN"/>
        </w:rPr>
        <w:t>2010401</w:t>
      </w:r>
      <w:r>
        <w:rPr>
          <w:rFonts w:hint="eastAsia"/>
          <w:color w:val="auto"/>
          <w:highlight w:val="none"/>
          <w:lang w:eastAsia="zh-CN"/>
        </w:rPr>
        <w:t>）</w:t>
      </w:r>
      <w:r>
        <w:rPr>
          <w:rFonts w:hint="eastAsia"/>
          <w:color w:val="auto"/>
          <w:highlight w:val="none"/>
          <w:lang w:val="en-US" w:eastAsia="zh-CN"/>
        </w:rPr>
        <w:t>0</w:t>
      </w:r>
      <w:r>
        <w:rPr>
          <w:rFonts w:hint="eastAsia"/>
          <w:color w:val="auto"/>
          <w:highlight w:val="none"/>
          <w:lang w:eastAsia="zh-CN"/>
        </w:rPr>
        <w:t>万元，</w:t>
      </w:r>
      <w:r>
        <w:rPr>
          <w:rFonts w:hint="eastAsia"/>
          <w:color w:val="auto"/>
          <w:highlight w:val="none"/>
          <w:lang w:val="en-US" w:eastAsia="zh-CN"/>
        </w:rPr>
        <w:t>同口径</w:t>
      </w:r>
      <w:r>
        <w:rPr>
          <w:rFonts w:hint="eastAsia"/>
          <w:color w:val="auto"/>
          <w:highlight w:val="none"/>
          <w:lang w:eastAsia="zh-CN"/>
        </w:rPr>
        <w:t>较上年</w:t>
      </w:r>
      <w:r>
        <w:rPr>
          <w:rFonts w:hint="eastAsia"/>
          <w:color w:val="auto"/>
          <w:highlight w:val="none"/>
          <w:lang w:val="en-US" w:eastAsia="zh-CN"/>
        </w:rPr>
        <w:t>减少89.33</w:t>
      </w:r>
      <w:r>
        <w:rPr>
          <w:rFonts w:hint="eastAsia"/>
          <w:color w:val="auto"/>
          <w:highlight w:val="none"/>
          <w:lang w:eastAsia="zh-CN"/>
        </w:rPr>
        <w:t>万元，</w:t>
      </w:r>
      <w:r>
        <w:rPr>
          <w:rFonts w:hint="eastAsia"/>
          <w:color w:val="auto"/>
          <w:highlight w:val="none"/>
          <w:lang w:val="en-US" w:eastAsia="zh-CN"/>
        </w:rPr>
        <w:t>主要原因是市移民办大部分经费由原来的本功能科目划入</w:t>
      </w:r>
      <w:r>
        <w:rPr>
          <w:rFonts w:hint="eastAsia"/>
          <w:color w:val="auto"/>
          <w:highlight w:val="none"/>
          <w:lang w:eastAsia="zh-CN"/>
        </w:rPr>
        <w:t>事业运行（</w:t>
      </w:r>
      <w:r>
        <w:rPr>
          <w:rFonts w:hint="eastAsia"/>
          <w:color w:val="auto"/>
          <w:highlight w:val="none"/>
          <w:lang w:val="en-US" w:eastAsia="zh-CN"/>
        </w:rPr>
        <w:t>2200150</w:t>
      </w:r>
      <w:r>
        <w:rPr>
          <w:rFonts w:hint="eastAsia"/>
          <w:color w:val="auto"/>
          <w:highlight w:val="none"/>
          <w:lang w:eastAsia="zh-CN"/>
        </w:rPr>
        <w:t>）</w:t>
      </w:r>
      <w:r>
        <w:rPr>
          <w:rFonts w:hint="eastAsia"/>
          <w:color w:val="auto"/>
          <w:highlight w:val="none"/>
          <w:lang w:val="en-US" w:eastAsia="zh-CN"/>
        </w:rPr>
        <w:t>所致；</w:t>
      </w:r>
    </w:p>
    <w:p>
      <w:pPr>
        <w:bidi w:val="0"/>
        <w:rPr>
          <w:rFonts w:hint="eastAsia"/>
          <w:color w:val="auto"/>
          <w:highlight w:val="none"/>
          <w:lang w:val="en-US" w:eastAsia="zh-CN"/>
        </w:rPr>
      </w:pPr>
      <w:r>
        <w:rPr>
          <w:rFonts w:hint="eastAsia"/>
          <w:color w:val="auto"/>
          <w:highlight w:val="none"/>
          <w:lang w:val="en-US" w:eastAsia="zh-CN"/>
        </w:rPr>
        <w:t>(5)机关事业单位基本养老保险缴费（2080505）289.46万元，同口径较上年减少62.44万元，主要原因是降低基本养老单位缴费基数所致；</w:t>
      </w:r>
    </w:p>
    <w:p>
      <w:pPr>
        <w:bidi w:val="0"/>
        <w:rPr>
          <w:rFonts w:hint="eastAsia"/>
          <w:color w:val="auto"/>
          <w:highlight w:val="none"/>
          <w:lang w:val="en-US" w:eastAsia="zh-CN"/>
        </w:rPr>
      </w:pPr>
      <w:r>
        <w:rPr>
          <w:rFonts w:hint="eastAsia"/>
          <w:color w:val="auto"/>
          <w:highlight w:val="none"/>
          <w:lang w:val="en-US" w:eastAsia="zh-CN"/>
        </w:rPr>
        <w:t>(6)机关事业单位职业年金缴费（2080506）0万元，同口径较上年减少28.16万元，主要原因是不再预算职业年金缴费支出所致。</w:t>
      </w:r>
    </w:p>
    <w:p>
      <w:pPr>
        <w:bidi w:val="0"/>
        <w:ind w:left="0" w:leftChars="0" w:firstLine="0" w:firstLineChars="0"/>
        <w:jc w:val="center"/>
        <w:rPr>
          <w:rFonts w:hint="default"/>
          <w:color w:val="auto"/>
          <w:highlight w:val="none"/>
          <w:lang w:val="en-US" w:eastAsia="zh-CN"/>
        </w:rPr>
      </w:pPr>
      <w:r>
        <w:drawing>
          <wp:inline distT="0" distB="0" distL="114300" distR="114300">
            <wp:extent cx="5737860" cy="3003550"/>
            <wp:effectExtent l="0" t="0" r="7620" b="1397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1"/>
                    <a:stretch>
                      <a:fillRect/>
                    </a:stretch>
                  </pic:blipFill>
                  <pic:spPr>
                    <a:xfrm>
                      <a:off x="0" y="0"/>
                      <a:ext cx="5737860" cy="3003550"/>
                    </a:xfrm>
                    <a:prstGeom prst="rect">
                      <a:avLst/>
                    </a:prstGeom>
                    <a:noFill/>
                    <a:ln>
                      <a:noFill/>
                    </a:ln>
                  </pic:spPr>
                </pic:pic>
              </a:graphicData>
            </a:graphic>
          </wp:inline>
        </w:drawing>
      </w:r>
    </w:p>
    <w:p>
      <w:pPr>
        <w:pStyle w:val="4"/>
        <w:bidi w:val="0"/>
        <w:rPr>
          <w:rFonts w:hint="eastAsia"/>
          <w:color w:val="auto"/>
          <w:highlight w:val="none"/>
        </w:rPr>
      </w:pPr>
      <w:r>
        <w:rPr>
          <w:rFonts w:hint="eastAsia"/>
          <w:color w:val="auto"/>
          <w:highlight w:val="none"/>
        </w:rPr>
        <w:t>支出按经济科目分类的明细情况</w:t>
      </w:r>
    </w:p>
    <w:p>
      <w:pPr>
        <w:bidi w:val="0"/>
        <w:rPr>
          <w:rFonts w:hint="eastAsia"/>
          <w:color w:val="auto"/>
          <w:highlight w:val="none"/>
          <w:lang w:eastAsia="zh-CN"/>
        </w:rPr>
      </w:pPr>
      <w:r>
        <w:rPr>
          <w:rFonts w:hint="eastAsia"/>
          <w:color w:val="auto"/>
          <w:lang w:val="en-US" w:eastAsia="zh-CN"/>
        </w:rPr>
        <w:t>(1)</w:t>
      </w:r>
      <w:r>
        <w:rPr>
          <w:rFonts w:hint="eastAsia"/>
          <w:color w:val="auto"/>
          <w:highlight w:val="none"/>
          <w:lang w:eastAsia="zh-CN"/>
        </w:rPr>
        <w:t>按照部门预算支出经济分类的类级科目说明</w:t>
      </w:r>
    </w:p>
    <w:p>
      <w:pPr>
        <w:bidi w:val="0"/>
        <w:rPr>
          <w:rFonts w:hint="eastAsia"/>
          <w:lang w:eastAsia="zh-CN"/>
        </w:rPr>
      </w:pPr>
      <w:r>
        <w:rPr>
          <w:rFonts w:hint="eastAsia"/>
          <w:color w:val="auto"/>
          <w:highlight w:val="none"/>
          <w:lang w:eastAsia="zh-CN"/>
        </w:rPr>
        <w:t>2020</w:t>
      </w:r>
      <w:r>
        <w:rPr>
          <w:rFonts w:hint="eastAsia"/>
          <w:color w:val="auto"/>
          <w:highlight w:val="none"/>
        </w:rPr>
        <w:t>年</w:t>
      </w:r>
      <w:r>
        <w:rPr>
          <w:rFonts w:hint="eastAsia"/>
          <w:color w:val="auto"/>
          <w:highlight w:val="none"/>
          <w:lang w:val="en-US" w:eastAsia="zh-CN"/>
        </w:rPr>
        <w:t>当年</w:t>
      </w:r>
      <w:r>
        <w:rPr>
          <w:rFonts w:hint="eastAsia"/>
          <w:color w:val="auto"/>
          <w:highlight w:val="none"/>
        </w:rPr>
        <w:t>本部门一般公共预算支出</w:t>
      </w:r>
      <w:r>
        <w:rPr>
          <w:rFonts w:hint="eastAsia"/>
          <w:color w:val="auto"/>
          <w:highlight w:val="none"/>
          <w:lang w:val="en-US" w:eastAsia="zh-CN"/>
        </w:rPr>
        <w:t>2918.30</w:t>
      </w:r>
      <w:r>
        <w:rPr>
          <w:rFonts w:hint="eastAsia"/>
          <w:color w:val="auto"/>
          <w:highlight w:val="none"/>
        </w:rPr>
        <w:t>万元</w:t>
      </w:r>
      <w:r>
        <w:rPr>
          <w:rFonts w:hint="eastAsia"/>
          <w:color w:val="auto"/>
          <w:highlight w:val="none"/>
          <w:lang w:val="en-US" w:eastAsia="zh-CN"/>
        </w:rPr>
        <w:t>（含专项</w:t>
      </w:r>
      <w:r>
        <w:rPr>
          <w:rFonts w:hint="eastAsia"/>
          <w:lang w:val="en-US" w:eastAsia="zh-CN"/>
        </w:rPr>
        <w:t>资金5万元）</w:t>
      </w:r>
      <w:r>
        <w:rPr>
          <w:rFonts w:hint="eastAsia"/>
        </w:rPr>
        <w:t>，其中：</w:t>
      </w:r>
    </w:p>
    <w:p>
      <w:pPr>
        <w:bidi w:val="0"/>
        <w:rPr>
          <w:rFonts w:hint="eastAsia"/>
        </w:rPr>
      </w:pPr>
      <w:r>
        <w:rPr>
          <w:rFonts w:hint="eastAsia"/>
        </w:rPr>
        <w:t>工资福利支出（301）</w:t>
      </w:r>
      <w:r>
        <w:rPr>
          <w:rFonts w:hint="eastAsia"/>
          <w:lang w:val="en-US" w:eastAsia="zh-CN"/>
        </w:rPr>
        <w:t>2578.09</w:t>
      </w:r>
      <w:r>
        <w:rPr>
          <w:rFonts w:hint="eastAsia"/>
        </w:rPr>
        <w:t>万元</w:t>
      </w:r>
      <w:r>
        <w:rPr>
          <w:rFonts w:hint="eastAsia"/>
          <w:lang w:val="en-US" w:eastAsia="zh-CN"/>
        </w:rPr>
        <w:t>（含专项资金5万元）</w:t>
      </w:r>
      <w:r>
        <w:rPr>
          <w:rFonts w:hint="eastAsia"/>
        </w:rPr>
        <w:t>，</w:t>
      </w:r>
      <w:r>
        <w:rPr>
          <w:rFonts w:hint="eastAsia"/>
          <w:lang w:eastAsia="zh-CN"/>
        </w:rPr>
        <w:t>较上年</w:t>
      </w:r>
      <w:r>
        <w:rPr>
          <w:rFonts w:hint="eastAsia"/>
          <w:lang w:val="en-US" w:eastAsia="zh-CN"/>
        </w:rPr>
        <w:t>减少32.79</w:t>
      </w:r>
      <w:r>
        <w:rPr>
          <w:rFonts w:hint="eastAsia"/>
        </w:rPr>
        <w:t>万元，</w:t>
      </w:r>
      <w:r>
        <w:rPr>
          <w:rFonts w:hint="eastAsia"/>
          <w:lang w:val="en-US" w:eastAsia="zh-CN"/>
        </w:rPr>
        <w:t>主要</w:t>
      </w:r>
      <w:r>
        <w:rPr>
          <w:rFonts w:hint="eastAsia"/>
        </w:rPr>
        <w:t>原因是</w:t>
      </w:r>
      <w:r>
        <w:rPr>
          <w:rFonts w:hint="eastAsia"/>
          <w:color w:val="auto"/>
          <w:highlight w:val="none"/>
          <w:lang w:val="en-US" w:eastAsia="zh-CN"/>
        </w:rPr>
        <w:t>降低基本养老单位缴费基数、不再预算职业年金缴费支出</w:t>
      </w:r>
      <w:r>
        <w:rPr>
          <w:rFonts w:hint="eastAsia"/>
          <w:lang w:val="en-US" w:eastAsia="zh-CN"/>
        </w:rPr>
        <w:t>等所致</w:t>
      </w:r>
      <w:r>
        <w:rPr>
          <w:rFonts w:hint="eastAsia"/>
        </w:rPr>
        <w:t>；</w:t>
      </w:r>
    </w:p>
    <w:p>
      <w:pPr>
        <w:bidi w:val="0"/>
        <w:rPr>
          <w:rFonts w:hint="eastAsia"/>
        </w:rPr>
      </w:pPr>
      <w:r>
        <w:rPr>
          <w:rFonts w:hint="eastAsia"/>
        </w:rPr>
        <w:t>商品和服务支出（302）</w:t>
      </w:r>
      <w:r>
        <w:rPr>
          <w:rFonts w:hint="eastAsia"/>
          <w:lang w:val="en-US" w:eastAsia="zh-CN"/>
        </w:rPr>
        <w:t>318.47</w:t>
      </w:r>
      <w:r>
        <w:rPr>
          <w:rFonts w:hint="eastAsia"/>
        </w:rPr>
        <w:t>万元，</w:t>
      </w:r>
      <w:r>
        <w:rPr>
          <w:rFonts w:hint="eastAsia"/>
          <w:lang w:eastAsia="zh-CN"/>
        </w:rPr>
        <w:t>较上年</w:t>
      </w:r>
      <w:r>
        <w:rPr>
          <w:rFonts w:hint="eastAsia"/>
          <w:lang w:val="en-US" w:eastAsia="zh-CN"/>
        </w:rPr>
        <w:t>减少19.11</w:t>
      </w:r>
      <w:r>
        <w:rPr>
          <w:rFonts w:hint="eastAsia"/>
        </w:rPr>
        <w:t>万元，</w:t>
      </w:r>
      <w:r>
        <w:rPr>
          <w:rFonts w:hint="eastAsia"/>
          <w:color w:val="auto"/>
          <w:highlight w:val="none"/>
          <w:lang w:val="en-US" w:eastAsia="zh-CN"/>
        </w:rPr>
        <w:t>主要</w:t>
      </w:r>
      <w:r>
        <w:rPr>
          <w:rFonts w:hint="eastAsia"/>
        </w:rPr>
        <w:t>原因是</w:t>
      </w:r>
      <w:r>
        <w:rPr>
          <w:rFonts w:hint="eastAsia"/>
          <w:lang w:val="en-US" w:eastAsia="zh-CN"/>
        </w:rPr>
        <w:t>压缩公用经费支出所致</w:t>
      </w:r>
      <w:r>
        <w:rPr>
          <w:rFonts w:hint="eastAsia"/>
        </w:rPr>
        <w:t>；</w:t>
      </w:r>
    </w:p>
    <w:p>
      <w:pPr>
        <w:bidi w:val="0"/>
        <w:rPr>
          <w:rFonts w:hint="eastAsia"/>
          <w:lang w:val="en-US" w:eastAsia="zh-CN"/>
        </w:rPr>
      </w:pPr>
      <w:r>
        <w:rPr>
          <w:rFonts w:hint="eastAsia"/>
        </w:rPr>
        <w:t>对个人和家庭的补助支出（303）</w:t>
      </w:r>
      <w:r>
        <w:rPr>
          <w:rFonts w:hint="eastAsia"/>
          <w:lang w:val="en-US" w:eastAsia="zh-CN"/>
        </w:rPr>
        <w:t>21.74</w:t>
      </w:r>
      <w:r>
        <w:rPr>
          <w:rFonts w:hint="eastAsia"/>
        </w:rPr>
        <w:t>万元，</w:t>
      </w:r>
      <w:r>
        <w:rPr>
          <w:rFonts w:hint="eastAsia"/>
          <w:lang w:eastAsia="zh-CN"/>
        </w:rPr>
        <w:t>较上年</w:t>
      </w:r>
      <w:r>
        <w:rPr>
          <w:rFonts w:hint="eastAsia"/>
          <w:lang w:val="en-US" w:eastAsia="zh-CN"/>
        </w:rPr>
        <w:t>增加1.2</w:t>
      </w:r>
      <w:r>
        <w:rPr>
          <w:rFonts w:hint="eastAsia"/>
        </w:rPr>
        <w:t>万元，</w:t>
      </w:r>
      <w:r>
        <w:rPr>
          <w:rFonts w:hint="eastAsia"/>
          <w:lang w:val="en-US" w:eastAsia="zh-CN"/>
        </w:rPr>
        <w:t>主要</w:t>
      </w:r>
      <w:r>
        <w:rPr>
          <w:rFonts w:hint="eastAsia"/>
        </w:rPr>
        <w:t>原因是</w:t>
      </w:r>
      <w:r>
        <w:rPr>
          <w:rFonts w:hint="eastAsia"/>
          <w:lang w:val="en-US" w:eastAsia="zh-CN"/>
        </w:rPr>
        <w:t>新增遗属补助人员所致。</w:t>
      </w:r>
    </w:p>
    <w:p>
      <w:pPr>
        <w:bidi w:val="0"/>
        <w:ind w:left="0" w:leftChars="0" w:firstLine="0" w:firstLineChars="0"/>
        <w:rPr>
          <w:rFonts w:hint="eastAsia"/>
          <w:lang w:val="en-US" w:eastAsia="zh-CN"/>
        </w:rPr>
      </w:pPr>
      <w:r>
        <w:drawing>
          <wp:inline distT="0" distB="0" distL="114300" distR="114300">
            <wp:extent cx="5683250" cy="3219450"/>
            <wp:effectExtent l="0" t="0" r="1270" b="1143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2"/>
                    <a:stretch>
                      <a:fillRect/>
                    </a:stretch>
                  </pic:blipFill>
                  <pic:spPr>
                    <a:xfrm>
                      <a:off x="0" y="0"/>
                      <a:ext cx="5683250" cy="3219450"/>
                    </a:xfrm>
                    <a:prstGeom prst="rect">
                      <a:avLst/>
                    </a:prstGeom>
                    <a:noFill/>
                    <a:ln>
                      <a:noFill/>
                    </a:ln>
                  </pic:spPr>
                </pic:pic>
              </a:graphicData>
            </a:graphic>
          </wp:inline>
        </w:drawing>
      </w:r>
    </w:p>
    <w:p>
      <w:pPr>
        <w:bidi w:val="0"/>
        <w:rPr>
          <w:rFonts w:hint="eastAsia"/>
          <w:color w:val="auto"/>
          <w:highlight w:val="none"/>
        </w:rPr>
      </w:pPr>
      <w:r>
        <w:rPr>
          <w:rFonts w:hint="eastAsia"/>
          <w:color w:val="auto"/>
          <w:lang w:val="en-US" w:eastAsia="zh-CN"/>
        </w:rPr>
        <w:t>(2)</w:t>
      </w:r>
      <w:r>
        <w:rPr>
          <w:rFonts w:hint="eastAsia"/>
          <w:color w:val="auto"/>
          <w:highlight w:val="none"/>
        </w:rPr>
        <w:t>按照政府预算支出经济分类的类级科目说明</w:t>
      </w:r>
    </w:p>
    <w:p>
      <w:pPr>
        <w:bidi w:val="0"/>
        <w:rPr>
          <w:rFonts w:hint="eastAsia"/>
          <w:color w:val="auto"/>
          <w:highlight w:val="none"/>
        </w:rPr>
      </w:pPr>
      <w:r>
        <w:rPr>
          <w:rFonts w:hint="eastAsia"/>
          <w:color w:val="auto"/>
          <w:highlight w:val="none"/>
          <w:lang w:eastAsia="zh-CN"/>
        </w:rPr>
        <w:t>2020</w:t>
      </w:r>
      <w:r>
        <w:rPr>
          <w:rFonts w:hint="eastAsia"/>
          <w:color w:val="auto"/>
          <w:highlight w:val="none"/>
        </w:rPr>
        <w:t>年</w:t>
      </w:r>
      <w:r>
        <w:rPr>
          <w:rFonts w:hint="eastAsia"/>
          <w:color w:val="auto"/>
          <w:highlight w:val="none"/>
          <w:lang w:val="en-US" w:eastAsia="zh-CN"/>
        </w:rPr>
        <w:t>当年</w:t>
      </w:r>
      <w:r>
        <w:rPr>
          <w:rFonts w:hint="eastAsia"/>
          <w:color w:val="auto"/>
          <w:highlight w:val="none"/>
        </w:rPr>
        <w:t>本部门一般公共预算支出</w:t>
      </w:r>
      <w:r>
        <w:rPr>
          <w:rFonts w:hint="eastAsia"/>
          <w:color w:val="auto"/>
          <w:highlight w:val="none"/>
          <w:lang w:val="en-US" w:eastAsia="zh-CN"/>
        </w:rPr>
        <w:t>2918.30</w:t>
      </w:r>
      <w:r>
        <w:rPr>
          <w:rFonts w:hint="eastAsia"/>
          <w:color w:val="auto"/>
          <w:highlight w:val="none"/>
        </w:rPr>
        <w:t>万元（含专项资金5万元），其中：</w:t>
      </w:r>
    </w:p>
    <w:p>
      <w:pPr>
        <w:bidi w:val="0"/>
        <w:rPr>
          <w:rFonts w:hint="eastAsia"/>
        </w:rPr>
      </w:pPr>
      <w:r>
        <w:rPr>
          <w:rFonts w:hint="eastAsia"/>
        </w:rPr>
        <w:t>机关工资福利支出（501）2578.09万元（含专项资金5万元）</w:t>
      </w:r>
      <w:r>
        <w:rPr>
          <w:rFonts w:hint="eastAsia"/>
          <w:lang w:eastAsia="zh-CN"/>
        </w:rPr>
        <w:t>，较上年</w:t>
      </w:r>
      <w:r>
        <w:rPr>
          <w:rFonts w:hint="eastAsia"/>
          <w:lang w:val="en-US" w:eastAsia="zh-CN"/>
        </w:rPr>
        <w:t>减少32.79</w:t>
      </w:r>
      <w:r>
        <w:rPr>
          <w:rFonts w:hint="eastAsia"/>
        </w:rPr>
        <w:t>万元，</w:t>
      </w:r>
      <w:r>
        <w:rPr>
          <w:rFonts w:hint="eastAsia"/>
          <w:lang w:val="en-US" w:eastAsia="zh-CN"/>
        </w:rPr>
        <w:t>主要</w:t>
      </w:r>
      <w:r>
        <w:rPr>
          <w:rFonts w:hint="eastAsia"/>
        </w:rPr>
        <w:t>原因是</w:t>
      </w:r>
      <w:r>
        <w:rPr>
          <w:rFonts w:hint="eastAsia"/>
          <w:lang w:val="en-US" w:eastAsia="zh-CN"/>
        </w:rPr>
        <w:t>降低基本养老单位缴费基数、不再预算职业年金缴费支出等所致</w:t>
      </w:r>
      <w:r>
        <w:rPr>
          <w:rFonts w:hint="eastAsia"/>
        </w:rPr>
        <w:t>；</w:t>
      </w:r>
    </w:p>
    <w:p>
      <w:pPr>
        <w:bidi w:val="0"/>
        <w:rPr>
          <w:rFonts w:hint="eastAsia"/>
        </w:rPr>
      </w:pPr>
      <w:r>
        <w:rPr>
          <w:rFonts w:hint="eastAsia"/>
        </w:rPr>
        <w:t>机关商品和服务支出（502）</w:t>
      </w:r>
      <w:r>
        <w:rPr>
          <w:rFonts w:hint="eastAsia"/>
          <w:lang w:val="en-US" w:eastAsia="zh-CN"/>
        </w:rPr>
        <w:t>318.47</w:t>
      </w:r>
      <w:r>
        <w:rPr>
          <w:rFonts w:hint="eastAsia"/>
        </w:rPr>
        <w:t>万元，</w:t>
      </w:r>
      <w:r>
        <w:rPr>
          <w:rFonts w:hint="eastAsia"/>
          <w:lang w:eastAsia="zh-CN"/>
        </w:rPr>
        <w:t>较上年</w:t>
      </w:r>
      <w:r>
        <w:rPr>
          <w:rFonts w:hint="eastAsia"/>
          <w:lang w:val="en-US" w:eastAsia="zh-CN"/>
        </w:rPr>
        <w:t>减少19.11</w:t>
      </w:r>
      <w:r>
        <w:rPr>
          <w:rFonts w:hint="eastAsia"/>
        </w:rPr>
        <w:t>万元，</w:t>
      </w:r>
      <w:r>
        <w:rPr>
          <w:rFonts w:hint="eastAsia"/>
          <w:lang w:val="en-US" w:eastAsia="zh-CN"/>
        </w:rPr>
        <w:t>主要</w:t>
      </w:r>
      <w:r>
        <w:rPr>
          <w:rFonts w:hint="eastAsia"/>
        </w:rPr>
        <w:t>原因是</w:t>
      </w:r>
      <w:r>
        <w:rPr>
          <w:rFonts w:hint="eastAsia"/>
          <w:lang w:val="en-US" w:eastAsia="zh-CN"/>
        </w:rPr>
        <w:t>压缩公用经费支出所致</w:t>
      </w:r>
      <w:r>
        <w:rPr>
          <w:rFonts w:hint="eastAsia"/>
        </w:rPr>
        <w:t>；</w:t>
      </w:r>
    </w:p>
    <w:p>
      <w:pPr>
        <w:bidi w:val="0"/>
        <w:rPr>
          <w:rFonts w:hint="eastAsia"/>
        </w:rPr>
      </w:pPr>
      <w:r>
        <w:rPr>
          <w:rFonts w:hint="eastAsia"/>
        </w:rPr>
        <w:t>对事业单位经常性补助（505）</w:t>
      </w:r>
      <w:r>
        <w:rPr>
          <w:rFonts w:hint="eastAsia"/>
          <w:lang w:val="en-US" w:eastAsia="zh-CN"/>
        </w:rPr>
        <w:t>17.00</w:t>
      </w:r>
      <w:r>
        <w:rPr>
          <w:rFonts w:hint="eastAsia"/>
        </w:rPr>
        <w:t>万元</w:t>
      </w:r>
      <w:r>
        <w:rPr>
          <w:rFonts w:hint="eastAsia"/>
          <w:lang w:eastAsia="zh-CN"/>
        </w:rPr>
        <w:t>，</w:t>
      </w:r>
      <w:r>
        <w:rPr>
          <w:rFonts w:hint="eastAsia"/>
          <w:lang w:val="en-US" w:eastAsia="zh-CN"/>
        </w:rPr>
        <w:t>较上年无变化，主要原因是对局属单位补助预算未增加</w:t>
      </w:r>
      <w:r>
        <w:rPr>
          <w:rFonts w:hint="eastAsia"/>
        </w:rPr>
        <w:t>；</w:t>
      </w:r>
    </w:p>
    <w:p>
      <w:pPr>
        <w:bidi w:val="0"/>
        <w:rPr>
          <w:rFonts w:hint="eastAsia"/>
        </w:rPr>
      </w:pPr>
      <w:r>
        <w:rPr>
          <w:rFonts w:hint="eastAsia"/>
        </w:rPr>
        <w:t>对个人和家庭的补助（509）</w:t>
      </w:r>
      <w:r>
        <w:rPr>
          <w:rFonts w:hint="eastAsia"/>
          <w:lang w:val="en-US" w:eastAsia="zh-CN"/>
        </w:rPr>
        <w:t>4.7</w:t>
      </w:r>
      <w:r>
        <w:rPr>
          <w:rFonts w:hint="eastAsia"/>
        </w:rPr>
        <w:t>4万元</w:t>
      </w:r>
      <w:r>
        <w:rPr>
          <w:rFonts w:hint="eastAsia"/>
          <w:lang w:eastAsia="zh-CN"/>
        </w:rPr>
        <w:t>，较上年</w:t>
      </w:r>
      <w:r>
        <w:rPr>
          <w:rFonts w:hint="eastAsia"/>
          <w:lang w:val="en-US" w:eastAsia="zh-CN"/>
        </w:rPr>
        <w:t>增加1.2</w:t>
      </w:r>
      <w:r>
        <w:rPr>
          <w:rFonts w:hint="eastAsia"/>
        </w:rPr>
        <w:t>万元，</w:t>
      </w:r>
      <w:r>
        <w:rPr>
          <w:rFonts w:hint="eastAsia"/>
          <w:lang w:val="en-US" w:eastAsia="zh-CN"/>
        </w:rPr>
        <w:t>主要</w:t>
      </w:r>
      <w:r>
        <w:rPr>
          <w:rFonts w:hint="eastAsia"/>
        </w:rPr>
        <w:t>原因是</w:t>
      </w:r>
      <w:r>
        <w:rPr>
          <w:rFonts w:hint="eastAsia"/>
          <w:lang w:val="en-US" w:eastAsia="zh-CN"/>
        </w:rPr>
        <w:t>新增离退休人员所致</w:t>
      </w:r>
      <w:r>
        <w:rPr>
          <w:rFonts w:hint="eastAsia"/>
        </w:rPr>
        <w:t>。</w:t>
      </w:r>
    </w:p>
    <w:p>
      <w:pPr>
        <w:bidi w:val="0"/>
        <w:ind w:left="0" w:leftChars="0" w:firstLine="0" w:firstLineChars="0"/>
        <w:rPr>
          <w:rFonts w:hint="eastAsia"/>
        </w:rPr>
      </w:pPr>
      <w:r>
        <w:drawing>
          <wp:inline distT="0" distB="0" distL="114300" distR="114300">
            <wp:extent cx="5730240" cy="3516630"/>
            <wp:effectExtent l="0" t="0" r="0" b="3810"/>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13"/>
                    <a:stretch>
                      <a:fillRect/>
                    </a:stretch>
                  </pic:blipFill>
                  <pic:spPr>
                    <a:xfrm>
                      <a:off x="0" y="0"/>
                      <a:ext cx="5730240" cy="3516630"/>
                    </a:xfrm>
                    <a:prstGeom prst="rect">
                      <a:avLst/>
                    </a:prstGeom>
                    <a:noFill/>
                    <a:ln>
                      <a:noFill/>
                    </a:ln>
                  </pic:spPr>
                </pic:pic>
              </a:graphicData>
            </a:graphic>
          </wp:inline>
        </w:drawing>
      </w:r>
    </w:p>
    <w:p>
      <w:pPr>
        <w:pStyle w:val="4"/>
        <w:bidi w:val="0"/>
        <w:rPr>
          <w:rFonts w:hint="eastAsia"/>
          <w:lang w:val="en-US" w:eastAsia="zh-CN"/>
        </w:rPr>
      </w:pPr>
      <w:r>
        <w:rPr>
          <w:rFonts w:hint="eastAsia" w:ascii="仿宋" w:hAnsi="仿宋" w:eastAsia="仿宋" w:cs="仿宋"/>
          <w:sz w:val="32"/>
          <w:szCs w:val="32"/>
        </w:rPr>
        <w:t>2019年结转财政资金一般公共预算拨款支出情况</w:t>
      </w:r>
    </w:p>
    <w:p>
      <w:pPr>
        <w:bidi w:val="0"/>
        <w:rPr>
          <w:rFonts w:hint="eastAsia"/>
          <w:lang w:val="en-US" w:eastAsia="zh-CN"/>
        </w:rPr>
      </w:pPr>
      <w:r>
        <w:rPr>
          <w:rFonts w:hint="eastAsia"/>
          <w:lang w:val="en-US" w:eastAsia="zh-CN"/>
        </w:rPr>
        <w:t>本部门2019年结转的一般公共预算拨款支出1869.08万元编入2020年部门综合预算执行，较上年增加339.85万元，主要原因是新增结算土地出让成本。</w:t>
      </w:r>
    </w:p>
    <w:p>
      <w:pPr>
        <w:bidi w:val="0"/>
        <w:rPr>
          <w:rFonts w:hint="eastAsia"/>
          <w:lang w:val="en-US" w:eastAsia="zh-CN"/>
        </w:rPr>
      </w:pPr>
      <w:r>
        <w:rPr>
          <w:rFonts w:hint="eastAsia"/>
          <w:lang w:val="en-US" w:eastAsia="zh-CN"/>
        </w:rPr>
        <w:t>(1)</w:t>
      </w:r>
      <w:r>
        <w:rPr>
          <w:rFonts w:hint="eastAsia"/>
        </w:rPr>
        <w:t>按功能支出分类</w:t>
      </w:r>
      <w:r>
        <w:rPr>
          <w:rFonts w:hint="eastAsia"/>
          <w:lang w:val="en-US" w:eastAsia="zh-CN"/>
        </w:rPr>
        <w:t>：</w:t>
      </w:r>
    </w:p>
    <w:p>
      <w:pPr>
        <w:bidi w:val="0"/>
        <w:rPr>
          <w:rFonts w:hint="default"/>
          <w:lang w:val="en-US" w:eastAsia="zh-CN"/>
        </w:rPr>
      </w:pPr>
      <w:r>
        <w:rPr>
          <w:rFonts w:hint="eastAsia"/>
          <w:lang w:val="en-US" w:eastAsia="zh-CN"/>
        </w:rPr>
        <w:t>机关事业单位基本养老保险缴费支出（2080505）3.96万元；</w:t>
      </w:r>
    </w:p>
    <w:p>
      <w:pPr>
        <w:bidi w:val="0"/>
        <w:rPr>
          <w:rFonts w:hint="eastAsia"/>
          <w:lang w:val="en-US" w:eastAsia="zh-CN"/>
        </w:rPr>
      </w:pPr>
      <w:r>
        <w:rPr>
          <w:rFonts w:hint="eastAsia"/>
          <w:lang w:val="en-US" w:eastAsia="zh-CN"/>
        </w:rPr>
        <w:t>机关事业单位职业年金缴费支出（2080506）7.92万元；</w:t>
      </w:r>
    </w:p>
    <w:p>
      <w:pPr>
        <w:bidi w:val="0"/>
        <w:rPr>
          <w:rFonts w:hint="default"/>
          <w:lang w:val="en-US" w:eastAsia="zh-CN"/>
        </w:rPr>
      </w:pPr>
      <w:r>
        <w:rPr>
          <w:rFonts w:hint="eastAsia"/>
          <w:lang w:val="en-US" w:eastAsia="zh-CN"/>
        </w:rPr>
        <w:t>行政运行（2120101）1.56万元；</w:t>
      </w:r>
    </w:p>
    <w:p>
      <w:pPr>
        <w:bidi w:val="0"/>
        <w:rPr>
          <w:rFonts w:hint="eastAsia"/>
          <w:lang w:val="en-US" w:eastAsia="zh-CN"/>
        </w:rPr>
      </w:pPr>
      <w:r>
        <w:rPr>
          <w:rFonts w:hint="eastAsia"/>
          <w:lang w:val="en-US" w:eastAsia="zh-CN"/>
        </w:rPr>
        <w:t>城乡社区规划与管理（2120201）2.93万元；</w:t>
      </w:r>
    </w:p>
    <w:p>
      <w:pPr>
        <w:bidi w:val="0"/>
        <w:rPr>
          <w:rFonts w:hint="eastAsia"/>
          <w:lang w:val="en-US" w:eastAsia="zh-CN"/>
        </w:rPr>
      </w:pPr>
      <w:r>
        <w:rPr>
          <w:rFonts w:hint="default"/>
          <w:lang w:val="en-US" w:eastAsia="zh-CN"/>
        </w:rPr>
        <w:t>其他城乡社区公共设施支出</w:t>
      </w:r>
      <w:r>
        <w:rPr>
          <w:rFonts w:hint="eastAsia"/>
          <w:lang w:val="en-US" w:eastAsia="zh-CN"/>
        </w:rPr>
        <w:t>（2120399）348.65万元；</w:t>
      </w:r>
    </w:p>
    <w:p>
      <w:pPr>
        <w:bidi w:val="0"/>
        <w:rPr>
          <w:rFonts w:hint="default"/>
          <w:lang w:val="en-US" w:eastAsia="zh-CN"/>
        </w:rPr>
      </w:pPr>
      <w:r>
        <w:rPr>
          <w:rFonts w:hint="default"/>
          <w:lang w:val="en-US" w:eastAsia="zh-CN"/>
        </w:rPr>
        <w:t>自然资源规划及管理</w:t>
      </w:r>
      <w:r>
        <w:rPr>
          <w:rFonts w:hint="eastAsia"/>
          <w:lang w:val="en-US" w:eastAsia="zh-CN"/>
        </w:rPr>
        <w:t>（2200104）88.55万元；</w:t>
      </w:r>
    </w:p>
    <w:p>
      <w:pPr>
        <w:bidi w:val="0"/>
        <w:rPr>
          <w:rFonts w:hint="eastAsia"/>
          <w:lang w:eastAsia="zh-CN"/>
        </w:rPr>
      </w:pPr>
      <w:r>
        <w:rPr>
          <w:rFonts w:hint="eastAsia"/>
        </w:rPr>
        <w:t>自然资源调查</w:t>
      </w:r>
      <w:r>
        <w:rPr>
          <w:rFonts w:hint="eastAsia"/>
          <w:lang w:eastAsia="zh-CN"/>
        </w:rPr>
        <w:t>（</w:t>
      </w:r>
      <w:r>
        <w:rPr>
          <w:rFonts w:hint="eastAsia"/>
          <w:lang w:val="en-US" w:eastAsia="zh-CN"/>
        </w:rPr>
        <w:t>2200109</w:t>
      </w:r>
      <w:r>
        <w:rPr>
          <w:rFonts w:hint="eastAsia"/>
          <w:lang w:eastAsia="zh-CN"/>
        </w:rPr>
        <w:t>）37</w:t>
      </w:r>
      <w:r>
        <w:rPr>
          <w:rFonts w:hint="eastAsia"/>
          <w:lang w:val="en-US" w:eastAsia="zh-CN"/>
        </w:rPr>
        <w:t>.</w:t>
      </w:r>
      <w:r>
        <w:rPr>
          <w:rFonts w:hint="eastAsia"/>
          <w:lang w:eastAsia="zh-CN"/>
        </w:rPr>
        <w:t>56</w:t>
      </w:r>
      <w:r>
        <w:rPr>
          <w:rFonts w:hint="eastAsia"/>
          <w:lang w:val="en-US" w:eastAsia="zh-CN"/>
        </w:rPr>
        <w:t>万元；</w:t>
      </w:r>
    </w:p>
    <w:p>
      <w:pPr>
        <w:bidi w:val="0"/>
        <w:rPr>
          <w:rFonts w:hint="eastAsia"/>
          <w:lang w:val="en-US" w:eastAsia="zh-CN"/>
        </w:rPr>
      </w:pPr>
      <w:r>
        <w:rPr>
          <w:rFonts w:hint="eastAsia"/>
          <w:lang w:eastAsia="zh-CN"/>
        </w:rPr>
        <w:t>地质矿产资源利用与保护（</w:t>
      </w:r>
      <w:r>
        <w:rPr>
          <w:rFonts w:hint="eastAsia"/>
          <w:lang w:val="en-US" w:eastAsia="zh-CN"/>
        </w:rPr>
        <w:t>2200114</w:t>
      </w:r>
      <w:r>
        <w:rPr>
          <w:rFonts w:hint="eastAsia"/>
          <w:lang w:eastAsia="zh-CN"/>
        </w:rPr>
        <w:t>）5</w:t>
      </w:r>
      <w:r>
        <w:rPr>
          <w:rFonts w:hint="eastAsia"/>
          <w:lang w:val="en-US" w:eastAsia="zh-CN"/>
        </w:rPr>
        <w:t>.53万元；</w:t>
      </w:r>
    </w:p>
    <w:p>
      <w:pPr>
        <w:bidi w:val="0"/>
        <w:rPr>
          <w:rFonts w:hint="default"/>
          <w:lang w:val="en-US" w:eastAsia="zh-CN"/>
        </w:rPr>
      </w:pPr>
      <w:r>
        <w:rPr>
          <w:rFonts w:hint="eastAsia"/>
          <w:lang w:val="en-US" w:eastAsia="zh-CN"/>
        </w:rPr>
        <w:t>事业运行（2200150）5.98万元；</w:t>
      </w:r>
    </w:p>
    <w:p>
      <w:pPr>
        <w:bidi w:val="0"/>
        <w:rPr>
          <w:rFonts w:hint="default"/>
          <w:lang w:val="en-US" w:eastAsia="zh-CN"/>
        </w:rPr>
      </w:pPr>
      <w:r>
        <w:rPr>
          <w:rFonts w:hint="eastAsia"/>
          <w:lang w:eastAsia="zh-CN"/>
        </w:rPr>
        <w:t>其他自然资源事务支出（</w:t>
      </w:r>
      <w:r>
        <w:rPr>
          <w:rFonts w:hint="eastAsia"/>
          <w:lang w:val="en-US" w:eastAsia="zh-CN"/>
        </w:rPr>
        <w:t>2200199</w:t>
      </w:r>
      <w:r>
        <w:rPr>
          <w:rFonts w:hint="eastAsia"/>
          <w:lang w:eastAsia="zh-CN"/>
        </w:rPr>
        <w:t>）</w:t>
      </w:r>
      <w:r>
        <w:rPr>
          <w:rFonts w:hint="eastAsia"/>
          <w:lang w:val="en-US" w:eastAsia="zh-CN"/>
        </w:rPr>
        <w:t>79.61万元；</w:t>
      </w:r>
    </w:p>
    <w:p>
      <w:pPr>
        <w:bidi w:val="0"/>
        <w:rPr>
          <w:rFonts w:hint="eastAsia"/>
          <w:lang w:val="en-US" w:eastAsia="zh-CN"/>
        </w:rPr>
      </w:pPr>
      <w:r>
        <w:rPr>
          <w:rFonts w:hint="eastAsia"/>
          <w:lang w:eastAsia="zh-CN"/>
        </w:rPr>
        <w:t>地质灾害防治（</w:t>
      </w:r>
      <w:r>
        <w:rPr>
          <w:rFonts w:hint="eastAsia"/>
          <w:lang w:val="en-US" w:eastAsia="zh-CN"/>
        </w:rPr>
        <w:t>2240601</w:t>
      </w:r>
      <w:r>
        <w:rPr>
          <w:rFonts w:hint="eastAsia"/>
          <w:lang w:eastAsia="zh-CN"/>
        </w:rPr>
        <w:t>）</w:t>
      </w:r>
      <w:r>
        <w:rPr>
          <w:rFonts w:hint="eastAsia"/>
          <w:lang w:val="en-US" w:eastAsia="zh-CN"/>
        </w:rPr>
        <w:t>1231.83万元；</w:t>
      </w:r>
    </w:p>
    <w:p>
      <w:pPr>
        <w:bidi w:val="0"/>
        <w:rPr>
          <w:rFonts w:hint="default"/>
          <w:lang w:val="en-US" w:eastAsia="zh-CN"/>
        </w:rPr>
      </w:pPr>
      <w:r>
        <w:rPr>
          <w:rFonts w:hint="eastAsia"/>
          <w:lang w:val="en-US" w:eastAsia="zh-CN"/>
        </w:rPr>
        <w:t>其他支出（2299901）55.00万元。</w:t>
      </w:r>
    </w:p>
    <w:p>
      <w:pPr>
        <w:bidi w:val="0"/>
        <w:rPr>
          <w:rFonts w:hint="eastAsia"/>
          <w:lang w:val="en-US" w:eastAsia="zh-CN"/>
        </w:rPr>
      </w:pPr>
      <w:r>
        <w:rPr>
          <w:rFonts w:hint="eastAsia"/>
          <w:lang w:val="en-US" w:eastAsia="zh-CN"/>
        </w:rPr>
        <w:t>(2)</w:t>
      </w:r>
      <w:r>
        <w:rPr>
          <w:rFonts w:hint="eastAsia"/>
        </w:rPr>
        <w:t>按政府预算支出经济分类</w:t>
      </w:r>
      <w:r>
        <w:rPr>
          <w:rFonts w:hint="eastAsia"/>
          <w:lang w:val="en-US" w:eastAsia="zh-CN"/>
        </w:rPr>
        <w:t>：</w:t>
      </w:r>
    </w:p>
    <w:p>
      <w:pPr>
        <w:bidi w:val="0"/>
        <w:rPr>
          <w:rFonts w:hint="default"/>
          <w:lang w:val="en-US" w:eastAsia="zh-CN"/>
        </w:rPr>
      </w:pPr>
      <w:r>
        <w:rPr>
          <w:rFonts w:hint="eastAsia"/>
          <w:lang w:val="en-US" w:eastAsia="zh-CN"/>
        </w:rPr>
        <w:t>机关工资福利支出（501）11.88万元；</w:t>
      </w:r>
    </w:p>
    <w:p>
      <w:pPr>
        <w:bidi w:val="0"/>
        <w:rPr>
          <w:rFonts w:hint="eastAsia"/>
          <w:lang w:val="en-US" w:eastAsia="zh-CN"/>
        </w:rPr>
      </w:pPr>
      <w:r>
        <w:rPr>
          <w:rFonts w:hint="eastAsia"/>
          <w:lang w:val="en-US" w:eastAsia="zh-CN"/>
        </w:rPr>
        <w:t>机关商品和服务支出（502）1857.20万元。</w:t>
      </w:r>
    </w:p>
    <w:p>
      <w:pPr>
        <w:pStyle w:val="3"/>
        <w:bidi w:val="0"/>
        <w:rPr>
          <w:rFonts w:hint="eastAsia"/>
          <w:color w:val="auto"/>
          <w:highlight w:val="none"/>
        </w:rPr>
      </w:pPr>
      <w:r>
        <w:rPr>
          <w:rFonts w:hint="eastAsia"/>
          <w:color w:val="auto"/>
          <w:highlight w:val="none"/>
        </w:rPr>
        <w:t>政府性基金预算支出情况</w:t>
      </w:r>
    </w:p>
    <w:p>
      <w:pPr>
        <w:bidi w:val="0"/>
        <w:rPr>
          <w:rFonts w:hint="eastAsia"/>
        </w:rPr>
      </w:pPr>
      <w:r>
        <w:rPr>
          <w:rFonts w:hint="eastAsia"/>
        </w:rPr>
        <w:t>本部门无当年政府性基金预算收支，并已公开空表。</w:t>
      </w:r>
    </w:p>
    <w:p>
      <w:pPr>
        <w:bidi w:val="0"/>
        <w:rPr>
          <w:rFonts w:hint="eastAsia"/>
          <w:lang w:eastAsia="zh-CN"/>
        </w:rPr>
      </w:pPr>
      <w:r>
        <w:rPr>
          <w:rFonts w:hint="eastAsia"/>
        </w:rPr>
        <w:t>本部门无2019年结转的政府性基金预算拨款支出</w:t>
      </w:r>
      <w:r>
        <w:rPr>
          <w:rFonts w:hint="eastAsia"/>
          <w:lang w:eastAsia="zh-CN"/>
        </w:rPr>
        <w:t>。</w:t>
      </w:r>
    </w:p>
    <w:p>
      <w:pPr>
        <w:pStyle w:val="3"/>
        <w:bidi w:val="0"/>
        <w:rPr>
          <w:rFonts w:hint="eastAsia"/>
          <w:color w:val="auto"/>
          <w:highlight w:val="none"/>
        </w:rPr>
      </w:pPr>
      <w:r>
        <w:rPr>
          <w:rFonts w:hint="eastAsia"/>
          <w:color w:val="auto"/>
          <w:highlight w:val="none"/>
        </w:rPr>
        <w:t>国有资本经营预算拨款收支情况</w:t>
      </w:r>
    </w:p>
    <w:p>
      <w:pPr>
        <w:bidi w:val="0"/>
        <w:rPr>
          <w:rFonts w:hint="eastAsia"/>
        </w:rPr>
      </w:pPr>
      <w:r>
        <w:rPr>
          <w:rFonts w:hint="eastAsia"/>
        </w:rPr>
        <w:t>本部门无当年国有资本经营预算拨款收支，并在财政拨款收支总体情况表中列示。</w:t>
      </w:r>
    </w:p>
    <w:p>
      <w:pPr>
        <w:bidi w:val="0"/>
        <w:rPr>
          <w:rFonts w:hint="default"/>
          <w:lang w:val="en-US"/>
        </w:rPr>
      </w:pPr>
      <w:r>
        <w:rPr>
          <w:rFonts w:hint="eastAsia"/>
        </w:rPr>
        <w:t>本部门无2019年结转的国有资本经营预算拨款支出</w:t>
      </w:r>
      <w:r>
        <w:rPr>
          <w:rFonts w:hint="default"/>
          <w:lang w:val="en-US"/>
        </w:rPr>
        <w:t>。</w:t>
      </w:r>
    </w:p>
    <w:p>
      <w:pPr>
        <w:bidi w:val="0"/>
        <w:rPr>
          <w:rFonts w:hint="default"/>
          <w:color w:val="auto"/>
          <w:highlight w:val="none"/>
          <w:lang w:val="en-US"/>
        </w:rPr>
      </w:pPr>
    </w:p>
    <w:p>
      <w:pPr>
        <w:pStyle w:val="30"/>
        <w:bidi w:val="0"/>
        <w:rPr>
          <w:rFonts w:hint="default"/>
          <w:lang w:val="en-US" w:eastAsia="zh-CN"/>
        </w:rPr>
      </w:pPr>
      <w:r>
        <w:rPr>
          <w:rFonts w:hint="eastAsia"/>
          <w:lang w:val="en-US" w:eastAsia="zh-CN"/>
        </w:rPr>
        <w:t xml:space="preserve">第三部分  </w:t>
      </w:r>
      <w:r>
        <w:rPr>
          <w:rFonts w:hint="eastAsia"/>
        </w:rPr>
        <w:t>其他说明情况</w:t>
      </w:r>
    </w:p>
    <w:p>
      <w:pPr>
        <w:bidi w:val="0"/>
        <w:rPr>
          <w:rFonts w:hint="eastAsia"/>
          <w:color w:val="auto"/>
          <w:highlight w:val="none"/>
          <w:lang w:val="en-US" w:eastAsia="zh-CN"/>
        </w:rPr>
      </w:pPr>
    </w:p>
    <w:p>
      <w:pPr>
        <w:pStyle w:val="2"/>
        <w:bidi w:val="0"/>
        <w:rPr>
          <w:rFonts w:hint="eastAsia"/>
        </w:rPr>
      </w:pPr>
      <w:r>
        <w:rPr>
          <w:rFonts w:hint="eastAsia"/>
          <w:lang w:val="en-US" w:eastAsia="zh-CN"/>
        </w:rPr>
        <w:t>部门预算</w:t>
      </w:r>
      <w:r>
        <w:rPr>
          <w:rFonts w:hint="eastAsia"/>
        </w:rPr>
        <w:t>“三公”经费等预算情况</w:t>
      </w:r>
    </w:p>
    <w:p>
      <w:pPr>
        <w:pStyle w:val="4"/>
        <w:bidi w:val="0"/>
        <w:rPr>
          <w:rFonts w:hint="eastAsia"/>
          <w:color w:val="auto"/>
          <w:highlight w:val="none"/>
          <w:lang w:val="en-US" w:eastAsia="zh-CN"/>
        </w:rPr>
      </w:pPr>
      <w:r>
        <w:rPr>
          <w:rFonts w:hint="eastAsia"/>
          <w:color w:val="auto"/>
          <w:highlight w:val="none"/>
        </w:rPr>
        <w:t>“三公”经费</w:t>
      </w:r>
      <w:r>
        <w:rPr>
          <w:rFonts w:hint="eastAsia"/>
          <w:color w:val="auto"/>
          <w:highlight w:val="none"/>
          <w:lang w:val="en-US" w:eastAsia="zh-CN"/>
        </w:rPr>
        <w:t>预算情况</w:t>
      </w:r>
    </w:p>
    <w:p>
      <w:pPr>
        <w:bidi w:val="0"/>
        <w:rPr>
          <w:rFonts w:hint="eastAsia"/>
          <w:color w:val="auto"/>
          <w:highlight w:val="none"/>
        </w:rPr>
      </w:pPr>
      <w:r>
        <w:rPr>
          <w:rFonts w:hint="eastAsia"/>
          <w:color w:val="auto"/>
          <w:highlight w:val="none"/>
          <w:lang w:eastAsia="zh-CN"/>
        </w:rPr>
        <w:t>2020</w:t>
      </w:r>
      <w:r>
        <w:rPr>
          <w:rFonts w:hint="eastAsia"/>
          <w:color w:val="auto"/>
          <w:highlight w:val="none"/>
        </w:rPr>
        <w:t>年</w:t>
      </w:r>
      <w:r>
        <w:rPr>
          <w:rFonts w:hint="eastAsia"/>
          <w:color w:val="auto"/>
          <w:highlight w:val="none"/>
          <w:lang w:val="en-US" w:eastAsia="zh-CN"/>
        </w:rPr>
        <w:t>当年</w:t>
      </w:r>
      <w:r>
        <w:rPr>
          <w:rFonts w:hint="eastAsia"/>
          <w:color w:val="auto"/>
          <w:highlight w:val="none"/>
        </w:rPr>
        <w:t>本部门一般公共预算“三公”经费预算支出</w:t>
      </w:r>
      <w:r>
        <w:rPr>
          <w:rFonts w:hint="eastAsia"/>
          <w:color w:val="auto"/>
          <w:highlight w:val="none"/>
          <w:lang w:val="en-US" w:eastAsia="zh-CN"/>
        </w:rPr>
        <w:t>9.21</w:t>
      </w:r>
      <w:r>
        <w:rPr>
          <w:rFonts w:hint="eastAsia"/>
          <w:color w:val="auto"/>
          <w:highlight w:val="none"/>
        </w:rPr>
        <w:t>万元，</w:t>
      </w:r>
      <w:r>
        <w:rPr>
          <w:rFonts w:hint="eastAsia"/>
          <w:color w:val="auto"/>
          <w:highlight w:val="none"/>
          <w:lang w:eastAsia="zh-CN"/>
        </w:rPr>
        <w:t>较上年</w:t>
      </w:r>
      <w:r>
        <w:rPr>
          <w:rFonts w:hint="eastAsia"/>
          <w:color w:val="auto"/>
          <w:highlight w:val="none"/>
        </w:rPr>
        <w:t>减少</w:t>
      </w:r>
      <w:r>
        <w:rPr>
          <w:rFonts w:hint="eastAsia"/>
          <w:color w:val="auto"/>
          <w:highlight w:val="none"/>
          <w:lang w:val="en-US" w:eastAsia="zh-CN"/>
        </w:rPr>
        <w:t>2.01</w:t>
      </w:r>
      <w:r>
        <w:rPr>
          <w:rFonts w:hint="eastAsia"/>
          <w:color w:val="auto"/>
          <w:highlight w:val="none"/>
        </w:rPr>
        <w:t>万元（</w:t>
      </w:r>
      <w:r>
        <w:rPr>
          <w:rFonts w:hint="eastAsia"/>
          <w:color w:val="auto"/>
          <w:highlight w:val="none"/>
          <w:lang w:val="en-US" w:eastAsia="zh-CN"/>
        </w:rPr>
        <w:t>17.91</w:t>
      </w:r>
      <w:r>
        <w:rPr>
          <w:rFonts w:hint="eastAsia"/>
          <w:color w:val="auto"/>
          <w:highlight w:val="none"/>
        </w:rPr>
        <w:t>%），减少的主要原因是调整接待预算次数</w:t>
      </w:r>
      <w:r>
        <w:rPr>
          <w:rFonts w:hint="eastAsia"/>
          <w:color w:val="auto"/>
          <w:highlight w:val="none"/>
          <w:lang w:eastAsia="zh-CN"/>
        </w:rPr>
        <w:t>，</w:t>
      </w:r>
      <w:r>
        <w:rPr>
          <w:rFonts w:hint="eastAsia"/>
          <w:color w:val="auto"/>
          <w:highlight w:val="none"/>
        </w:rPr>
        <w:t>减少公务用车预算，规范车辆管理所致。其中：因公出国（境）经费</w:t>
      </w:r>
      <w:r>
        <w:rPr>
          <w:rFonts w:hint="default"/>
          <w:color w:val="auto"/>
          <w:highlight w:val="none"/>
          <w:lang w:val="en-US"/>
        </w:rPr>
        <w:t>0</w:t>
      </w:r>
      <w:r>
        <w:rPr>
          <w:rFonts w:hint="eastAsia"/>
          <w:color w:val="auto"/>
          <w:highlight w:val="none"/>
        </w:rPr>
        <w:t>万元，</w:t>
      </w:r>
      <w:r>
        <w:rPr>
          <w:rFonts w:hint="eastAsia"/>
          <w:color w:val="auto"/>
          <w:highlight w:val="none"/>
          <w:lang w:eastAsia="zh-CN"/>
        </w:rPr>
        <w:t>较上年</w:t>
      </w:r>
      <w:r>
        <w:rPr>
          <w:rFonts w:hint="eastAsia"/>
          <w:color w:val="auto"/>
          <w:highlight w:val="none"/>
          <w:lang w:val="en-US" w:eastAsia="zh-CN"/>
        </w:rPr>
        <w:t>无变化，主要原因是</w:t>
      </w:r>
      <w:r>
        <w:rPr>
          <w:rFonts w:hint="eastAsia"/>
          <w:color w:val="auto"/>
          <w:highlight w:val="none"/>
          <w:shd w:val="clear" w:color="auto" w:fill="auto"/>
          <w:lang w:val="en-US" w:eastAsia="zh-CN"/>
        </w:rPr>
        <w:t>同上年一样未安排因公出国（境）</w:t>
      </w:r>
      <w:r>
        <w:rPr>
          <w:rFonts w:hint="eastAsia"/>
          <w:color w:val="auto"/>
          <w:highlight w:val="none"/>
        </w:rPr>
        <w:t>；公务接待费</w:t>
      </w:r>
      <w:r>
        <w:rPr>
          <w:rFonts w:hint="eastAsia"/>
          <w:color w:val="auto"/>
          <w:highlight w:val="none"/>
          <w:lang w:val="en-US" w:eastAsia="zh-CN"/>
        </w:rPr>
        <w:t>9.21</w:t>
      </w:r>
      <w:r>
        <w:rPr>
          <w:rFonts w:hint="eastAsia"/>
          <w:color w:val="auto"/>
          <w:highlight w:val="none"/>
        </w:rPr>
        <w:t>万元，</w:t>
      </w:r>
      <w:r>
        <w:rPr>
          <w:rFonts w:hint="eastAsia"/>
          <w:color w:val="auto"/>
          <w:highlight w:val="none"/>
          <w:lang w:eastAsia="zh-CN"/>
        </w:rPr>
        <w:t>较上年</w:t>
      </w:r>
      <w:r>
        <w:rPr>
          <w:rFonts w:hint="eastAsia"/>
          <w:color w:val="auto"/>
          <w:highlight w:val="none"/>
        </w:rPr>
        <w:t>减少</w:t>
      </w:r>
      <w:r>
        <w:rPr>
          <w:rFonts w:hint="eastAsia"/>
          <w:color w:val="auto"/>
          <w:highlight w:val="none"/>
          <w:lang w:val="en-US" w:eastAsia="zh-CN"/>
        </w:rPr>
        <w:t>0.51</w:t>
      </w:r>
      <w:r>
        <w:rPr>
          <w:rFonts w:hint="eastAsia"/>
          <w:color w:val="auto"/>
          <w:highlight w:val="none"/>
        </w:rPr>
        <w:t>万元（</w:t>
      </w:r>
      <w:r>
        <w:rPr>
          <w:rFonts w:hint="eastAsia"/>
          <w:color w:val="auto"/>
          <w:highlight w:val="none"/>
          <w:lang w:val="en-US" w:eastAsia="zh-CN"/>
        </w:rPr>
        <w:t>5.25</w:t>
      </w:r>
      <w:r>
        <w:rPr>
          <w:rFonts w:hint="eastAsia"/>
          <w:color w:val="auto"/>
          <w:highlight w:val="none"/>
        </w:rPr>
        <w:t>%），减少的主要原因是调整接待预算次数所致；公务用车运行维护费</w:t>
      </w:r>
      <w:r>
        <w:rPr>
          <w:rFonts w:hint="eastAsia"/>
          <w:color w:val="auto"/>
          <w:highlight w:val="none"/>
          <w:lang w:val="en-US" w:eastAsia="zh-CN"/>
        </w:rPr>
        <w:t>0</w:t>
      </w:r>
      <w:r>
        <w:rPr>
          <w:rFonts w:hint="eastAsia"/>
          <w:color w:val="auto"/>
          <w:highlight w:val="none"/>
        </w:rPr>
        <w:t>万元，</w:t>
      </w:r>
      <w:r>
        <w:rPr>
          <w:rFonts w:hint="eastAsia"/>
          <w:color w:val="auto"/>
          <w:highlight w:val="none"/>
          <w:lang w:eastAsia="zh-CN"/>
        </w:rPr>
        <w:t>较上年</w:t>
      </w:r>
      <w:r>
        <w:rPr>
          <w:rFonts w:hint="eastAsia"/>
          <w:color w:val="auto"/>
          <w:highlight w:val="none"/>
        </w:rPr>
        <w:t>减少</w:t>
      </w:r>
      <w:r>
        <w:rPr>
          <w:rFonts w:hint="eastAsia"/>
          <w:color w:val="auto"/>
          <w:highlight w:val="none"/>
          <w:lang w:val="en-US" w:eastAsia="zh-CN"/>
        </w:rPr>
        <w:t>1.5</w:t>
      </w:r>
      <w:r>
        <w:rPr>
          <w:rFonts w:hint="eastAsia"/>
          <w:color w:val="auto"/>
          <w:highlight w:val="none"/>
        </w:rPr>
        <w:t>万元</w:t>
      </w:r>
      <w:r>
        <w:rPr>
          <w:rFonts w:hint="eastAsia"/>
          <w:color w:val="auto"/>
          <w:highlight w:val="none"/>
          <w:lang w:eastAsia="zh-CN"/>
        </w:rPr>
        <w:t>（</w:t>
      </w:r>
      <w:r>
        <w:rPr>
          <w:rFonts w:hint="eastAsia"/>
          <w:color w:val="auto"/>
          <w:highlight w:val="none"/>
          <w:lang w:val="en-US" w:eastAsia="zh-CN"/>
        </w:rPr>
        <w:t>100.00%</w:t>
      </w:r>
      <w:r>
        <w:rPr>
          <w:rFonts w:hint="eastAsia"/>
          <w:color w:val="auto"/>
          <w:highlight w:val="none"/>
          <w:lang w:eastAsia="zh-CN"/>
        </w:rPr>
        <w:t>）</w:t>
      </w:r>
      <w:r>
        <w:rPr>
          <w:rFonts w:hint="eastAsia"/>
          <w:color w:val="auto"/>
          <w:highlight w:val="none"/>
        </w:rPr>
        <w:t>，减少的主要原因是是减少公务用车预算，规范车辆管理所致；公务用车购置费</w:t>
      </w:r>
      <w:r>
        <w:rPr>
          <w:rFonts w:hint="default"/>
          <w:color w:val="auto"/>
          <w:highlight w:val="none"/>
          <w:lang w:val="en-US"/>
        </w:rPr>
        <w:t>0</w:t>
      </w:r>
      <w:r>
        <w:rPr>
          <w:rFonts w:hint="eastAsia"/>
          <w:color w:val="auto"/>
          <w:highlight w:val="none"/>
        </w:rPr>
        <w:t>万元，</w:t>
      </w:r>
      <w:r>
        <w:rPr>
          <w:rFonts w:hint="eastAsia"/>
          <w:color w:val="auto"/>
          <w:highlight w:val="none"/>
          <w:lang w:eastAsia="zh-CN"/>
        </w:rPr>
        <w:t>较上年</w:t>
      </w:r>
      <w:r>
        <w:rPr>
          <w:rFonts w:hint="eastAsia"/>
          <w:color w:val="auto"/>
          <w:highlight w:val="none"/>
          <w:lang w:val="en-US" w:eastAsia="zh-CN"/>
        </w:rPr>
        <w:t>无变化，</w:t>
      </w:r>
      <w:r>
        <w:rPr>
          <w:rFonts w:hint="eastAsia"/>
          <w:color w:val="auto"/>
          <w:highlight w:val="none"/>
          <w:shd w:val="clear" w:color="auto" w:fill="auto"/>
          <w:lang w:val="en-US" w:eastAsia="zh-CN"/>
        </w:rPr>
        <w:t>主要原因是同上年一样未安排购置公务用车</w:t>
      </w:r>
      <w:r>
        <w:rPr>
          <w:rFonts w:hint="eastAsia"/>
          <w:color w:val="auto"/>
          <w:highlight w:val="none"/>
        </w:rPr>
        <w:t>。</w:t>
      </w:r>
    </w:p>
    <w:p>
      <w:pPr>
        <w:bidi w:val="0"/>
        <w:rPr>
          <w:rFonts w:hint="eastAsia"/>
          <w:color w:val="auto"/>
          <w:highlight w:val="none"/>
        </w:rPr>
      </w:pPr>
      <w:r>
        <w:rPr>
          <w:rFonts w:hint="eastAsia"/>
          <w:color w:val="auto"/>
          <w:highlight w:val="none"/>
        </w:rPr>
        <w:t>本部门无2019年结转的财政拨款‘三公’经费支出</w:t>
      </w:r>
      <w:r>
        <w:rPr>
          <w:color w:val="auto"/>
          <w:highlight w:val="none"/>
        </w:rPr>
        <w:t>。</w:t>
      </w:r>
    </w:p>
    <w:p>
      <w:pPr>
        <w:pStyle w:val="4"/>
        <w:bidi w:val="0"/>
        <w:rPr>
          <w:rFonts w:hint="eastAsia"/>
          <w:color w:val="auto"/>
          <w:highlight w:val="none"/>
          <w:lang w:val="en-US" w:eastAsia="zh-CN"/>
        </w:rPr>
      </w:pPr>
      <w:r>
        <w:rPr>
          <w:rFonts w:hint="eastAsia"/>
          <w:color w:val="auto"/>
          <w:highlight w:val="none"/>
          <w:lang w:val="en-US" w:eastAsia="zh-CN"/>
        </w:rPr>
        <w:t>会议费预算情况</w:t>
      </w:r>
    </w:p>
    <w:p>
      <w:pPr>
        <w:bidi w:val="0"/>
        <w:rPr>
          <w:rFonts w:hint="eastAsia"/>
          <w:lang w:val="en-US" w:eastAsia="zh-CN"/>
        </w:rPr>
      </w:pPr>
      <w:r>
        <w:rPr>
          <w:rFonts w:hint="eastAsia"/>
          <w:lang w:val="en-US" w:eastAsia="zh-CN"/>
        </w:rPr>
        <w:t>2020年当年</w:t>
      </w:r>
      <w:r>
        <w:rPr>
          <w:rFonts w:hint="eastAsia"/>
        </w:rPr>
        <w:t>本部门</w:t>
      </w:r>
      <w:r>
        <w:rPr>
          <w:rFonts w:hint="eastAsia"/>
          <w:lang w:val="en-US" w:eastAsia="zh-CN"/>
        </w:rPr>
        <w:t>会议</w:t>
      </w:r>
      <w:r>
        <w:rPr>
          <w:rFonts w:hint="eastAsia"/>
        </w:rPr>
        <w:t>费预算支出</w:t>
      </w:r>
      <w:r>
        <w:rPr>
          <w:rFonts w:hint="eastAsia"/>
          <w:lang w:val="en-US" w:eastAsia="zh-CN"/>
        </w:rPr>
        <w:t>4.00万元，较上年减少2.50万元（40.00%），主要原因是机构改革后压缩会议批次及人数所致。</w:t>
      </w:r>
    </w:p>
    <w:p>
      <w:pPr>
        <w:bidi w:val="0"/>
        <w:rPr>
          <w:rFonts w:hint="default"/>
          <w:lang w:val="en-US" w:eastAsia="zh-CN"/>
        </w:rPr>
      </w:pPr>
      <w:r>
        <w:rPr>
          <w:rFonts w:hint="eastAsia"/>
          <w:color w:val="auto"/>
          <w:highlight w:val="none"/>
        </w:rPr>
        <w:t>本部门无2019年结转的财政拨款</w:t>
      </w:r>
      <w:r>
        <w:rPr>
          <w:rFonts w:hint="eastAsia"/>
          <w:color w:val="auto"/>
          <w:highlight w:val="none"/>
          <w:lang w:val="en-US" w:eastAsia="zh-CN"/>
        </w:rPr>
        <w:t>会议</w:t>
      </w:r>
      <w:r>
        <w:rPr>
          <w:rFonts w:hint="eastAsia"/>
          <w:color w:val="auto"/>
          <w:highlight w:val="none"/>
        </w:rPr>
        <w:t>费支出</w:t>
      </w:r>
      <w:r>
        <w:rPr>
          <w:color w:val="auto"/>
          <w:highlight w:val="none"/>
        </w:rPr>
        <w:t>。</w:t>
      </w:r>
    </w:p>
    <w:p>
      <w:pPr>
        <w:pStyle w:val="4"/>
        <w:bidi w:val="0"/>
        <w:rPr>
          <w:rFonts w:hint="eastAsia"/>
          <w:color w:val="auto"/>
          <w:highlight w:val="none"/>
          <w:lang w:val="en-US" w:eastAsia="zh-CN"/>
        </w:rPr>
      </w:pPr>
      <w:r>
        <w:rPr>
          <w:rFonts w:hint="eastAsia"/>
          <w:color w:val="auto"/>
          <w:highlight w:val="none"/>
          <w:lang w:val="en-US" w:eastAsia="zh-CN"/>
        </w:rPr>
        <w:t>培训费预算情况</w:t>
      </w:r>
    </w:p>
    <w:p>
      <w:pPr>
        <w:bidi w:val="0"/>
        <w:rPr>
          <w:rFonts w:hint="eastAsia"/>
          <w:lang w:val="en-US" w:eastAsia="zh-CN"/>
        </w:rPr>
      </w:pPr>
      <w:r>
        <w:rPr>
          <w:rFonts w:hint="eastAsia"/>
          <w:lang w:val="en-US" w:eastAsia="zh-CN"/>
        </w:rPr>
        <w:t>2020年当年</w:t>
      </w:r>
      <w:r>
        <w:rPr>
          <w:rFonts w:hint="eastAsia"/>
        </w:rPr>
        <w:t>本部门</w:t>
      </w:r>
      <w:r>
        <w:rPr>
          <w:rFonts w:hint="eastAsia"/>
          <w:lang w:val="en-US" w:eastAsia="zh-CN"/>
        </w:rPr>
        <w:t>培训</w:t>
      </w:r>
      <w:r>
        <w:rPr>
          <w:rFonts w:hint="eastAsia"/>
        </w:rPr>
        <w:t>费预算支出</w:t>
      </w:r>
      <w:r>
        <w:rPr>
          <w:rFonts w:hint="eastAsia"/>
          <w:lang w:val="en-US" w:eastAsia="zh-CN"/>
        </w:rPr>
        <w:t>6.60万元，较上年增加1.26万元（23.59%），主要原因是2020年部门安排的培训批次及人数较上年有所增加所致。</w:t>
      </w:r>
    </w:p>
    <w:p>
      <w:pPr>
        <w:bidi w:val="0"/>
        <w:rPr>
          <w:rFonts w:hint="default"/>
          <w:lang w:val="en-US" w:eastAsia="zh-CN"/>
        </w:rPr>
      </w:pPr>
      <w:r>
        <w:rPr>
          <w:rFonts w:hint="eastAsia"/>
          <w:color w:val="auto"/>
          <w:highlight w:val="none"/>
        </w:rPr>
        <w:t>本部门无2019年结转的财政拨款</w:t>
      </w:r>
      <w:r>
        <w:rPr>
          <w:rFonts w:hint="eastAsia"/>
          <w:color w:val="auto"/>
          <w:highlight w:val="none"/>
          <w:lang w:val="en-US" w:eastAsia="zh-CN"/>
        </w:rPr>
        <w:t>培训</w:t>
      </w:r>
      <w:r>
        <w:rPr>
          <w:rFonts w:hint="eastAsia"/>
          <w:color w:val="auto"/>
          <w:highlight w:val="none"/>
        </w:rPr>
        <w:t>费支出</w:t>
      </w:r>
      <w:r>
        <w:rPr>
          <w:color w:val="auto"/>
          <w:highlight w:val="none"/>
        </w:rPr>
        <w:t>。</w:t>
      </w:r>
    </w:p>
    <w:p>
      <w:pPr>
        <w:pStyle w:val="2"/>
        <w:bidi w:val="0"/>
        <w:rPr>
          <w:rFonts w:hint="eastAsia"/>
        </w:rPr>
      </w:pPr>
      <w:r>
        <w:rPr>
          <w:rFonts w:hint="eastAsia"/>
        </w:rPr>
        <w:t>部门国有资产占有使用及资产购置情况说明</w:t>
      </w:r>
    </w:p>
    <w:p>
      <w:pPr>
        <w:bidi w:val="0"/>
        <w:rPr>
          <w:rFonts w:hint="eastAsia"/>
        </w:rPr>
      </w:pPr>
      <w:r>
        <w:rPr>
          <w:rFonts w:hint="eastAsia"/>
        </w:rPr>
        <w:t>截至</w:t>
      </w:r>
      <w:r>
        <w:rPr>
          <w:rFonts w:hint="eastAsia"/>
          <w:lang w:val="en-US" w:eastAsia="zh-CN"/>
        </w:rPr>
        <w:t>2019</w:t>
      </w:r>
      <w:r>
        <w:rPr>
          <w:rFonts w:hint="eastAsia"/>
          <w:lang w:eastAsia="zh-CN"/>
        </w:rPr>
        <w:t>年底</w:t>
      </w:r>
      <w:r>
        <w:rPr>
          <w:rFonts w:hint="eastAsia"/>
        </w:rPr>
        <w:t>，本部门所属预算单位共有车辆</w:t>
      </w:r>
      <w:r>
        <w:rPr>
          <w:rFonts w:hint="eastAsia"/>
          <w:lang w:val="en-US" w:eastAsia="zh-CN"/>
        </w:rPr>
        <w:t>3</w:t>
      </w:r>
      <w:r>
        <w:rPr>
          <w:rFonts w:hint="eastAsia"/>
        </w:rPr>
        <w:t>台,单价20万元以上的设备</w:t>
      </w:r>
      <w:r>
        <w:rPr>
          <w:rFonts w:hint="eastAsia"/>
          <w:lang w:val="en-US" w:eastAsia="zh-CN"/>
        </w:rPr>
        <w:t>2</w:t>
      </w:r>
      <w:r>
        <w:rPr>
          <w:rFonts w:hint="eastAsia"/>
        </w:rPr>
        <w:t>台（套）。</w:t>
      </w:r>
      <w:r>
        <w:rPr>
          <w:rFonts w:hint="eastAsia"/>
          <w:lang w:eastAsia="zh-CN"/>
        </w:rPr>
        <w:t>2020</w:t>
      </w:r>
      <w:r>
        <w:rPr>
          <w:rFonts w:hint="eastAsia"/>
        </w:rPr>
        <w:t>年当年部门预算除按资产配置规定购置计算机等必要的办公设备外，未安排购置车辆及单价20万元以上的设备设施。</w:t>
      </w:r>
    </w:p>
    <w:p>
      <w:pPr>
        <w:bidi w:val="0"/>
        <w:rPr>
          <w:rFonts w:hint="eastAsia"/>
        </w:rPr>
      </w:pPr>
      <w:r>
        <w:rPr>
          <w:rFonts w:hint="eastAsia"/>
        </w:rPr>
        <w:t>本部门无2019年结转的财政拨款支出资产购置。</w:t>
      </w:r>
    </w:p>
    <w:p>
      <w:pPr>
        <w:pStyle w:val="2"/>
        <w:bidi w:val="0"/>
        <w:rPr>
          <w:rFonts w:hint="eastAsia"/>
        </w:rPr>
      </w:pPr>
      <w:r>
        <w:rPr>
          <w:rFonts w:hint="eastAsia"/>
          <w:lang w:val="en-US" w:eastAsia="zh-CN"/>
        </w:rPr>
        <w:t>部门</w:t>
      </w:r>
      <w:r>
        <w:rPr>
          <w:rFonts w:hint="eastAsia"/>
        </w:rPr>
        <w:t>政府采购情况</w:t>
      </w:r>
      <w:r>
        <w:rPr>
          <w:rFonts w:hint="eastAsia"/>
          <w:lang w:val="en-US" w:eastAsia="zh-CN"/>
        </w:rPr>
        <w:t>说明</w:t>
      </w:r>
    </w:p>
    <w:p>
      <w:pPr>
        <w:bidi w:val="0"/>
        <w:rPr>
          <w:rFonts w:hint="eastAsia"/>
          <w:color w:val="auto"/>
          <w:highlight w:val="none"/>
        </w:rPr>
      </w:pPr>
      <w:r>
        <w:rPr>
          <w:rFonts w:hint="eastAsia"/>
          <w:color w:val="auto"/>
          <w:highlight w:val="none"/>
        </w:rPr>
        <w:t>本部门</w:t>
      </w:r>
      <w:r>
        <w:rPr>
          <w:rFonts w:hint="eastAsia"/>
          <w:color w:val="auto"/>
          <w:highlight w:val="none"/>
          <w:lang w:eastAsia="zh-CN"/>
        </w:rPr>
        <w:t>2020</w:t>
      </w:r>
      <w:r>
        <w:rPr>
          <w:rFonts w:hint="eastAsia"/>
          <w:color w:val="auto"/>
          <w:highlight w:val="none"/>
        </w:rPr>
        <w:t>年</w:t>
      </w:r>
      <w:r>
        <w:rPr>
          <w:rFonts w:hint="eastAsia"/>
          <w:color w:val="auto"/>
          <w:highlight w:val="none"/>
          <w:lang w:val="en-US" w:eastAsia="zh-CN"/>
        </w:rPr>
        <w:t>当年</w:t>
      </w:r>
      <w:r>
        <w:rPr>
          <w:rFonts w:hint="eastAsia"/>
          <w:color w:val="auto"/>
          <w:highlight w:val="none"/>
        </w:rPr>
        <w:t>无政府采购预算，并已公开空表。</w:t>
      </w:r>
    </w:p>
    <w:p>
      <w:pPr>
        <w:bidi w:val="0"/>
        <w:rPr>
          <w:rFonts w:hint="eastAsia"/>
          <w:color w:val="auto"/>
          <w:highlight w:val="none"/>
          <w:lang w:eastAsia="zh-CN"/>
        </w:rPr>
      </w:pPr>
      <w:r>
        <w:rPr>
          <w:rFonts w:hint="eastAsia"/>
          <w:color w:val="auto"/>
          <w:highlight w:val="none"/>
          <w:lang w:eastAsia="zh-CN"/>
        </w:rPr>
        <w:t>本部门无2019年结转的政府采购资金支出。</w:t>
      </w:r>
    </w:p>
    <w:p>
      <w:pPr>
        <w:pStyle w:val="2"/>
        <w:bidi w:val="0"/>
        <w:rPr>
          <w:rFonts w:hint="eastAsia"/>
        </w:rPr>
      </w:pPr>
      <w:r>
        <w:rPr>
          <w:rFonts w:hint="eastAsia"/>
        </w:rPr>
        <w:t>部门预算绩效目标说明</w:t>
      </w:r>
    </w:p>
    <w:p>
      <w:pPr>
        <w:bidi w:val="0"/>
        <w:rPr>
          <w:rFonts w:hint="eastAsia"/>
          <w:lang w:val="en-US" w:eastAsia="zh-CN"/>
        </w:rPr>
      </w:pPr>
      <w:r>
        <w:rPr>
          <w:rFonts w:hint="eastAsia"/>
          <w:lang w:val="en-US" w:eastAsia="zh-CN"/>
        </w:rPr>
        <w:t>2020年,本部门将继续推进绩效目标管理，已将专项资金“地质灾害防治-地质灾害隐患点监测人员工资”纳入绩效目标管理</w:t>
      </w:r>
      <w:r>
        <w:rPr>
          <w:rFonts w:hint="eastAsia"/>
        </w:rPr>
        <w:t>（详见公开报表中的绩效目标表）</w:t>
      </w:r>
      <w:r>
        <w:rPr>
          <w:rFonts w:hint="eastAsia"/>
          <w:lang w:val="en-US" w:eastAsia="zh-CN"/>
        </w:rPr>
        <w:t>。</w:t>
      </w:r>
    </w:p>
    <w:p>
      <w:pPr>
        <w:bidi w:val="0"/>
        <w:rPr>
          <w:rFonts w:hint="eastAsia"/>
          <w:lang w:val="en-US" w:eastAsia="zh-CN"/>
        </w:rPr>
      </w:pPr>
      <w:r>
        <w:rPr>
          <w:rFonts w:hint="eastAsia"/>
        </w:rPr>
        <w:t>2020年，本部门2019年结转的财政拨款支出继续实施绩效目标管理</w:t>
      </w:r>
      <w:r>
        <w:rPr>
          <w:rFonts w:hint="eastAsia"/>
          <w:lang w:val="en-US" w:eastAsia="zh-CN"/>
        </w:rPr>
        <w:t>。</w:t>
      </w:r>
    </w:p>
    <w:p>
      <w:pPr>
        <w:pStyle w:val="2"/>
        <w:bidi w:val="0"/>
        <w:rPr>
          <w:rFonts w:hint="eastAsia"/>
        </w:rPr>
      </w:pPr>
      <w:r>
        <w:rPr>
          <w:rFonts w:hint="eastAsia"/>
        </w:rPr>
        <w:t>机关运行经费安排情况</w:t>
      </w:r>
    </w:p>
    <w:p>
      <w:pPr>
        <w:bidi w:val="0"/>
        <w:rPr>
          <w:rFonts w:hint="eastAsia"/>
          <w:color w:val="auto"/>
          <w:highlight w:val="none"/>
        </w:rPr>
      </w:pPr>
      <w:r>
        <w:rPr>
          <w:rFonts w:hint="eastAsia"/>
          <w:color w:val="auto"/>
          <w:highlight w:val="none"/>
        </w:rPr>
        <w:t>本部门</w:t>
      </w:r>
      <w:r>
        <w:rPr>
          <w:rFonts w:hint="eastAsia"/>
          <w:color w:val="auto"/>
          <w:highlight w:val="none"/>
          <w:lang w:eastAsia="zh-CN"/>
        </w:rPr>
        <w:t>2020</w:t>
      </w:r>
      <w:r>
        <w:rPr>
          <w:rFonts w:hint="eastAsia"/>
          <w:color w:val="auto"/>
          <w:highlight w:val="none"/>
        </w:rPr>
        <w:t>年</w:t>
      </w:r>
      <w:r>
        <w:rPr>
          <w:rFonts w:hint="eastAsia"/>
          <w:color w:val="auto"/>
          <w:highlight w:val="none"/>
          <w:lang w:val="en-US" w:eastAsia="zh-CN"/>
        </w:rPr>
        <w:t>当年</w:t>
      </w:r>
      <w:r>
        <w:rPr>
          <w:rFonts w:hint="eastAsia"/>
          <w:color w:val="auto"/>
          <w:highlight w:val="none"/>
        </w:rPr>
        <w:t>机关运行经费预算安排</w:t>
      </w:r>
      <w:r>
        <w:rPr>
          <w:rFonts w:hint="eastAsia"/>
          <w:color w:val="auto"/>
          <w:highlight w:val="none"/>
          <w:lang w:val="en-US" w:eastAsia="zh-CN"/>
        </w:rPr>
        <w:t>195.46</w:t>
      </w:r>
      <w:r>
        <w:rPr>
          <w:rFonts w:hint="eastAsia"/>
          <w:color w:val="auto"/>
          <w:highlight w:val="none"/>
        </w:rPr>
        <w:t>万元，</w:t>
      </w:r>
      <w:r>
        <w:rPr>
          <w:rFonts w:hint="eastAsia"/>
          <w:color w:val="auto"/>
          <w:highlight w:val="none"/>
          <w:lang w:eastAsia="zh-CN"/>
        </w:rPr>
        <w:t>较上年</w:t>
      </w:r>
      <w:r>
        <w:rPr>
          <w:rFonts w:hint="eastAsia"/>
          <w:color w:val="auto"/>
          <w:highlight w:val="none"/>
        </w:rPr>
        <w:t>减少</w:t>
      </w:r>
      <w:r>
        <w:rPr>
          <w:rFonts w:hint="eastAsia"/>
          <w:color w:val="auto"/>
          <w:highlight w:val="none"/>
          <w:lang w:val="en-US" w:eastAsia="zh-CN"/>
        </w:rPr>
        <w:t>7.49</w:t>
      </w:r>
      <w:r>
        <w:rPr>
          <w:rFonts w:hint="eastAsia"/>
          <w:color w:val="auto"/>
          <w:highlight w:val="none"/>
        </w:rPr>
        <w:t>万元</w:t>
      </w:r>
      <w:r>
        <w:rPr>
          <w:rFonts w:hint="eastAsia"/>
          <w:color w:val="auto"/>
          <w:highlight w:val="none"/>
          <w:lang w:eastAsia="zh-CN"/>
        </w:rPr>
        <w:t>（</w:t>
      </w:r>
      <w:r>
        <w:rPr>
          <w:rFonts w:hint="eastAsia"/>
          <w:color w:val="auto"/>
          <w:highlight w:val="none"/>
          <w:lang w:val="en-US" w:eastAsia="zh-CN"/>
        </w:rPr>
        <w:t>4.85%</w:t>
      </w:r>
      <w:r>
        <w:rPr>
          <w:rFonts w:hint="eastAsia"/>
          <w:color w:val="auto"/>
          <w:highlight w:val="none"/>
          <w:lang w:eastAsia="zh-CN"/>
        </w:rPr>
        <w:t>）</w:t>
      </w:r>
      <w:r>
        <w:rPr>
          <w:rFonts w:hint="eastAsia"/>
          <w:color w:val="auto"/>
          <w:highlight w:val="none"/>
        </w:rPr>
        <w:t>，主要原因</w:t>
      </w:r>
      <w:r>
        <w:rPr>
          <w:rFonts w:hint="eastAsia"/>
          <w:color w:val="auto"/>
          <w:highlight w:val="none"/>
          <w:lang w:val="en-US" w:eastAsia="zh-CN"/>
        </w:rPr>
        <w:t>是机构改革后压缩经费预算，减少公用经费支出所致</w:t>
      </w:r>
      <w:r>
        <w:rPr>
          <w:rFonts w:hint="eastAsia"/>
          <w:color w:val="auto"/>
          <w:highlight w:val="none"/>
        </w:rPr>
        <w:t>。</w:t>
      </w:r>
    </w:p>
    <w:p>
      <w:pPr>
        <w:bidi w:val="0"/>
        <w:rPr>
          <w:rFonts w:hint="eastAsia"/>
          <w:color w:val="auto"/>
          <w:highlight w:val="none"/>
          <w:lang w:eastAsia="zh-CN"/>
        </w:rPr>
      </w:pPr>
      <w:r>
        <w:rPr>
          <w:rFonts w:hint="eastAsia"/>
          <w:color w:val="auto"/>
          <w:highlight w:val="none"/>
        </w:rPr>
        <w:t>本部门</w:t>
      </w:r>
      <w:r>
        <w:rPr>
          <w:rFonts w:hint="eastAsia"/>
          <w:color w:val="auto"/>
          <w:highlight w:val="none"/>
          <w:lang w:eastAsia="zh-CN"/>
        </w:rPr>
        <w:t>20</w:t>
      </w:r>
      <w:r>
        <w:rPr>
          <w:rFonts w:hint="eastAsia"/>
          <w:color w:val="auto"/>
          <w:highlight w:val="none"/>
          <w:lang w:val="en-US" w:eastAsia="zh-CN"/>
        </w:rPr>
        <w:t>19</w:t>
      </w:r>
      <w:r>
        <w:rPr>
          <w:rFonts w:hint="eastAsia"/>
          <w:color w:val="auto"/>
          <w:highlight w:val="none"/>
          <w:lang w:eastAsia="zh-CN"/>
        </w:rPr>
        <w:t>年</w:t>
      </w:r>
      <w:r>
        <w:rPr>
          <w:rFonts w:hint="eastAsia"/>
          <w:color w:val="auto"/>
          <w:highlight w:val="none"/>
        </w:rPr>
        <w:t>结转的</w:t>
      </w:r>
      <w:r>
        <w:rPr>
          <w:rFonts w:hint="eastAsia" w:ascii="仿宋" w:hAnsi="仿宋" w:eastAsia="仿宋" w:cs="仿宋"/>
          <w:sz w:val="32"/>
          <w:szCs w:val="32"/>
        </w:rPr>
        <w:t>财政拨款支出</w:t>
      </w:r>
      <w:r>
        <w:rPr>
          <w:rFonts w:hint="eastAsia" w:eastAsia="仿宋"/>
          <w:color w:val="auto"/>
          <w:highlight w:val="none"/>
          <w:lang w:val="en-US" w:eastAsia="zh-CN"/>
        </w:rPr>
        <w:t>中</w:t>
      </w:r>
      <w:r>
        <w:rPr>
          <w:rFonts w:hint="eastAsia"/>
          <w:color w:val="auto"/>
          <w:highlight w:val="none"/>
        </w:rPr>
        <w:t>无机关运行</w:t>
      </w:r>
      <w:r>
        <w:rPr>
          <w:rFonts w:hint="eastAsia"/>
          <w:color w:val="auto"/>
          <w:highlight w:val="none"/>
          <w:lang w:val="en-US" w:eastAsia="zh-CN"/>
        </w:rPr>
        <w:t>经</w:t>
      </w:r>
      <w:r>
        <w:rPr>
          <w:rFonts w:hint="eastAsia"/>
          <w:color w:val="auto"/>
          <w:highlight w:val="none"/>
        </w:rPr>
        <w:t>费支出</w:t>
      </w:r>
      <w:r>
        <w:rPr>
          <w:rFonts w:hint="eastAsia"/>
          <w:color w:val="auto"/>
          <w:highlight w:val="none"/>
          <w:lang w:eastAsia="zh-CN"/>
        </w:rPr>
        <w:t>。</w:t>
      </w:r>
    </w:p>
    <w:p>
      <w:pPr>
        <w:pStyle w:val="2"/>
        <w:bidi w:val="0"/>
        <w:rPr>
          <w:rFonts w:hint="eastAsia"/>
        </w:rPr>
      </w:pPr>
      <w:r>
        <w:rPr>
          <w:rFonts w:hint="eastAsia"/>
        </w:rPr>
        <w:t>专业名词解释</w:t>
      </w:r>
    </w:p>
    <w:p>
      <w:pPr>
        <w:bidi w:val="0"/>
      </w:pPr>
      <w:r>
        <w:t>1</w:t>
      </w:r>
      <w:r>
        <w:rPr>
          <w:rFonts w:hint="eastAsia"/>
          <w:lang w:val="en-US" w:eastAsia="zh-CN"/>
        </w:rPr>
        <w:t>.</w:t>
      </w:r>
      <w:r>
        <w:t>机关运行经费：</w:t>
      </w:r>
      <w:r>
        <w:rPr>
          <w:rFonts w:hint="eastAsia"/>
          <w:lang w:val="en-US" w:eastAsia="zh-CN"/>
        </w:rPr>
        <w:t>是</w:t>
      </w:r>
      <w:r>
        <w:t>指各部门的公用经费，包括办公及印刷费、邮电费、差旅费、会议费、福利费、日常维修费、专用材料及一般设备购置费、办公用房水电费、办公用房取暖费、办公用房物业管理费、公务用车运行维护费以及其他费用。</w:t>
      </w:r>
    </w:p>
    <w:p>
      <w:pPr>
        <w:bidi w:val="0"/>
      </w:pPr>
      <w:r>
        <w:t>2</w:t>
      </w:r>
      <w:r>
        <w:rPr>
          <w:rFonts w:hint="eastAsia"/>
          <w:lang w:val="en-US" w:eastAsia="zh-CN"/>
        </w:rPr>
        <w:t>.</w:t>
      </w:r>
      <w:r>
        <w:t>“三公”经费：</w:t>
      </w:r>
      <w:r>
        <w:rPr>
          <w:rFonts w:hint="eastAsia"/>
          <w:lang w:val="en-US" w:eastAsia="zh-CN"/>
        </w:rPr>
        <w:t>是</w:t>
      </w:r>
      <w: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bidi w:val="0"/>
        <w:rPr>
          <w:rFonts w:hint="eastAsia"/>
          <w:lang w:val="en-US" w:eastAsia="zh-CN"/>
        </w:rPr>
      </w:pPr>
      <w:r>
        <w:rPr>
          <w:rFonts w:hint="eastAsia"/>
          <w:lang w:val="en-US" w:eastAsia="zh-CN"/>
        </w:rPr>
        <w:t>3.地质灾害防治：是指对由于自然作用或人为因素诱发的对人民生命和财产安全造成危害的山体崩塌、滑坡、泥石流、地面塌陷、地裂缝、地面沉降等地质现象，通过有效的地质工程手段，改变这些地质灾害产生的过程，以达到减轻或防止灾害发生的目的。</w:t>
      </w:r>
    </w:p>
    <w:p>
      <w:pPr>
        <w:bidi w:val="0"/>
        <w:rPr>
          <w:rFonts w:hint="eastAsia"/>
          <w:lang w:val="en-US" w:eastAsia="zh-CN"/>
        </w:rPr>
      </w:pPr>
      <w:r>
        <w:rPr>
          <w:rFonts w:hint="eastAsia"/>
          <w:lang w:val="en-US" w:eastAsia="zh-CN"/>
        </w:rPr>
        <w:t>4.城乡社区规划与管理：是指根据城乡经济发展水平和统筹城乡发展的需要，对一定时期内城市、镇和村庄的建成区以及因城乡建设和发展需要必须实行规划控制的区域，确定其性质、规模和发展方向，合理利用土地，协调空间布局和各项建设所作的综合部署和具体安排。</w:t>
      </w:r>
    </w:p>
    <w:p>
      <w:pPr>
        <w:bidi w:val="0"/>
        <w:rPr>
          <w:rFonts w:hint="eastAsia"/>
          <w:lang w:val="en-US" w:eastAsia="zh-CN"/>
        </w:rPr>
      </w:pPr>
    </w:p>
    <w:p>
      <w:pPr>
        <w:pStyle w:val="30"/>
        <w:bidi w:val="0"/>
        <w:rPr>
          <w:rFonts w:hint="eastAsia"/>
          <w:lang w:val="en-US" w:eastAsia="zh-CN"/>
        </w:rPr>
      </w:pPr>
      <w:r>
        <w:rPr>
          <w:rFonts w:hint="eastAsia"/>
          <w:lang w:val="en-US" w:eastAsia="zh-CN"/>
        </w:rPr>
        <w:t>第四部分  公开报表</w:t>
      </w:r>
    </w:p>
    <w:p>
      <w:pPr>
        <w:bidi w:val="0"/>
        <w:rPr>
          <w:rFonts w:hint="default"/>
          <w:lang w:val="en-US" w:eastAsia="zh-CN"/>
        </w:rPr>
      </w:pPr>
    </w:p>
    <w:p>
      <w:pPr>
        <w:bidi w:val="0"/>
        <w:rPr>
          <w:rFonts w:hint="default"/>
          <w:lang w:val="en-US" w:eastAsia="zh-CN"/>
        </w:rPr>
      </w:pPr>
      <w:r>
        <w:rPr>
          <w:rFonts w:hint="eastAsia"/>
        </w:rPr>
        <w:t>（见附件2内容）</w:t>
      </w:r>
    </w:p>
    <w:sectPr>
      <w:pgSz w:w="11906" w:h="16838"/>
      <w:pgMar w:top="2098" w:right="1474" w:bottom="1984" w:left="1587" w:header="850" w:footer="158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52"/>
                              <w:lang w:eastAsia="zh-CN"/>
                            </w:rPr>
                            <w:fldChar w:fldCharType="begin"/>
                          </w:r>
                          <w:r>
                            <w:rPr>
                              <w:rFonts w:hint="eastAsia" w:ascii="宋体" w:hAnsi="宋体" w:eastAsia="宋体" w:cs="宋体"/>
                              <w:sz w:val="28"/>
                              <w:szCs w:val="52"/>
                              <w:lang w:eastAsia="zh-CN"/>
                            </w:rPr>
                            <w:instrText xml:space="preserve"> PAGE  \* MERGEFORMAT </w:instrText>
                          </w:r>
                          <w:r>
                            <w:rPr>
                              <w:rFonts w:hint="eastAsia" w:ascii="宋体" w:hAnsi="宋体" w:eastAsia="宋体" w:cs="宋体"/>
                              <w:sz w:val="28"/>
                              <w:szCs w:val="52"/>
                              <w:lang w:eastAsia="zh-CN"/>
                            </w:rPr>
                            <w:fldChar w:fldCharType="separate"/>
                          </w:r>
                          <w:r>
                            <w:rPr>
                              <w:rFonts w:hint="eastAsia" w:ascii="宋体" w:hAnsi="宋体" w:eastAsia="宋体" w:cs="宋体"/>
                              <w:sz w:val="28"/>
                              <w:szCs w:val="52"/>
                            </w:rPr>
                            <w:t>- 3 -</w:t>
                          </w:r>
                          <w:r>
                            <w:rPr>
                              <w:rFonts w:hint="eastAsia" w:ascii="宋体" w:hAnsi="宋体" w:eastAsia="宋体" w:cs="宋体"/>
                              <w:sz w:val="28"/>
                              <w:szCs w:val="52"/>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52"/>
                        <w:lang w:eastAsia="zh-CN"/>
                      </w:rPr>
                      <w:fldChar w:fldCharType="begin"/>
                    </w:r>
                    <w:r>
                      <w:rPr>
                        <w:rFonts w:hint="eastAsia" w:ascii="宋体" w:hAnsi="宋体" w:eastAsia="宋体" w:cs="宋体"/>
                        <w:sz w:val="28"/>
                        <w:szCs w:val="52"/>
                        <w:lang w:eastAsia="zh-CN"/>
                      </w:rPr>
                      <w:instrText xml:space="preserve"> PAGE  \* MERGEFORMAT </w:instrText>
                    </w:r>
                    <w:r>
                      <w:rPr>
                        <w:rFonts w:hint="eastAsia" w:ascii="宋体" w:hAnsi="宋体" w:eastAsia="宋体" w:cs="宋体"/>
                        <w:sz w:val="28"/>
                        <w:szCs w:val="52"/>
                        <w:lang w:eastAsia="zh-CN"/>
                      </w:rPr>
                      <w:fldChar w:fldCharType="separate"/>
                    </w:r>
                    <w:r>
                      <w:rPr>
                        <w:rFonts w:hint="eastAsia" w:ascii="宋体" w:hAnsi="宋体" w:eastAsia="宋体" w:cs="宋体"/>
                        <w:sz w:val="28"/>
                        <w:szCs w:val="52"/>
                      </w:rPr>
                      <w:t>- 3 -</w:t>
                    </w:r>
                    <w:r>
                      <w:rPr>
                        <w:rFonts w:hint="eastAsia" w:ascii="宋体" w:hAnsi="宋体" w:eastAsia="宋体" w:cs="宋体"/>
                        <w:sz w:val="28"/>
                        <w:szCs w:val="5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52"/>
                              <w:lang w:eastAsia="zh-CN"/>
                            </w:rPr>
                            <w:fldChar w:fldCharType="begin"/>
                          </w:r>
                          <w:r>
                            <w:rPr>
                              <w:rFonts w:hint="eastAsia" w:ascii="宋体" w:hAnsi="宋体" w:eastAsia="宋体" w:cs="宋体"/>
                              <w:sz w:val="28"/>
                              <w:szCs w:val="52"/>
                              <w:lang w:eastAsia="zh-CN"/>
                            </w:rPr>
                            <w:instrText xml:space="preserve"> PAGE  \* MERGEFORMAT </w:instrText>
                          </w:r>
                          <w:r>
                            <w:rPr>
                              <w:rFonts w:hint="eastAsia" w:ascii="宋体" w:hAnsi="宋体" w:eastAsia="宋体" w:cs="宋体"/>
                              <w:sz w:val="28"/>
                              <w:szCs w:val="52"/>
                              <w:lang w:eastAsia="zh-CN"/>
                            </w:rPr>
                            <w:fldChar w:fldCharType="separate"/>
                          </w:r>
                          <w:r>
                            <w:rPr>
                              <w:rFonts w:hint="eastAsia" w:ascii="宋体" w:hAnsi="宋体" w:eastAsia="宋体" w:cs="宋体"/>
                              <w:sz w:val="28"/>
                              <w:szCs w:val="52"/>
                            </w:rPr>
                            <w:t>2</w:t>
                          </w:r>
                          <w:r>
                            <w:rPr>
                              <w:rFonts w:hint="eastAsia" w:ascii="宋体" w:hAnsi="宋体" w:eastAsia="宋体" w:cs="宋体"/>
                              <w:sz w:val="28"/>
                              <w:szCs w:val="52"/>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Aoytrz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52"/>
                        <w:lang w:eastAsia="zh-CN"/>
                      </w:rPr>
                      <w:fldChar w:fldCharType="begin"/>
                    </w:r>
                    <w:r>
                      <w:rPr>
                        <w:rFonts w:hint="eastAsia" w:ascii="宋体" w:hAnsi="宋体" w:eastAsia="宋体" w:cs="宋体"/>
                        <w:sz w:val="28"/>
                        <w:szCs w:val="52"/>
                        <w:lang w:eastAsia="zh-CN"/>
                      </w:rPr>
                      <w:instrText xml:space="preserve"> PAGE  \* MERGEFORMAT </w:instrText>
                    </w:r>
                    <w:r>
                      <w:rPr>
                        <w:rFonts w:hint="eastAsia" w:ascii="宋体" w:hAnsi="宋体" w:eastAsia="宋体" w:cs="宋体"/>
                        <w:sz w:val="28"/>
                        <w:szCs w:val="52"/>
                        <w:lang w:eastAsia="zh-CN"/>
                      </w:rPr>
                      <w:fldChar w:fldCharType="separate"/>
                    </w:r>
                    <w:r>
                      <w:rPr>
                        <w:rFonts w:hint="eastAsia" w:ascii="宋体" w:hAnsi="宋体" w:eastAsia="宋体" w:cs="宋体"/>
                        <w:sz w:val="28"/>
                        <w:szCs w:val="52"/>
                      </w:rPr>
                      <w:t>2</w:t>
                    </w:r>
                    <w:r>
                      <w:rPr>
                        <w:rFonts w:hint="eastAsia" w:ascii="宋体" w:hAnsi="宋体" w:eastAsia="宋体" w:cs="宋体"/>
                        <w:sz w:val="28"/>
                        <w:szCs w:val="5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A904B"/>
    <w:multiLevelType w:val="multilevel"/>
    <w:tmpl w:val="58AA904B"/>
    <w:lvl w:ilvl="0" w:tentative="0">
      <w:start w:val="1"/>
      <w:numFmt w:val="chineseCounting"/>
      <w:pStyle w:val="2"/>
      <w:suff w:val="nothing"/>
      <w:lvlText w:val="%1、"/>
      <w:lvlJc w:val="left"/>
      <w:pPr>
        <w:tabs>
          <w:tab w:val="left" w:pos="0"/>
        </w:tabs>
        <w:ind w:left="0" w:firstLine="624"/>
      </w:pPr>
      <w:rPr>
        <w:rFonts w:hint="eastAsia" w:ascii="黑体" w:hAnsi="黑体" w:eastAsia="黑体" w:cs="黑体"/>
        <w:sz w:val="32"/>
        <w:szCs w:val="32"/>
      </w:rPr>
    </w:lvl>
    <w:lvl w:ilvl="1" w:tentative="0">
      <w:start w:val="1"/>
      <w:numFmt w:val="chineseCounting"/>
      <w:pStyle w:val="3"/>
      <w:suff w:val="nothing"/>
      <w:lvlText w:val="(%2)"/>
      <w:lvlJc w:val="left"/>
      <w:pPr>
        <w:tabs>
          <w:tab w:val="left" w:pos="0"/>
        </w:tabs>
        <w:ind w:left="0" w:firstLine="624"/>
      </w:pPr>
      <w:rPr>
        <w:rFonts w:hint="eastAsia" w:ascii="楷体_GB2312" w:hAnsi="楷体_GB2312" w:eastAsia="楷体_GB2312" w:cs="楷体_GB2312"/>
        <w:b/>
        <w:bCs/>
        <w:sz w:val="32"/>
        <w:szCs w:val="32"/>
      </w:rPr>
    </w:lvl>
    <w:lvl w:ilvl="2" w:tentative="0">
      <w:start w:val="1"/>
      <w:numFmt w:val="decimal"/>
      <w:pStyle w:val="4"/>
      <w:suff w:val="nothing"/>
      <w:lvlText w:val="%3."/>
      <w:lvlJc w:val="left"/>
      <w:pPr>
        <w:tabs>
          <w:tab w:val="left" w:pos="0"/>
        </w:tabs>
        <w:ind w:left="0" w:firstLine="624"/>
      </w:pPr>
      <w:rPr>
        <w:rFonts w:hint="eastAsia" w:ascii="仿宋_GB2312" w:hAnsi="仿宋_GB2312" w:eastAsia="仿宋_GB2312" w:cs="仿宋_GB2312"/>
        <w:b/>
        <w:bCs/>
        <w:i w:val="0"/>
        <w:iCs w:val="0"/>
        <w:caps w:val="0"/>
        <w:smallCaps w:val="0"/>
        <w:strike w:val="0"/>
        <w:dstrike w:val="0"/>
        <w:outline w:val="0"/>
        <w:shadow w:val="0"/>
        <w:emboss w:val="0"/>
        <w:imprint w:val="0"/>
        <w:vanish w:val="0"/>
        <w:spacing w:val="0"/>
        <w:position w:val="0"/>
        <w:sz w:val="32"/>
        <w:szCs w:val="32"/>
        <w:u w:val="none"/>
        <w:vertAlign w:val="baseline"/>
      </w:rPr>
    </w:lvl>
    <w:lvl w:ilvl="3" w:tentative="0">
      <w:start w:val="1"/>
      <w:numFmt w:val="decimal"/>
      <w:pStyle w:val="5"/>
      <w:suff w:val="nothing"/>
      <w:lvlText w:val="(%4)"/>
      <w:lvlJc w:val="left"/>
      <w:pPr>
        <w:tabs>
          <w:tab w:val="left" w:pos="0"/>
        </w:tabs>
        <w:ind w:left="0" w:firstLine="402"/>
      </w:pPr>
      <w:rPr>
        <w:rFonts w:hint="eastAsia" w:ascii="仿宋_GB2312" w:hAnsi="仿宋_GB2312" w:eastAsia="仿宋_GB2312" w:cs="仿宋_GB2312"/>
        <w:b/>
        <w:bCs/>
        <w:sz w:val="32"/>
        <w:szCs w:val="32"/>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31569"/>
    <w:rsid w:val="00000F82"/>
    <w:rsid w:val="00023451"/>
    <w:rsid w:val="00023DC8"/>
    <w:rsid w:val="00026D3F"/>
    <w:rsid w:val="000361F3"/>
    <w:rsid w:val="0004622F"/>
    <w:rsid w:val="00047854"/>
    <w:rsid w:val="00077FF3"/>
    <w:rsid w:val="00080E55"/>
    <w:rsid w:val="00085F08"/>
    <w:rsid w:val="00086D46"/>
    <w:rsid w:val="00095416"/>
    <w:rsid w:val="000A56C6"/>
    <w:rsid w:val="000A5794"/>
    <w:rsid w:val="000F3D9E"/>
    <w:rsid w:val="0010095D"/>
    <w:rsid w:val="00113C42"/>
    <w:rsid w:val="001267FF"/>
    <w:rsid w:val="00134D29"/>
    <w:rsid w:val="001366C2"/>
    <w:rsid w:val="0013757F"/>
    <w:rsid w:val="00137B2C"/>
    <w:rsid w:val="00153B85"/>
    <w:rsid w:val="001602B4"/>
    <w:rsid w:val="001606E4"/>
    <w:rsid w:val="001925F1"/>
    <w:rsid w:val="0019272A"/>
    <w:rsid w:val="001A1652"/>
    <w:rsid w:val="001A4012"/>
    <w:rsid w:val="001B0391"/>
    <w:rsid w:val="001C00D7"/>
    <w:rsid w:val="001C6269"/>
    <w:rsid w:val="001C7F9B"/>
    <w:rsid w:val="001D17D1"/>
    <w:rsid w:val="001D5202"/>
    <w:rsid w:val="001E77D9"/>
    <w:rsid w:val="001F39BD"/>
    <w:rsid w:val="002252C7"/>
    <w:rsid w:val="00232DB0"/>
    <w:rsid w:val="00235307"/>
    <w:rsid w:val="002432B3"/>
    <w:rsid w:val="00246C91"/>
    <w:rsid w:val="00246DCB"/>
    <w:rsid w:val="0025248F"/>
    <w:rsid w:val="00252BA1"/>
    <w:rsid w:val="00260BC5"/>
    <w:rsid w:val="00260D71"/>
    <w:rsid w:val="00262752"/>
    <w:rsid w:val="0028565E"/>
    <w:rsid w:val="00287A29"/>
    <w:rsid w:val="00292257"/>
    <w:rsid w:val="002A1118"/>
    <w:rsid w:val="002A6844"/>
    <w:rsid w:val="002B2B88"/>
    <w:rsid w:val="002C3AE7"/>
    <w:rsid w:val="002C4342"/>
    <w:rsid w:val="002E0AA1"/>
    <w:rsid w:val="002E6FED"/>
    <w:rsid w:val="002F2863"/>
    <w:rsid w:val="002F6C1E"/>
    <w:rsid w:val="00321BB7"/>
    <w:rsid w:val="00325264"/>
    <w:rsid w:val="0034365E"/>
    <w:rsid w:val="00350524"/>
    <w:rsid w:val="00350E68"/>
    <w:rsid w:val="00353973"/>
    <w:rsid w:val="00357253"/>
    <w:rsid w:val="0036345B"/>
    <w:rsid w:val="0037297A"/>
    <w:rsid w:val="00374973"/>
    <w:rsid w:val="003B49AC"/>
    <w:rsid w:val="003B76B1"/>
    <w:rsid w:val="003C045F"/>
    <w:rsid w:val="003C0A9C"/>
    <w:rsid w:val="003C34EF"/>
    <w:rsid w:val="003C42F4"/>
    <w:rsid w:val="003C46FE"/>
    <w:rsid w:val="003C6A6A"/>
    <w:rsid w:val="003D3ED5"/>
    <w:rsid w:val="003D593F"/>
    <w:rsid w:val="003E03A6"/>
    <w:rsid w:val="003F0917"/>
    <w:rsid w:val="003F4787"/>
    <w:rsid w:val="00402F8F"/>
    <w:rsid w:val="00417F12"/>
    <w:rsid w:val="00425315"/>
    <w:rsid w:val="0043003F"/>
    <w:rsid w:val="00433722"/>
    <w:rsid w:val="00434BC0"/>
    <w:rsid w:val="00440E7C"/>
    <w:rsid w:val="00442995"/>
    <w:rsid w:val="004447FF"/>
    <w:rsid w:val="00456C9C"/>
    <w:rsid w:val="004745A3"/>
    <w:rsid w:val="004A1308"/>
    <w:rsid w:val="004A2BB9"/>
    <w:rsid w:val="004B6ADB"/>
    <w:rsid w:val="004B715F"/>
    <w:rsid w:val="004B72EA"/>
    <w:rsid w:val="004D6779"/>
    <w:rsid w:val="00506DAE"/>
    <w:rsid w:val="005105FE"/>
    <w:rsid w:val="00514894"/>
    <w:rsid w:val="0053235E"/>
    <w:rsid w:val="005409A4"/>
    <w:rsid w:val="005458F4"/>
    <w:rsid w:val="005575B5"/>
    <w:rsid w:val="005A1E1D"/>
    <w:rsid w:val="005A3647"/>
    <w:rsid w:val="005A4949"/>
    <w:rsid w:val="005B6CE7"/>
    <w:rsid w:val="005D1C11"/>
    <w:rsid w:val="005D3FBC"/>
    <w:rsid w:val="005D415C"/>
    <w:rsid w:val="00606C4C"/>
    <w:rsid w:val="00612834"/>
    <w:rsid w:val="0064530C"/>
    <w:rsid w:val="00645F2F"/>
    <w:rsid w:val="00656D0A"/>
    <w:rsid w:val="00671507"/>
    <w:rsid w:val="00694EA1"/>
    <w:rsid w:val="0069535F"/>
    <w:rsid w:val="006A243A"/>
    <w:rsid w:val="006A2641"/>
    <w:rsid w:val="006B20CA"/>
    <w:rsid w:val="006B5403"/>
    <w:rsid w:val="006B765E"/>
    <w:rsid w:val="006C0918"/>
    <w:rsid w:val="006C1206"/>
    <w:rsid w:val="006C4B09"/>
    <w:rsid w:val="006D3DC4"/>
    <w:rsid w:val="0070409F"/>
    <w:rsid w:val="00705203"/>
    <w:rsid w:val="007117DE"/>
    <w:rsid w:val="00730F3B"/>
    <w:rsid w:val="00737517"/>
    <w:rsid w:val="00741EAA"/>
    <w:rsid w:val="00752086"/>
    <w:rsid w:val="00756B3A"/>
    <w:rsid w:val="0076253F"/>
    <w:rsid w:val="00777B0A"/>
    <w:rsid w:val="00793106"/>
    <w:rsid w:val="007E365D"/>
    <w:rsid w:val="007E526B"/>
    <w:rsid w:val="007F303C"/>
    <w:rsid w:val="007F4DA3"/>
    <w:rsid w:val="007F6934"/>
    <w:rsid w:val="00806092"/>
    <w:rsid w:val="00820634"/>
    <w:rsid w:val="00850903"/>
    <w:rsid w:val="00864D87"/>
    <w:rsid w:val="0086503F"/>
    <w:rsid w:val="008711A5"/>
    <w:rsid w:val="00872A05"/>
    <w:rsid w:val="00892F4A"/>
    <w:rsid w:val="008931E6"/>
    <w:rsid w:val="00894916"/>
    <w:rsid w:val="00896810"/>
    <w:rsid w:val="00897A5D"/>
    <w:rsid w:val="008A3E2B"/>
    <w:rsid w:val="008A7309"/>
    <w:rsid w:val="008B0106"/>
    <w:rsid w:val="008B4D99"/>
    <w:rsid w:val="008C45B1"/>
    <w:rsid w:val="008F319B"/>
    <w:rsid w:val="00905D64"/>
    <w:rsid w:val="009065C0"/>
    <w:rsid w:val="00913329"/>
    <w:rsid w:val="009157AC"/>
    <w:rsid w:val="009215AC"/>
    <w:rsid w:val="00932A53"/>
    <w:rsid w:val="009343C6"/>
    <w:rsid w:val="00951646"/>
    <w:rsid w:val="00956A18"/>
    <w:rsid w:val="009653A5"/>
    <w:rsid w:val="00967BD8"/>
    <w:rsid w:val="00976B23"/>
    <w:rsid w:val="009841D6"/>
    <w:rsid w:val="00990FDD"/>
    <w:rsid w:val="009A7449"/>
    <w:rsid w:val="009B17B2"/>
    <w:rsid w:val="009C3486"/>
    <w:rsid w:val="009C58CC"/>
    <w:rsid w:val="009D0588"/>
    <w:rsid w:val="009D0D1A"/>
    <w:rsid w:val="009D2F71"/>
    <w:rsid w:val="009E3D1C"/>
    <w:rsid w:val="009E5234"/>
    <w:rsid w:val="009F3BA6"/>
    <w:rsid w:val="00A1268D"/>
    <w:rsid w:val="00A43088"/>
    <w:rsid w:val="00A438BD"/>
    <w:rsid w:val="00A61F50"/>
    <w:rsid w:val="00A620C2"/>
    <w:rsid w:val="00A716BA"/>
    <w:rsid w:val="00A71942"/>
    <w:rsid w:val="00A7410D"/>
    <w:rsid w:val="00A83528"/>
    <w:rsid w:val="00A91BD9"/>
    <w:rsid w:val="00A91C06"/>
    <w:rsid w:val="00A92E4A"/>
    <w:rsid w:val="00AA078E"/>
    <w:rsid w:val="00AA302C"/>
    <w:rsid w:val="00AA7873"/>
    <w:rsid w:val="00AC55B8"/>
    <w:rsid w:val="00AD2602"/>
    <w:rsid w:val="00AE6FF2"/>
    <w:rsid w:val="00B11D1D"/>
    <w:rsid w:val="00B13CD6"/>
    <w:rsid w:val="00B33C44"/>
    <w:rsid w:val="00B464F7"/>
    <w:rsid w:val="00B64CD9"/>
    <w:rsid w:val="00B702CD"/>
    <w:rsid w:val="00B70D97"/>
    <w:rsid w:val="00B72C7C"/>
    <w:rsid w:val="00B93291"/>
    <w:rsid w:val="00B9466D"/>
    <w:rsid w:val="00BC068E"/>
    <w:rsid w:val="00BC24EC"/>
    <w:rsid w:val="00BC7DAA"/>
    <w:rsid w:val="00BD2AFD"/>
    <w:rsid w:val="00BD4EB2"/>
    <w:rsid w:val="00BD57E0"/>
    <w:rsid w:val="00BD61AF"/>
    <w:rsid w:val="00BD6E83"/>
    <w:rsid w:val="00BE3F36"/>
    <w:rsid w:val="00BE5C3D"/>
    <w:rsid w:val="00BF1F39"/>
    <w:rsid w:val="00C27733"/>
    <w:rsid w:val="00C30CC9"/>
    <w:rsid w:val="00C400D9"/>
    <w:rsid w:val="00C41354"/>
    <w:rsid w:val="00C5549A"/>
    <w:rsid w:val="00C60453"/>
    <w:rsid w:val="00C60A07"/>
    <w:rsid w:val="00C60ABA"/>
    <w:rsid w:val="00C612F4"/>
    <w:rsid w:val="00C6677E"/>
    <w:rsid w:val="00C7683A"/>
    <w:rsid w:val="00C87F44"/>
    <w:rsid w:val="00C9221A"/>
    <w:rsid w:val="00CA0D8A"/>
    <w:rsid w:val="00CB22EE"/>
    <w:rsid w:val="00CB73EA"/>
    <w:rsid w:val="00CB77A8"/>
    <w:rsid w:val="00CC0EC9"/>
    <w:rsid w:val="00CF6C55"/>
    <w:rsid w:val="00CF7616"/>
    <w:rsid w:val="00D0213B"/>
    <w:rsid w:val="00D10B50"/>
    <w:rsid w:val="00D17317"/>
    <w:rsid w:val="00D2466A"/>
    <w:rsid w:val="00D26561"/>
    <w:rsid w:val="00D9041A"/>
    <w:rsid w:val="00D91BB9"/>
    <w:rsid w:val="00D961D1"/>
    <w:rsid w:val="00D968CB"/>
    <w:rsid w:val="00DA4B51"/>
    <w:rsid w:val="00DB46CA"/>
    <w:rsid w:val="00DF3CF8"/>
    <w:rsid w:val="00E1244B"/>
    <w:rsid w:val="00E16F9A"/>
    <w:rsid w:val="00E20B1F"/>
    <w:rsid w:val="00E31758"/>
    <w:rsid w:val="00E406C7"/>
    <w:rsid w:val="00E406E7"/>
    <w:rsid w:val="00E73A52"/>
    <w:rsid w:val="00E82636"/>
    <w:rsid w:val="00EA6F90"/>
    <w:rsid w:val="00EB4971"/>
    <w:rsid w:val="00ED10C1"/>
    <w:rsid w:val="00ED4694"/>
    <w:rsid w:val="00EF1483"/>
    <w:rsid w:val="00EF244B"/>
    <w:rsid w:val="00EF3428"/>
    <w:rsid w:val="00F03648"/>
    <w:rsid w:val="00F03B0D"/>
    <w:rsid w:val="00F429D6"/>
    <w:rsid w:val="00F51EE7"/>
    <w:rsid w:val="00F66101"/>
    <w:rsid w:val="00F8123F"/>
    <w:rsid w:val="00F82C1A"/>
    <w:rsid w:val="00F87D48"/>
    <w:rsid w:val="00F9000F"/>
    <w:rsid w:val="00F91F38"/>
    <w:rsid w:val="00F93CA4"/>
    <w:rsid w:val="00FB3F35"/>
    <w:rsid w:val="00FB4029"/>
    <w:rsid w:val="00FB580B"/>
    <w:rsid w:val="00FE1036"/>
    <w:rsid w:val="00FF0878"/>
    <w:rsid w:val="010615A7"/>
    <w:rsid w:val="01112458"/>
    <w:rsid w:val="01170D44"/>
    <w:rsid w:val="012370DA"/>
    <w:rsid w:val="01287921"/>
    <w:rsid w:val="012B00AA"/>
    <w:rsid w:val="012D7DFA"/>
    <w:rsid w:val="012E0F2C"/>
    <w:rsid w:val="013150FE"/>
    <w:rsid w:val="0132126C"/>
    <w:rsid w:val="01366F84"/>
    <w:rsid w:val="01371D49"/>
    <w:rsid w:val="01381C75"/>
    <w:rsid w:val="013B2096"/>
    <w:rsid w:val="013C3D62"/>
    <w:rsid w:val="01447024"/>
    <w:rsid w:val="0149689E"/>
    <w:rsid w:val="01496D5D"/>
    <w:rsid w:val="014E592D"/>
    <w:rsid w:val="0151584D"/>
    <w:rsid w:val="015E5B0F"/>
    <w:rsid w:val="01613E7E"/>
    <w:rsid w:val="016C3810"/>
    <w:rsid w:val="017E6EF7"/>
    <w:rsid w:val="018677C3"/>
    <w:rsid w:val="018A0D1D"/>
    <w:rsid w:val="018B4682"/>
    <w:rsid w:val="019F4320"/>
    <w:rsid w:val="01A34C5D"/>
    <w:rsid w:val="01A43A11"/>
    <w:rsid w:val="01A86149"/>
    <w:rsid w:val="01B23129"/>
    <w:rsid w:val="01B36454"/>
    <w:rsid w:val="01B67E02"/>
    <w:rsid w:val="01B97E54"/>
    <w:rsid w:val="01BC0EF3"/>
    <w:rsid w:val="01BF4C22"/>
    <w:rsid w:val="01D60A6D"/>
    <w:rsid w:val="01E0776A"/>
    <w:rsid w:val="01EA72E7"/>
    <w:rsid w:val="01F30CCD"/>
    <w:rsid w:val="01F326A0"/>
    <w:rsid w:val="01F52F1A"/>
    <w:rsid w:val="01FA08DC"/>
    <w:rsid w:val="01FE04CA"/>
    <w:rsid w:val="02011036"/>
    <w:rsid w:val="020300DE"/>
    <w:rsid w:val="020425F9"/>
    <w:rsid w:val="020A33DD"/>
    <w:rsid w:val="020B122C"/>
    <w:rsid w:val="02114913"/>
    <w:rsid w:val="021262AC"/>
    <w:rsid w:val="02151E5A"/>
    <w:rsid w:val="02170F68"/>
    <w:rsid w:val="02182C28"/>
    <w:rsid w:val="02313145"/>
    <w:rsid w:val="0233674E"/>
    <w:rsid w:val="0240209A"/>
    <w:rsid w:val="02425840"/>
    <w:rsid w:val="02530FD5"/>
    <w:rsid w:val="02534B27"/>
    <w:rsid w:val="02554BFF"/>
    <w:rsid w:val="025846E8"/>
    <w:rsid w:val="025D77C0"/>
    <w:rsid w:val="02654419"/>
    <w:rsid w:val="02661A0A"/>
    <w:rsid w:val="027033ED"/>
    <w:rsid w:val="02717B5D"/>
    <w:rsid w:val="02721689"/>
    <w:rsid w:val="02750C08"/>
    <w:rsid w:val="02817E64"/>
    <w:rsid w:val="028819E1"/>
    <w:rsid w:val="02897589"/>
    <w:rsid w:val="0290774E"/>
    <w:rsid w:val="02A63D2C"/>
    <w:rsid w:val="02A81A97"/>
    <w:rsid w:val="02AD4A2B"/>
    <w:rsid w:val="02AE202D"/>
    <w:rsid w:val="02B33231"/>
    <w:rsid w:val="02B71A16"/>
    <w:rsid w:val="02BA783D"/>
    <w:rsid w:val="02C75858"/>
    <w:rsid w:val="02DB2262"/>
    <w:rsid w:val="02DB634B"/>
    <w:rsid w:val="02DC00F0"/>
    <w:rsid w:val="02DE4CCF"/>
    <w:rsid w:val="02EC2CCA"/>
    <w:rsid w:val="02F37050"/>
    <w:rsid w:val="02F6531C"/>
    <w:rsid w:val="030B6E87"/>
    <w:rsid w:val="031015DD"/>
    <w:rsid w:val="031372F7"/>
    <w:rsid w:val="031567C1"/>
    <w:rsid w:val="032F1BC8"/>
    <w:rsid w:val="033216D5"/>
    <w:rsid w:val="033B41CA"/>
    <w:rsid w:val="03443B9E"/>
    <w:rsid w:val="03456A87"/>
    <w:rsid w:val="034601C3"/>
    <w:rsid w:val="034923A6"/>
    <w:rsid w:val="034A0F51"/>
    <w:rsid w:val="034A1788"/>
    <w:rsid w:val="034D2EE2"/>
    <w:rsid w:val="035E49BF"/>
    <w:rsid w:val="036013C6"/>
    <w:rsid w:val="03626825"/>
    <w:rsid w:val="036352DA"/>
    <w:rsid w:val="03682F7A"/>
    <w:rsid w:val="036D5D95"/>
    <w:rsid w:val="03812B12"/>
    <w:rsid w:val="03853CC8"/>
    <w:rsid w:val="038E3123"/>
    <w:rsid w:val="038F39A8"/>
    <w:rsid w:val="03906B6D"/>
    <w:rsid w:val="03935743"/>
    <w:rsid w:val="03967BC3"/>
    <w:rsid w:val="03972ACB"/>
    <w:rsid w:val="039C04F5"/>
    <w:rsid w:val="03A664E6"/>
    <w:rsid w:val="03A80062"/>
    <w:rsid w:val="03AC4AF7"/>
    <w:rsid w:val="03B62451"/>
    <w:rsid w:val="03BD540F"/>
    <w:rsid w:val="03BF0D7B"/>
    <w:rsid w:val="03CB2A60"/>
    <w:rsid w:val="03CD4419"/>
    <w:rsid w:val="03CF2556"/>
    <w:rsid w:val="03D004D9"/>
    <w:rsid w:val="03D2307E"/>
    <w:rsid w:val="03D252DF"/>
    <w:rsid w:val="03D57506"/>
    <w:rsid w:val="03D66F60"/>
    <w:rsid w:val="03E17D26"/>
    <w:rsid w:val="03E3299A"/>
    <w:rsid w:val="03EC222F"/>
    <w:rsid w:val="03EE4ECE"/>
    <w:rsid w:val="03F647FF"/>
    <w:rsid w:val="03FA2ACB"/>
    <w:rsid w:val="03FE4B28"/>
    <w:rsid w:val="040233E9"/>
    <w:rsid w:val="04036F97"/>
    <w:rsid w:val="04077F66"/>
    <w:rsid w:val="040E3A2A"/>
    <w:rsid w:val="0414232C"/>
    <w:rsid w:val="041639A5"/>
    <w:rsid w:val="041704B5"/>
    <w:rsid w:val="041E08FB"/>
    <w:rsid w:val="041E504B"/>
    <w:rsid w:val="04226569"/>
    <w:rsid w:val="043D4568"/>
    <w:rsid w:val="043D62CA"/>
    <w:rsid w:val="043E543F"/>
    <w:rsid w:val="04501EB9"/>
    <w:rsid w:val="04544FAA"/>
    <w:rsid w:val="0455164A"/>
    <w:rsid w:val="0457533F"/>
    <w:rsid w:val="04595BC8"/>
    <w:rsid w:val="045C04A4"/>
    <w:rsid w:val="0464678D"/>
    <w:rsid w:val="0465124F"/>
    <w:rsid w:val="04655213"/>
    <w:rsid w:val="046934B8"/>
    <w:rsid w:val="04771DB9"/>
    <w:rsid w:val="04793B62"/>
    <w:rsid w:val="0479704E"/>
    <w:rsid w:val="047F676B"/>
    <w:rsid w:val="047F79B2"/>
    <w:rsid w:val="04940D2B"/>
    <w:rsid w:val="04951222"/>
    <w:rsid w:val="049839A6"/>
    <w:rsid w:val="04A3181A"/>
    <w:rsid w:val="04A36FEA"/>
    <w:rsid w:val="04AE0DFA"/>
    <w:rsid w:val="04AF6F40"/>
    <w:rsid w:val="04B5351D"/>
    <w:rsid w:val="04B975CD"/>
    <w:rsid w:val="04BD698E"/>
    <w:rsid w:val="04C45E06"/>
    <w:rsid w:val="04C4750C"/>
    <w:rsid w:val="04C876DA"/>
    <w:rsid w:val="04D32887"/>
    <w:rsid w:val="04D36C50"/>
    <w:rsid w:val="04D81A11"/>
    <w:rsid w:val="04DF36D6"/>
    <w:rsid w:val="04E33431"/>
    <w:rsid w:val="04E51A70"/>
    <w:rsid w:val="04EA5698"/>
    <w:rsid w:val="04EE7674"/>
    <w:rsid w:val="04EF587F"/>
    <w:rsid w:val="04F80069"/>
    <w:rsid w:val="04F90AF0"/>
    <w:rsid w:val="04F90BB9"/>
    <w:rsid w:val="05025B80"/>
    <w:rsid w:val="05084258"/>
    <w:rsid w:val="05097098"/>
    <w:rsid w:val="050B4C96"/>
    <w:rsid w:val="051A3854"/>
    <w:rsid w:val="051F40C8"/>
    <w:rsid w:val="05225DA4"/>
    <w:rsid w:val="05230FFB"/>
    <w:rsid w:val="05271A7F"/>
    <w:rsid w:val="05297E0F"/>
    <w:rsid w:val="052C2978"/>
    <w:rsid w:val="053438A8"/>
    <w:rsid w:val="05364186"/>
    <w:rsid w:val="053C7C19"/>
    <w:rsid w:val="053F3E3B"/>
    <w:rsid w:val="054172DE"/>
    <w:rsid w:val="0542158A"/>
    <w:rsid w:val="05467B9A"/>
    <w:rsid w:val="0547319B"/>
    <w:rsid w:val="05521046"/>
    <w:rsid w:val="05522E10"/>
    <w:rsid w:val="055312D4"/>
    <w:rsid w:val="05646EEF"/>
    <w:rsid w:val="05657AE8"/>
    <w:rsid w:val="056629F5"/>
    <w:rsid w:val="056A4EFC"/>
    <w:rsid w:val="05706DBD"/>
    <w:rsid w:val="05751A66"/>
    <w:rsid w:val="05795DA9"/>
    <w:rsid w:val="058A6C32"/>
    <w:rsid w:val="058E4342"/>
    <w:rsid w:val="058E7502"/>
    <w:rsid w:val="05920723"/>
    <w:rsid w:val="05983843"/>
    <w:rsid w:val="05990473"/>
    <w:rsid w:val="05995A03"/>
    <w:rsid w:val="05AA09D8"/>
    <w:rsid w:val="05AD5920"/>
    <w:rsid w:val="05B95A3F"/>
    <w:rsid w:val="05B96023"/>
    <w:rsid w:val="05BC741F"/>
    <w:rsid w:val="05C03B24"/>
    <w:rsid w:val="05C93448"/>
    <w:rsid w:val="05D870E1"/>
    <w:rsid w:val="05DA3F00"/>
    <w:rsid w:val="05DC4A31"/>
    <w:rsid w:val="05DD310B"/>
    <w:rsid w:val="05DF5712"/>
    <w:rsid w:val="05E10EFD"/>
    <w:rsid w:val="05E24C7B"/>
    <w:rsid w:val="05E55B5A"/>
    <w:rsid w:val="05E647B4"/>
    <w:rsid w:val="05EA11E2"/>
    <w:rsid w:val="05EA32F3"/>
    <w:rsid w:val="05EB1756"/>
    <w:rsid w:val="05F13938"/>
    <w:rsid w:val="05F40EFE"/>
    <w:rsid w:val="05F76467"/>
    <w:rsid w:val="05F8114C"/>
    <w:rsid w:val="05FF219C"/>
    <w:rsid w:val="0604109E"/>
    <w:rsid w:val="06053464"/>
    <w:rsid w:val="060828D1"/>
    <w:rsid w:val="060F0EAF"/>
    <w:rsid w:val="061241C4"/>
    <w:rsid w:val="06156A67"/>
    <w:rsid w:val="061930D9"/>
    <w:rsid w:val="061A2B82"/>
    <w:rsid w:val="0624746C"/>
    <w:rsid w:val="062C369C"/>
    <w:rsid w:val="06302C0B"/>
    <w:rsid w:val="06336E26"/>
    <w:rsid w:val="06341D70"/>
    <w:rsid w:val="063558A8"/>
    <w:rsid w:val="06382683"/>
    <w:rsid w:val="063849F3"/>
    <w:rsid w:val="063F4DE8"/>
    <w:rsid w:val="0644394C"/>
    <w:rsid w:val="06520EAD"/>
    <w:rsid w:val="06520F0F"/>
    <w:rsid w:val="065873B5"/>
    <w:rsid w:val="065D78EA"/>
    <w:rsid w:val="065D7FBB"/>
    <w:rsid w:val="066506BA"/>
    <w:rsid w:val="06692C07"/>
    <w:rsid w:val="066A6709"/>
    <w:rsid w:val="066D2E23"/>
    <w:rsid w:val="067C67D5"/>
    <w:rsid w:val="067F4006"/>
    <w:rsid w:val="068001FC"/>
    <w:rsid w:val="0686085F"/>
    <w:rsid w:val="06861E92"/>
    <w:rsid w:val="06881B2C"/>
    <w:rsid w:val="0688403B"/>
    <w:rsid w:val="06894024"/>
    <w:rsid w:val="068A27F2"/>
    <w:rsid w:val="068C6712"/>
    <w:rsid w:val="06934CF8"/>
    <w:rsid w:val="06954E66"/>
    <w:rsid w:val="0696535A"/>
    <w:rsid w:val="069B0A8B"/>
    <w:rsid w:val="069E5CB6"/>
    <w:rsid w:val="06A27F7D"/>
    <w:rsid w:val="06A5110F"/>
    <w:rsid w:val="06A738BA"/>
    <w:rsid w:val="06A9377C"/>
    <w:rsid w:val="06AA4186"/>
    <w:rsid w:val="06AE477D"/>
    <w:rsid w:val="06B27572"/>
    <w:rsid w:val="06B323C3"/>
    <w:rsid w:val="06B73E54"/>
    <w:rsid w:val="06BC7500"/>
    <w:rsid w:val="06BE585C"/>
    <w:rsid w:val="06C21CBD"/>
    <w:rsid w:val="06C25B1A"/>
    <w:rsid w:val="06C417BE"/>
    <w:rsid w:val="06C93264"/>
    <w:rsid w:val="06CA19D1"/>
    <w:rsid w:val="06D22E00"/>
    <w:rsid w:val="06D45225"/>
    <w:rsid w:val="06D665CE"/>
    <w:rsid w:val="06DB6C74"/>
    <w:rsid w:val="06E875A3"/>
    <w:rsid w:val="06EF16D1"/>
    <w:rsid w:val="06F54668"/>
    <w:rsid w:val="06FD2144"/>
    <w:rsid w:val="07051CF3"/>
    <w:rsid w:val="07065F02"/>
    <w:rsid w:val="070E5B69"/>
    <w:rsid w:val="070E64FC"/>
    <w:rsid w:val="0710278A"/>
    <w:rsid w:val="0718723F"/>
    <w:rsid w:val="071B2261"/>
    <w:rsid w:val="072924D7"/>
    <w:rsid w:val="07311317"/>
    <w:rsid w:val="07326747"/>
    <w:rsid w:val="073368F9"/>
    <w:rsid w:val="073D3858"/>
    <w:rsid w:val="074339E7"/>
    <w:rsid w:val="07446487"/>
    <w:rsid w:val="0748634C"/>
    <w:rsid w:val="07497049"/>
    <w:rsid w:val="07515D46"/>
    <w:rsid w:val="075825C9"/>
    <w:rsid w:val="07585884"/>
    <w:rsid w:val="07591971"/>
    <w:rsid w:val="075A17A6"/>
    <w:rsid w:val="075D562A"/>
    <w:rsid w:val="07693151"/>
    <w:rsid w:val="076B1F61"/>
    <w:rsid w:val="076E6588"/>
    <w:rsid w:val="077649CA"/>
    <w:rsid w:val="077726D2"/>
    <w:rsid w:val="07780CC8"/>
    <w:rsid w:val="0779569A"/>
    <w:rsid w:val="077A31D9"/>
    <w:rsid w:val="077B11B5"/>
    <w:rsid w:val="0785361A"/>
    <w:rsid w:val="07855D8B"/>
    <w:rsid w:val="07873ED9"/>
    <w:rsid w:val="07877C93"/>
    <w:rsid w:val="078B4E2C"/>
    <w:rsid w:val="07946F9C"/>
    <w:rsid w:val="079E3313"/>
    <w:rsid w:val="07A228E4"/>
    <w:rsid w:val="07A7073D"/>
    <w:rsid w:val="07B37E7A"/>
    <w:rsid w:val="07B44257"/>
    <w:rsid w:val="07C73D77"/>
    <w:rsid w:val="07D4783E"/>
    <w:rsid w:val="07D47C79"/>
    <w:rsid w:val="07D72751"/>
    <w:rsid w:val="07D7372F"/>
    <w:rsid w:val="07DB2271"/>
    <w:rsid w:val="07DE5DB3"/>
    <w:rsid w:val="07E04706"/>
    <w:rsid w:val="07E31091"/>
    <w:rsid w:val="07EA0FCF"/>
    <w:rsid w:val="07F619A0"/>
    <w:rsid w:val="07FE6D60"/>
    <w:rsid w:val="0808333E"/>
    <w:rsid w:val="080B551E"/>
    <w:rsid w:val="08157AD2"/>
    <w:rsid w:val="081D6D77"/>
    <w:rsid w:val="08231EA7"/>
    <w:rsid w:val="08343294"/>
    <w:rsid w:val="083459EA"/>
    <w:rsid w:val="0837628D"/>
    <w:rsid w:val="083D5BF5"/>
    <w:rsid w:val="084148C4"/>
    <w:rsid w:val="084C0BDB"/>
    <w:rsid w:val="084E70AE"/>
    <w:rsid w:val="084F3399"/>
    <w:rsid w:val="08563B13"/>
    <w:rsid w:val="085B59D7"/>
    <w:rsid w:val="0863254D"/>
    <w:rsid w:val="08636594"/>
    <w:rsid w:val="08644653"/>
    <w:rsid w:val="086C7FC2"/>
    <w:rsid w:val="0871467B"/>
    <w:rsid w:val="087276F7"/>
    <w:rsid w:val="087E74D5"/>
    <w:rsid w:val="087F604F"/>
    <w:rsid w:val="08922A21"/>
    <w:rsid w:val="0899116A"/>
    <w:rsid w:val="08991CC1"/>
    <w:rsid w:val="089F4F41"/>
    <w:rsid w:val="08A0534E"/>
    <w:rsid w:val="08A52D5B"/>
    <w:rsid w:val="08A61AEE"/>
    <w:rsid w:val="08AA49C5"/>
    <w:rsid w:val="08AA4D02"/>
    <w:rsid w:val="08AD0845"/>
    <w:rsid w:val="08AE286A"/>
    <w:rsid w:val="08AE2E33"/>
    <w:rsid w:val="08B32EE4"/>
    <w:rsid w:val="08B87450"/>
    <w:rsid w:val="08BD25F7"/>
    <w:rsid w:val="08C11C46"/>
    <w:rsid w:val="08C13118"/>
    <w:rsid w:val="08C3381A"/>
    <w:rsid w:val="08C61EF3"/>
    <w:rsid w:val="08D6434F"/>
    <w:rsid w:val="08D70AE3"/>
    <w:rsid w:val="08DA6FDC"/>
    <w:rsid w:val="08DC76B8"/>
    <w:rsid w:val="08DE0738"/>
    <w:rsid w:val="08E4741B"/>
    <w:rsid w:val="08E71EAC"/>
    <w:rsid w:val="08EA24F2"/>
    <w:rsid w:val="08EB4E3F"/>
    <w:rsid w:val="08EF5E66"/>
    <w:rsid w:val="090068BF"/>
    <w:rsid w:val="090151BF"/>
    <w:rsid w:val="09033ACF"/>
    <w:rsid w:val="0919521A"/>
    <w:rsid w:val="09281363"/>
    <w:rsid w:val="092E3CF3"/>
    <w:rsid w:val="092E45E1"/>
    <w:rsid w:val="092F200C"/>
    <w:rsid w:val="093677DE"/>
    <w:rsid w:val="09534428"/>
    <w:rsid w:val="096364B2"/>
    <w:rsid w:val="09636A93"/>
    <w:rsid w:val="09675933"/>
    <w:rsid w:val="096E27BA"/>
    <w:rsid w:val="096F4914"/>
    <w:rsid w:val="09721AA5"/>
    <w:rsid w:val="09775564"/>
    <w:rsid w:val="09777896"/>
    <w:rsid w:val="097C4628"/>
    <w:rsid w:val="09843456"/>
    <w:rsid w:val="0989685B"/>
    <w:rsid w:val="09907F23"/>
    <w:rsid w:val="099D5B9D"/>
    <w:rsid w:val="09A13788"/>
    <w:rsid w:val="09A64DEA"/>
    <w:rsid w:val="09AE2DFC"/>
    <w:rsid w:val="09AF5102"/>
    <w:rsid w:val="09B06E78"/>
    <w:rsid w:val="09B1275F"/>
    <w:rsid w:val="09B1533C"/>
    <w:rsid w:val="09B94908"/>
    <w:rsid w:val="09BE60BE"/>
    <w:rsid w:val="09CB4565"/>
    <w:rsid w:val="09CD74FB"/>
    <w:rsid w:val="09CE36FE"/>
    <w:rsid w:val="09D10958"/>
    <w:rsid w:val="09DA61A3"/>
    <w:rsid w:val="09E73BB9"/>
    <w:rsid w:val="09F02B4B"/>
    <w:rsid w:val="09FA4E5B"/>
    <w:rsid w:val="09FF386E"/>
    <w:rsid w:val="0A0C2BDD"/>
    <w:rsid w:val="0A116E12"/>
    <w:rsid w:val="0A132394"/>
    <w:rsid w:val="0A183ED1"/>
    <w:rsid w:val="0A1B4577"/>
    <w:rsid w:val="0A1C5D91"/>
    <w:rsid w:val="0A1F0F12"/>
    <w:rsid w:val="0A226EAE"/>
    <w:rsid w:val="0A2517E5"/>
    <w:rsid w:val="0A2909ED"/>
    <w:rsid w:val="0A320FA1"/>
    <w:rsid w:val="0A381812"/>
    <w:rsid w:val="0A3B501E"/>
    <w:rsid w:val="0A4C3694"/>
    <w:rsid w:val="0A515009"/>
    <w:rsid w:val="0A560DAE"/>
    <w:rsid w:val="0A56500A"/>
    <w:rsid w:val="0A594318"/>
    <w:rsid w:val="0A5944BF"/>
    <w:rsid w:val="0A637F8A"/>
    <w:rsid w:val="0A6B5373"/>
    <w:rsid w:val="0A6C78E9"/>
    <w:rsid w:val="0A6E1FEA"/>
    <w:rsid w:val="0A715D3D"/>
    <w:rsid w:val="0A73680A"/>
    <w:rsid w:val="0A746774"/>
    <w:rsid w:val="0A7A5A13"/>
    <w:rsid w:val="0A7A6E85"/>
    <w:rsid w:val="0A7D147A"/>
    <w:rsid w:val="0A816D0E"/>
    <w:rsid w:val="0A8A6A60"/>
    <w:rsid w:val="0A8A6D71"/>
    <w:rsid w:val="0A8F4DFA"/>
    <w:rsid w:val="0A907A45"/>
    <w:rsid w:val="0A93448B"/>
    <w:rsid w:val="0A963C36"/>
    <w:rsid w:val="0A9719C3"/>
    <w:rsid w:val="0A9A4A52"/>
    <w:rsid w:val="0AA33C37"/>
    <w:rsid w:val="0AA56496"/>
    <w:rsid w:val="0AAA3821"/>
    <w:rsid w:val="0AC60A37"/>
    <w:rsid w:val="0ACD4604"/>
    <w:rsid w:val="0ACD6CE8"/>
    <w:rsid w:val="0AD303DD"/>
    <w:rsid w:val="0AD7258C"/>
    <w:rsid w:val="0ADA1F22"/>
    <w:rsid w:val="0AE10225"/>
    <w:rsid w:val="0AE27855"/>
    <w:rsid w:val="0AE37466"/>
    <w:rsid w:val="0AEF22A8"/>
    <w:rsid w:val="0AFA0FE2"/>
    <w:rsid w:val="0AFA3482"/>
    <w:rsid w:val="0AFE1397"/>
    <w:rsid w:val="0B013933"/>
    <w:rsid w:val="0B030C8A"/>
    <w:rsid w:val="0B0631C7"/>
    <w:rsid w:val="0B0678E1"/>
    <w:rsid w:val="0B0C185C"/>
    <w:rsid w:val="0B0E66FA"/>
    <w:rsid w:val="0B0F30D7"/>
    <w:rsid w:val="0B185C54"/>
    <w:rsid w:val="0B1B26F2"/>
    <w:rsid w:val="0B1B56B9"/>
    <w:rsid w:val="0B1D10D3"/>
    <w:rsid w:val="0B257FC4"/>
    <w:rsid w:val="0B291BF8"/>
    <w:rsid w:val="0B3144B1"/>
    <w:rsid w:val="0B3B2092"/>
    <w:rsid w:val="0B3C0075"/>
    <w:rsid w:val="0B423523"/>
    <w:rsid w:val="0B491B78"/>
    <w:rsid w:val="0B4A7485"/>
    <w:rsid w:val="0B4B7721"/>
    <w:rsid w:val="0B4C266C"/>
    <w:rsid w:val="0B5237EE"/>
    <w:rsid w:val="0B532A0F"/>
    <w:rsid w:val="0B544196"/>
    <w:rsid w:val="0B5977C2"/>
    <w:rsid w:val="0B615747"/>
    <w:rsid w:val="0B6535A4"/>
    <w:rsid w:val="0B672170"/>
    <w:rsid w:val="0B6B16B5"/>
    <w:rsid w:val="0B6C1BDD"/>
    <w:rsid w:val="0B795C22"/>
    <w:rsid w:val="0B7A42CF"/>
    <w:rsid w:val="0B7C049F"/>
    <w:rsid w:val="0B85264E"/>
    <w:rsid w:val="0B867C02"/>
    <w:rsid w:val="0B875B8E"/>
    <w:rsid w:val="0B88257B"/>
    <w:rsid w:val="0B88606D"/>
    <w:rsid w:val="0B8A38D5"/>
    <w:rsid w:val="0B8F5FEF"/>
    <w:rsid w:val="0BAA3AEC"/>
    <w:rsid w:val="0BAD16C3"/>
    <w:rsid w:val="0BB0205D"/>
    <w:rsid w:val="0BBB6710"/>
    <w:rsid w:val="0BBE3B88"/>
    <w:rsid w:val="0BBF1EFE"/>
    <w:rsid w:val="0BBF2262"/>
    <w:rsid w:val="0BC52DED"/>
    <w:rsid w:val="0BC66808"/>
    <w:rsid w:val="0BCB6686"/>
    <w:rsid w:val="0BCD26F5"/>
    <w:rsid w:val="0BD06788"/>
    <w:rsid w:val="0BDD1EA3"/>
    <w:rsid w:val="0BE143FE"/>
    <w:rsid w:val="0BE34D9F"/>
    <w:rsid w:val="0BE76980"/>
    <w:rsid w:val="0BE94737"/>
    <w:rsid w:val="0BF25CB1"/>
    <w:rsid w:val="0BF27514"/>
    <w:rsid w:val="0BF56C1B"/>
    <w:rsid w:val="0BF85018"/>
    <w:rsid w:val="0BF86BB3"/>
    <w:rsid w:val="0BFC6DF7"/>
    <w:rsid w:val="0C0116EE"/>
    <w:rsid w:val="0C0D78B1"/>
    <w:rsid w:val="0C101CE7"/>
    <w:rsid w:val="0C113FD2"/>
    <w:rsid w:val="0C161248"/>
    <w:rsid w:val="0C16568F"/>
    <w:rsid w:val="0C201F05"/>
    <w:rsid w:val="0C2147CA"/>
    <w:rsid w:val="0C2970CA"/>
    <w:rsid w:val="0C3E5863"/>
    <w:rsid w:val="0C492C2A"/>
    <w:rsid w:val="0C4C2D6F"/>
    <w:rsid w:val="0C531D2C"/>
    <w:rsid w:val="0C546E8C"/>
    <w:rsid w:val="0C61550E"/>
    <w:rsid w:val="0C6420DF"/>
    <w:rsid w:val="0C67233C"/>
    <w:rsid w:val="0C681790"/>
    <w:rsid w:val="0C694C0C"/>
    <w:rsid w:val="0C6E1405"/>
    <w:rsid w:val="0C6F3871"/>
    <w:rsid w:val="0C73661C"/>
    <w:rsid w:val="0C7A0046"/>
    <w:rsid w:val="0C7C3EFA"/>
    <w:rsid w:val="0C7C798F"/>
    <w:rsid w:val="0C7E2608"/>
    <w:rsid w:val="0C7F7228"/>
    <w:rsid w:val="0C8042B7"/>
    <w:rsid w:val="0C86049F"/>
    <w:rsid w:val="0C8F6BB2"/>
    <w:rsid w:val="0C92658D"/>
    <w:rsid w:val="0C990075"/>
    <w:rsid w:val="0C9F29E2"/>
    <w:rsid w:val="0C9F56C8"/>
    <w:rsid w:val="0CA130B5"/>
    <w:rsid w:val="0CAB00E3"/>
    <w:rsid w:val="0CAB278E"/>
    <w:rsid w:val="0CAC1188"/>
    <w:rsid w:val="0CB03DFD"/>
    <w:rsid w:val="0CB92E49"/>
    <w:rsid w:val="0CBE2F87"/>
    <w:rsid w:val="0CBE6E21"/>
    <w:rsid w:val="0CC72642"/>
    <w:rsid w:val="0CCE2263"/>
    <w:rsid w:val="0CD0333F"/>
    <w:rsid w:val="0CD24673"/>
    <w:rsid w:val="0CD53242"/>
    <w:rsid w:val="0CD86DF4"/>
    <w:rsid w:val="0CDE33D8"/>
    <w:rsid w:val="0CE54FB3"/>
    <w:rsid w:val="0CE75EC4"/>
    <w:rsid w:val="0CF3255A"/>
    <w:rsid w:val="0CF779FF"/>
    <w:rsid w:val="0CFB1A52"/>
    <w:rsid w:val="0CFB2388"/>
    <w:rsid w:val="0CFB6F42"/>
    <w:rsid w:val="0CFC569E"/>
    <w:rsid w:val="0CFC7A53"/>
    <w:rsid w:val="0CFD630D"/>
    <w:rsid w:val="0D00173A"/>
    <w:rsid w:val="0D025A7C"/>
    <w:rsid w:val="0D085D6B"/>
    <w:rsid w:val="0D0E165E"/>
    <w:rsid w:val="0D0F18BD"/>
    <w:rsid w:val="0D102638"/>
    <w:rsid w:val="0D122182"/>
    <w:rsid w:val="0D1370DC"/>
    <w:rsid w:val="0D18387D"/>
    <w:rsid w:val="0D201BE0"/>
    <w:rsid w:val="0D2064EC"/>
    <w:rsid w:val="0D231518"/>
    <w:rsid w:val="0D287E0A"/>
    <w:rsid w:val="0D2B0F42"/>
    <w:rsid w:val="0D300733"/>
    <w:rsid w:val="0D325E2D"/>
    <w:rsid w:val="0D344D0B"/>
    <w:rsid w:val="0D3A7312"/>
    <w:rsid w:val="0D3C7896"/>
    <w:rsid w:val="0D3D301F"/>
    <w:rsid w:val="0D3F329C"/>
    <w:rsid w:val="0D463FFA"/>
    <w:rsid w:val="0D47149D"/>
    <w:rsid w:val="0D4D28A0"/>
    <w:rsid w:val="0D4E5A9A"/>
    <w:rsid w:val="0D507312"/>
    <w:rsid w:val="0D575397"/>
    <w:rsid w:val="0D5C37C8"/>
    <w:rsid w:val="0D63691C"/>
    <w:rsid w:val="0D693167"/>
    <w:rsid w:val="0D704FFB"/>
    <w:rsid w:val="0D756400"/>
    <w:rsid w:val="0D7734A0"/>
    <w:rsid w:val="0D7B6B04"/>
    <w:rsid w:val="0D925B4F"/>
    <w:rsid w:val="0D95759A"/>
    <w:rsid w:val="0D962B1E"/>
    <w:rsid w:val="0D9F1D54"/>
    <w:rsid w:val="0DA76C64"/>
    <w:rsid w:val="0DAC40AA"/>
    <w:rsid w:val="0DB21460"/>
    <w:rsid w:val="0DB6230E"/>
    <w:rsid w:val="0DB66FF3"/>
    <w:rsid w:val="0DC02641"/>
    <w:rsid w:val="0DC74B70"/>
    <w:rsid w:val="0DCD2AB5"/>
    <w:rsid w:val="0DCF5682"/>
    <w:rsid w:val="0DCF5850"/>
    <w:rsid w:val="0DD14616"/>
    <w:rsid w:val="0DD620AC"/>
    <w:rsid w:val="0DE20F20"/>
    <w:rsid w:val="0DE229ED"/>
    <w:rsid w:val="0DE54091"/>
    <w:rsid w:val="0E007A5A"/>
    <w:rsid w:val="0E0C21F9"/>
    <w:rsid w:val="0E127709"/>
    <w:rsid w:val="0E1604E7"/>
    <w:rsid w:val="0E1814B7"/>
    <w:rsid w:val="0E1C2BBB"/>
    <w:rsid w:val="0E2754A5"/>
    <w:rsid w:val="0E28419B"/>
    <w:rsid w:val="0E2868EE"/>
    <w:rsid w:val="0E2B1C0A"/>
    <w:rsid w:val="0E2B4B90"/>
    <w:rsid w:val="0E3277F8"/>
    <w:rsid w:val="0E383B54"/>
    <w:rsid w:val="0E3C0DC3"/>
    <w:rsid w:val="0E3D175F"/>
    <w:rsid w:val="0E3E201F"/>
    <w:rsid w:val="0E400D10"/>
    <w:rsid w:val="0E4302B5"/>
    <w:rsid w:val="0E43222C"/>
    <w:rsid w:val="0E471FCE"/>
    <w:rsid w:val="0E4B3C88"/>
    <w:rsid w:val="0E4C0B19"/>
    <w:rsid w:val="0E511D4B"/>
    <w:rsid w:val="0E5B438E"/>
    <w:rsid w:val="0E5E0A66"/>
    <w:rsid w:val="0E5E2076"/>
    <w:rsid w:val="0E623BDC"/>
    <w:rsid w:val="0E640688"/>
    <w:rsid w:val="0E667E77"/>
    <w:rsid w:val="0E675D05"/>
    <w:rsid w:val="0E6970F5"/>
    <w:rsid w:val="0E6F0459"/>
    <w:rsid w:val="0E6F34F6"/>
    <w:rsid w:val="0E701185"/>
    <w:rsid w:val="0E727D9B"/>
    <w:rsid w:val="0E7576F2"/>
    <w:rsid w:val="0E7F27C6"/>
    <w:rsid w:val="0E876E62"/>
    <w:rsid w:val="0E890C28"/>
    <w:rsid w:val="0E9312FD"/>
    <w:rsid w:val="0E950B03"/>
    <w:rsid w:val="0E9C684A"/>
    <w:rsid w:val="0E9D4394"/>
    <w:rsid w:val="0EA43E23"/>
    <w:rsid w:val="0EA623A5"/>
    <w:rsid w:val="0EA930F2"/>
    <w:rsid w:val="0EBA6BC4"/>
    <w:rsid w:val="0EBC2CEC"/>
    <w:rsid w:val="0EC26B01"/>
    <w:rsid w:val="0EC3638B"/>
    <w:rsid w:val="0EC63E53"/>
    <w:rsid w:val="0EC708DB"/>
    <w:rsid w:val="0ECA1443"/>
    <w:rsid w:val="0ECE69E8"/>
    <w:rsid w:val="0ECF3D06"/>
    <w:rsid w:val="0ED4067B"/>
    <w:rsid w:val="0EDA6166"/>
    <w:rsid w:val="0EDF0948"/>
    <w:rsid w:val="0EED6275"/>
    <w:rsid w:val="0EEF0C4D"/>
    <w:rsid w:val="0F076533"/>
    <w:rsid w:val="0F0C5B39"/>
    <w:rsid w:val="0F0D5354"/>
    <w:rsid w:val="0F0D6BA9"/>
    <w:rsid w:val="0F102BDC"/>
    <w:rsid w:val="0F166A21"/>
    <w:rsid w:val="0F174EC5"/>
    <w:rsid w:val="0F184C93"/>
    <w:rsid w:val="0F1974AE"/>
    <w:rsid w:val="0F1C6318"/>
    <w:rsid w:val="0F1F7D6A"/>
    <w:rsid w:val="0F2B38B5"/>
    <w:rsid w:val="0F472355"/>
    <w:rsid w:val="0F4E506F"/>
    <w:rsid w:val="0F561E99"/>
    <w:rsid w:val="0F5B2534"/>
    <w:rsid w:val="0F5D3E80"/>
    <w:rsid w:val="0F64595E"/>
    <w:rsid w:val="0F6D312E"/>
    <w:rsid w:val="0F6E5E0D"/>
    <w:rsid w:val="0F710BEC"/>
    <w:rsid w:val="0F7116CE"/>
    <w:rsid w:val="0F75417A"/>
    <w:rsid w:val="0F7700CF"/>
    <w:rsid w:val="0F791EB2"/>
    <w:rsid w:val="0F84198A"/>
    <w:rsid w:val="0F8B7844"/>
    <w:rsid w:val="0F8C05C8"/>
    <w:rsid w:val="0F8D47EC"/>
    <w:rsid w:val="0F9B2323"/>
    <w:rsid w:val="0FA2512D"/>
    <w:rsid w:val="0FA403EB"/>
    <w:rsid w:val="0FA72EE1"/>
    <w:rsid w:val="0FA9675C"/>
    <w:rsid w:val="0FAA7295"/>
    <w:rsid w:val="0FAE0089"/>
    <w:rsid w:val="0FB14FFF"/>
    <w:rsid w:val="0FB775A7"/>
    <w:rsid w:val="0FBA3D24"/>
    <w:rsid w:val="0FBA4680"/>
    <w:rsid w:val="0FC06F48"/>
    <w:rsid w:val="0FC44F82"/>
    <w:rsid w:val="0FC66DC1"/>
    <w:rsid w:val="0FD52CC1"/>
    <w:rsid w:val="0FE106A6"/>
    <w:rsid w:val="0FE5574D"/>
    <w:rsid w:val="0FEE7A23"/>
    <w:rsid w:val="0FF30BD1"/>
    <w:rsid w:val="0FFA438E"/>
    <w:rsid w:val="0FFF2621"/>
    <w:rsid w:val="0FFF409F"/>
    <w:rsid w:val="10054E93"/>
    <w:rsid w:val="100A0046"/>
    <w:rsid w:val="100A2276"/>
    <w:rsid w:val="10137D3B"/>
    <w:rsid w:val="1018240E"/>
    <w:rsid w:val="1018734F"/>
    <w:rsid w:val="101C1832"/>
    <w:rsid w:val="101C7D95"/>
    <w:rsid w:val="101C7E04"/>
    <w:rsid w:val="101D6E44"/>
    <w:rsid w:val="10231983"/>
    <w:rsid w:val="103330D8"/>
    <w:rsid w:val="10335EAF"/>
    <w:rsid w:val="10391504"/>
    <w:rsid w:val="103C24C8"/>
    <w:rsid w:val="104236F6"/>
    <w:rsid w:val="104864C6"/>
    <w:rsid w:val="104B16BF"/>
    <w:rsid w:val="104D03A3"/>
    <w:rsid w:val="10515562"/>
    <w:rsid w:val="10534734"/>
    <w:rsid w:val="10541EEB"/>
    <w:rsid w:val="105720AE"/>
    <w:rsid w:val="105A5667"/>
    <w:rsid w:val="105E2CEF"/>
    <w:rsid w:val="10620A54"/>
    <w:rsid w:val="10626B7B"/>
    <w:rsid w:val="1065464C"/>
    <w:rsid w:val="1067220D"/>
    <w:rsid w:val="10672817"/>
    <w:rsid w:val="106E12E3"/>
    <w:rsid w:val="1073739F"/>
    <w:rsid w:val="107951A4"/>
    <w:rsid w:val="108B08D4"/>
    <w:rsid w:val="108B7422"/>
    <w:rsid w:val="10993DD7"/>
    <w:rsid w:val="109E036C"/>
    <w:rsid w:val="109E1C0A"/>
    <w:rsid w:val="10A23768"/>
    <w:rsid w:val="10A62864"/>
    <w:rsid w:val="10A66608"/>
    <w:rsid w:val="10AC48E0"/>
    <w:rsid w:val="10B6497E"/>
    <w:rsid w:val="10B825CA"/>
    <w:rsid w:val="10BD46CB"/>
    <w:rsid w:val="10BF2405"/>
    <w:rsid w:val="10C463FB"/>
    <w:rsid w:val="10C52263"/>
    <w:rsid w:val="10C5511F"/>
    <w:rsid w:val="10D523B0"/>
    <w:rsid w:val="10D805DB"/>
    <w:rsid w:val="10DC4280"/>
    <w:rsid w:val="10DF79C4"/>
    <w:rsid w:val="10E30C6A"/>
    <w:rsid w:val="10E677F8"/>
    <w:rsid w:val="10E767AE"/>
    <w:rsid w:val="10F65174"/>
    <w:rsid w:val="10F67F2D"/>
    <w:rsid w:val="10FA5493"/>
    <w:rsid w:val="10FB5840"/>
    <w:rsid w:val="11145C1B"/>
    <w:rsid w:val="11153089"/>
    <w:rsid w:val="111659F8"/>
    <w:rsid w:val="1118008A"/>
    <w:rsid w:val="11195849"/>
    <w:rsid w:val="111A102F"/>
    <w:rsid w:val="111E3E04"/>
    <w:rsid w:val="111F5F9D"/>
    <w:rsid w:val="111F6DFB"/>
    <w:rsid w:val="11210FCB"/>
    <w:rsid w:val="11277322"/>
    <w:rsid w:val="11297520"/>
    <w:rsid w:val="112C66E5"/>
    <w:rsid w:val="113204C5"/>
    <w:rsid w:val="11333D31"/>
    <w:rsid w:val="1136681A"/>
    <w:rsid w:val="11424B75"/>
    <w:rsid w:val="11462B3E"/>
    <w:rsid w:val="1147317A"/>
    <w:rsid w:val="114B6F5E"/>
    <w:rsid w:val="114D7A93"/>
    <w:rsid w:val="114E4315"/>
    <w:rsid w:val="11526B01"/>
    <w:rsid w:val="1155217E"/>
    <w:rsid w:val="11566599"/>
    <w:rsid w:val="11575280"/>
    <w:rsid w:val="11585AAC"/>
    <w:rsid w:val="115B1B25"/>
    <w:rsid w:val="115F5EDD"/>
    <w:rsid w:val="115F7ADD"/>
    <w:rsid w:val="11621D46"/>
    <w:rsid w:val="1162270F"/>
    <w:rsid w:val="11626CE3"/>
    <w:rsid w:val="11632063"/>
    <w:rsid w:val="11660D99"/>
    <w:rsid w:val="1168723D"/>
    <w:rsid w:val="116A2850"/>
    <w:rsid w:val="1173151F"/>
    <w:rsid w:val="117346CC"/>
    <w:rsid w:val="1178718A"/>
    <w:rsid w:val="11792E2A"/>
    <w:rsid w:val="117C481C"/>
    <w:rsid w:val="117D3105"/>
    <w:rsid w:val="1181778D"/>
    <w:rsid w:val="118204E8"/>
    <w:rsid w:val="118334E3"/>
    <w:rsid w:val="11847E9B"/>
    <w:rsid w:val="11864393"/>
    <w:rsid w:val="1189204B"/>
    <w:rsid w:val="118963A3"/>
    <w:rsid w:val="118A52C7"/>
    <w:rsid w:val="11985BE8"/>
    <w:rsid w:val="119F5834"/>
    <w:rsid w:val="11A45D6A"/>
    <w:rsid w:val="11A55AC2"/>
    <w:rsid w:val="11AA4763"/>
    <w:rsid w:val="11B104F4"/>
    <w:rsid w:val="11C22466"/>
    <w:rsid w:val="11CC5A16"/>
    <w:rsid w:val="11CD1876"/>
    <w:rsid w:val="11D303E0"/>
    <w:rsid w:val="11E22E86"/>
    <w:rsid w:val="11E66F48"/>
    <w:rsid w:val="11F01925"/>
    <w:rsid w:val="11F376B8"/>
    <w:rsid w:val="11FE1FA9"/>
    <w:rsid w:val="11FE3307"/>
    <w:rsid w:val="12014600"/>
    <w:rsid w:val="12044754"/>
    <w:rsid w:val="120D16AD"/>
    <w:rsid w:val="12197197"/>
    <w:rsid w:val="121F6623"/>
    <w:rsid w:val="1222662B"/>
    <w:rsid w:val="12285BAD"/>
    <w:rsid w:val="122B21EE"/>
    <w:rsid w:val="123441AD"/>
    <w:rsid w:val="12364C6B"/>
    <w:rsid w:val="12383998"/>
    <w:rsid w:val="123966EF"/>
    <w:rsid w:val="123B416D"/>
    <w:rsid w:val="124057CB"/>
    <w:rsid w:val="12431FAA"/>
    <w:rsid w:val="124405DB"/>
    <w:rsid w:val="12472558"/>
    <w:rsid w:val="124C5163"/>
    <w:rsid w:val="124D2C65"/>
    <w:rsid w:val="12585937"/>
    <w:rsid w:val="125C252F"/>
    <w:rsid w:val="12705082"/>
    <w:rsid w:val="12801BB4"/>
    <w:rsid w:val="1280619D"/>
    <w:rsid w:val="1282785F"/>
    <w:rsid w:val="12951918"/>
    <w:rsid w:val="129A1645"/>
    <w:rsid w:val="129C79CD"/>
    <w:rsid w:val="129F1813"/>
    <w:rsid w:val="12A45785"/>
    <w:rsid w:val="12A534F0"/>
    <w:rsid w:val="12A77577"/>
    <w:rsid w:val="12AF183B"/>
    <w:rsid w:val="12AF49FB"/>
    <w:rsid w:val="12B3600D"/>
    <w:rsid w:val="12BA1931"/>
    <w:rsid w:val="12BC61C6"/>
    <w:rsid w:val="12BE0F40"/>
    <w:rsid w:val="12C364FA"/>
    <w:rsid w:val="12C5128C"/>
    <w:rsid w:val="12C57284"/>
    <w:rsid w:val="12CE6F92"/>
    <w:rsid w:val="12E24CDA"/>
    <w:rsid w:val="12E97479"/>
    <w:rsid w:val="12EB42AA"/>
    <w:rsid w:val="12EC1512"/>
    <w:rsid w:val="12EC49CD"/>
    <w:rsid w:val="12F25750"/>
    <w:rsid w:val="12FC030C"/>
    <w:rsid w:val="12FC2B78"/>
    <w:rsid w:val="13043380"/>
    <w:rsid w:val="131849F5"/>
    <w:rsid w:val="131D175C"/>
    <w:rsid w:val="1323132B"/>
    <w:rsid w:val="1326357F"/>
    <w:rsid w:val="133015FF"/>
    <w:rsid w:val="13353542"/>
    <w:rsid w:val="1336221E"/>
    <w:rsid w:val="133665BD"/>
    <w:rsid w:val="1337522B"/>
    <w:rsid w:val="133916EB"/>
    <w:rsid w:val="1339716E"/>
    <w:rsid w:val="133B115F"/>
    <w:rsid w:val="1340794B"/>
    <w:rsid w:val="134647ED"/>
    <w:rsid w:val="135A751E"/>
    <w:rsid w:val="136E3F72"/>
    <w:rsid w:val="13703448"/>
    <w:rsid w:val="137101CF"/>
    <w:rsid w:val="13712738"/>
    <w:rsid w:val="13791AE4"/>
    <w:rsid w:val="137C37FA"/>
    <w:rsid w:val="13834DEC"/>
    <w:rsid w:val="1383524C"/>
    <w:rsid w:val="138528E6"/>
    <w:rsid w:val="13870E5A"/>
    <w:rsid w:val="13873E48"/>
    <w:rsid w:val="138953AE"/>
    <w:rsid w:val="13926D7B"/>
    <w:rsid w:val="13A54680"/>
    <w:rsid w:val="13AD5537"/>
    <w:rsid w:val="13B0734B"/>
    <w:rsid w:val="13BC39DB"/>
    <w:rsid w:val="13CA633A"/>
    <w:rsid w:val="13CE6A6C"/>
    <w:rsid w:val="13D050E6"/>
    <w:rsid w:val="13D876B5"/>
    <w:rsid w:val="13DB4B74"/>
    <w:rsid w:val="13E04AA9"/>
    <w:rsid w:val="13E1056F"/>
    <w:rsid w:val="13E13E96"/>
    <w:rsid w:val="13E358DF"/>
    <w:rsid w:val="13E6512C"/>
    <w:rsid w:val="13E9643C"/>
    <w:rsid w:val="13EF0923"/>
    <w:rsid w:val="13F56003"/>
    <w:rsid w:val="13F80163"/>
    <w:rsid w:val="14035E7C"/>
    <w:rsid w:val="140826A0"/>
    <w:rsid w:val="14145C45"/>
    <w:rsid w:val="141728A4"/>
    <w:rsid w:val="14222731"/>
    <w:rsid w:val="14270B70"/>
    <w:rsid w:val="142D56C5"/>
    <w:rsid w:val="1434689B"/>
    <w:rsid w:val="14450C32"/>
    <w:rsid w:val="14460FC4"/>
    <w:rsid w:val="14484DF6"/>
    <w:rsid w:val="14490028"/>
    <w:rsid w:val="14502578"/>
    <w:rsid w:val="145E64CC"/>
    <w:rsid w:val="14717944"/>
    <w:rsid w:val="14751457"/>
    <w:rsid w:val="147B5676"/>
    <w:rsid w:val="14815765"/>
    <w:rsid w:val="14873723"/>
    <w:rsid w:val="148A38CF"/>
    <w:rsid w:val="14995BA2"/>
    <w:rsid w:val="149A16C1"/>
    <w:rsid w:val="149B1658"/>
    <w:rsid w:val="149B30F8"/>
    <w:rsid w:val="149C0FD3"/>
    <w:rsid w:val="149F00B3"/>
    <w:rsid w:val="149F4143"/>
    <w:rsid w:val="149F5522"/>
    <w:rsid w:val="14B76F95"/>
    <w:rsid w:val="14BC6718"/>
    <w:rsid w:val="14C245EA"/>
    <w:rsid w:val="14C2599D"/>
    <w:rsid w:val="14D07D1D"/>
    <w:rsid w:val="14D41E07"/>
    <w:rsid w:val="14D47796"/>
    <w:rsid w:val="14D5740D"/>
    <w:rsid w:val="14DA57F1"/>
    <w:rsid w:val="14DD0FF7"/>
    <w:rsid w:val="14DE20E1"/>
    <w:rsid w:val="14E35B08"/>
    <w:rsid w:val="14F84273"/>
    <w:rsid w:val="14FB3649"/>
    <w:rsid w:val="15016E79"/>
    <w:rsid w:val="150516D9"/>
    <w:rsid w:val="150973B6"/>
    <w:rsid w:val="1510257A"/>
    <w:rsid w:val="1511212E"/>
    <w:rsid w:val="15122F15"/>
    <w:rsid w:val="151351C8"/>
    <w:rsid w:val="15147934"/>
    <w:rsid w:val="151767C5"/>
    <w:rsid w:val="151C55B3"/>
    <w:rsid w:val="15261EDD"/>
    <w:rsid w:val="15374117"/>
    <w:rsid w:val="15387444"/>
    <w:rsid w:val="15394638"/>
    <w:rsid w:val="153B7917"/>
    <w:rsid w:val="154319A3"/>
    <w:rsid w:val="1546098D"/>
    <w:rsid w:val="154A4852"/>
    <w:rsid w:val="154B142E"/>
    <w:rsid w:val="15535AC9"/>
    <w:rsid w:val="15581113"/>
    <w:rsid w:val="15597D87"/>
    <w:rsid w:val="155A4148"/>
    <w:rsid w:val="15664266"/>
    <w:rsid w:val="15670BA0"/>
    <w:rsid w:val="15673BEF"/>
    <w:rsid w:val="15690DFF"/>
    <w:rsid w:val="1571316E"/>
    <w:rsid w:val="15732C9D"/>
    <w:rsid w:val="15884F28"/>
    <w:rsid w:val="158857B2"/>
    <w:rsid w:val="158C760D"/>
    <w:rsid w:val="158E0C0E"/>
    <w:rsid w:val="15906CC4"/>
    <w:rsid w:val="15975310"/>
    <w:rsid w:val="15982362"/>
    <w:rsid w:val="15992374"/>
    <w:rsid w:val="159960E6"/>
    <w:rsid w:val="159D6C91"/>
    <w:rsid w:val="15A40E5C"/>
    <w:rsid w:val="15A9192A"/>
    <w:rsid w:val="15AA1B53"/>
    <w:rsid w:val="15AB5957"/>
    <w:rsid w:val="15AE78E3"/>
    <w:rsid w:val="15BD04EE"/>
    <w:rsid w:val="15CA1722"/>
    <w:rsid w:val="15CB1AD7"/>
    <w:rsid w:val="15CF168C"/>
    <w:rsid w:val="15D97763"/>
    <w:rsid w:val="15DD193C"/>
    <w:rsid w:val="15DE1B5A"/>
    <w:rsid w:val="15DE290F"/>
    <w:rsid w:val="15DF3827"/>
    <w:rsid w:val="15E129DD"/>
    <w:rsid w:val="15E62C35"/>
    <w:rsid w:val="15E822EA"/>
    <w:rsid w:val="15EA5D7A"/>
    <w:rsid w:val="15F41D1D"/>
    <w:rsid w:val="15F70A0E"/>
    <w:rsid w:val="15FF2FA3"/>
    <w:rsid w:val="16037A24"/>
    <w:rsid w:val="160844A5"/>
    <w:rsid w:val="160921D9"/>
    <w:rsid w:val="16131D27"/>
    <w:rsid w:val="16147EB5"/>
    <w:rsid w:val="16243AC4"/>
    <w:rsid w:val="16246E87"/>
    <w:rsid w:val="162D3660"/>
    <w:rsid w:val="16340FF4"/>
    <w:rsid w:val="16376E28"/>
    <w:rsid w:val="16386CAA"/>
    <w:rsid w:val="16446AB7"/>
    <w:rsid w:val="164B1B20"/>
    <w:rsid w:val="164B6428"/>
    <w:rsid w:val="164D2637"/>
    <w:rsid w:val="165065A9"/>
    <w:rsid w:val="1651033E"/>
    <w:rsid w:val="16532576"/>
    <w:rsid w:val="1654025E"/>
    <w:rsid w:val="16572A10"/>
    <w:rsid w:val="165B5429"/>
    <w:rsid w:val="16627F14"/>
    <w:rsid w:val="166D6A36"/>
    <w:rsid w:val="166F7946"/>
    <w:rsid w:val="167043DE"/>
    <w:rsid w:val="167A1A3F"/>
    <w:rsid w:val="167A42C9"/>
    <w:rsid w:val="16846A9D"/>
    <w:rsid w:val="168C045A"/>
    <w:rsid w:val="168C453B"/>
    <w:rsid w:val="168D6A17"/>
    <w:rsid w:val="168E2693"/>
    <w:rsid w:val="168E5458"/>
    <w:rsid w:val="16910259"/>
    <w:rsid w:val="1696130E"/>
    <w:rsid w:val="169B4EDB"/>
    <w:rsid w:val="16AB238C"/>
    <w:rsid w:val="16AF215B"/>
    <w:rsid w:val="16AF2255"/>
    <w:rsid w:val="16AF532F"/>
    <w:rsid w:val="16B66AB2"/>
    <w:rsid w:val="16BE061F"/>
    <w:rsid w:val="16C85686"/>
    <w:rsid w:val="16CA423C"/>
    <w:rsid w:val="16D17061"/>
    <w:rsid w:val="16D22658"/>
    <w:rsid w:val="16D34F98"/>
    <w:rsid w:val="16DD5689"/>
    <w:rsid w:val="16E31697"/>
    <w:rsid w:val="16E4081B"/>
    <w:rsid w:val="16E90E54"/>
    <w:rsid w:val="16EC12DD"/>
    <w:rsid w:val="16F3408C"/>
    <w:rsid w:val="16F8281A"/>
    <w:rsid w:val="1705204F"/>
    <w:rsid w:val="17077D94"/>
    <w:rsid w:val="170B2A96"/>
    <w:rsid w:val="17104613"/>
    <w:rsid w:val="1710605E"/>
    <w:rsid w:val="17106A60"/>
    <w:rsid w:val="171C4976"/>
    <w:rsid w:val="171E050F"/>
    <w:rsid w:val="171E6793"/>
    <w:rsid w:val="17217C64"/>
    <w:rsid w:val="17312884"/>
    <w:rsid w:val="17343B30"/>
    <w:rsid w:val="17381971"/>
    <w:rsid w:val="17395AAA"/>
    <w:rsid w:val="173D7462"/>
    <w:rsid w:val="173E4717"/>
    <w:rsid w:val="174039BE"/>
    <w:rsid w:val="1741569F"/>
    <w:rsid w:val="17423175"/>
    <w:rsid w:val="1742790A"/>
    <w:rsid w:val="174316D8"/>
    <w:rsid w:val="17434691"/>
    <w:rsid w:val="174A50F9"/>
    <w:rsid w:val="174D7F22"/>
    <w:rsid w:val="174E2F43"/>
    <w:rsid w:val="175B0AE2"/>
    <w:rsid w:val="175B3491"/>
    <w:rsid w:val="175F3E15"/>
    <w:rsid w:val="17694CA7"/>
    <w:rsid w:val="176F1AAA"/>
    <w:rsid w:val="1772415E"/>
    <w:rsid w:val="1774547D"/>
    <w:rsid w:val="17760D1D"/>
    <w:rsid w:val="17835D6F"/>
    <w:rsid w:val="178435F1"/>
    <w:rsid w:val="178E6263"/>
    <w:rsid w:val="178E6C57"/>
    <w:rsid w:val="178F7814"/>
    <w:rsid w:val="17921A4A"/>
    <w:rsid w:val="179278A1"/>
    <w:rsid w:val="17A743C9"/>
    <w:rsid w:val="17AA28EF"/>
    <w:rsid w:val="17B10E91"/>
    <w:rsid w:val="17B556C0"/>
    <w:rsid w:val="17BB5CD1"/>
    <w:rsid w:val="17C30F44"/>
    <w:rsid w:val="17CA086A"/>
    <w:rsid w:val="17CA5093"/>
    <w:rsid w:val="17DF496F"/>
    <w:rsid w:val="17E02ED4"/>
    <w:rsid w:val="17E12F85"/>
    <w:rsid w:val="17E94B3B"/>
    <w:rsid w:val="17EE2EAA"/>
    <w:rsid w:val="17EF20CF"/>
    <w:rsid w:val="17F27568"/>
    <w:rsid w:val="17F8125E"/>
    <w:rsid w:val="17FD0DC6"/>
    <w:rsid w:val="17FD4E61"/>
    <w:rsid w:val="18010C7E"/>
    <w:rsid w:val="18012581"/>
    <w:rsid w:val="18067EB8"/>
    <w:rsid w:val="18083FB7"/>
    <w:rsid w:val="180B2911"/>
    <w:rsid w:val="18147E99"/>
    <w:rsid w:val="18153253"/>
    <w:rsid w:val="181A265A"/>
    <w:rsid w:val="181C34E8"/>
    <w:rsid w:val="18261F73"/>
    <w:rsid w:val="183056E4"/>
    <w:rsid w:val="183159A9"/>
    <w:rsid w:val="18364A10"/>
    <w:rsid w:val="18377638"/>
    <w:rsid w:val="1838393C"/>
    <w:rsid w:val="183A12DF"/>
    <w:rsid w:val="183D60D4"/>
    <w:rsid w:val="18416677"/>
    <w:rsid w:val="18441968"/>
    <w:rsid w:val="1845517C"/>
    <w:rsid w:val="184A4207"/>
    <w:rsid w:val="184B4EC8"/>
    <w:rsid w:val="184C2F1C"/>
    <w:rsid w:val="185456DC"/>
    <w:rsid w:val="185B4DED"/>
    <w:rsid w:val="185D4F4F"/>
    <w:rsid w:val="18691198"/>
    <w:rsid w:val="186A1165"/>
    <w:rsid w:val="186B63F5"/>
    <w:rsid w:val="186D5596"/>
    <w:rsid w:val="18715E0A"/>
    <w:rsid w:val="1875064D"/>
    <w:rsid w:val="187B03C0"/>
    <w:rsid w:val="187E0FF6"/>
    <w:rsid w:val="187E2BDB"/>
    <w:rsid w:val="18820AD8"/>
    <w:rsid w:val="18871F18"/>
    <w:rsid w:val="18874DEE"/>
    <w:rsid w:val="18894F7A"/>
    <w:rsid w:val="18897289"/>
    <w:rsid w:val="188B0548"/>
    <w:rsid w:val="188E52B0"/>
    <w:rsid w:val="18974F2F"/>
    <w:rsid w:val="189C54F4"/>
    <w:rsid w:val="189C6AAA"/>
    <w:rsid w:val="189E000B"/>
    <w:rsid w:val="18B77F6D"/>
    <w:rsid w:val="18C10701"/>
    <w:rsid w:val="18C7478C"/>
    <w:rsid w:val="18C84ADD"/>
    <w:rsid w:val="18C8790E"/>
    <w:rsid w:val="18D43FA0"/>
    <w:rsid w:val="18D51AAB"/>
    <w:rsid w:val="18D55A41"/>
    <w:rsid w:val="18D824AB"/>
    <w:rsid w:val="18D847A5"/>
    <w:rsid w:val="18E0672F"/>
    <w:rsid w:val="18E13622"/>
    <w:rsid w:val="18E519B8"/>
    <w:rsid w:val="18E667FE"/>
    <w:rsid w:val="18EC2E49"/>
    <w:rsid w:val="18ED2E4C"/>
    <w:rsid w:val="18F27C04"/>
    <w:rsid w:val="18F62932"/>
    <w:rsid w:val="190952CF"/>
    <w:rsid w:val="190E0807"/>
    <w:rsid w:val="190E5E6B"/>
    <w:rsid w:val="19104D85"/>
    <w:rsid w:val="191224EB"/>
    <w:rsid w:val="19162B66"/>
    <w:rsid w:val="19174519"/>
    <w:rsid w:val="19204BAC"/>
    <w:rsid w:val="192671FF"/>
    <w:rsid w:val="19271C4E"/>
    <w:rsid w:val="192C71B3"/>
    <w:rsid w:val="19331D86"/>
    <w:rsid w:val="19340802"/>
    <w:rsid w:val="193743D5"/>
    <w:rsid w:val="1938415F"/>
    <w:rsid w:val="19387E04"/>
    <w:rsid w:val="193A084F"/>
    <w:rsid w:val="1942362B"/>
    <w:rsid w:val="19445837"/>
    <w:rsid w:val="19473E5D"/>
    <w:rsid w:val="194B1ECD"/>
    <w:rsid w:val="19544AE3"/>
    <w:rsid w:val="19591645"/>
    <w:rsid w:val="195C28F9"/>
    <w:rsid w:val="195C4649"/>
    <w:rsid w:val="195F5BAB"/>
    <w:rsid w:val="196020EC"/>
    <w:rsid w:val="197000B8"/>
    <w:rsid w:val="1971580E"/>
    <w:rsid w:val="197167CD"/>
    <w:rsid w:val="197261D6"/>
    <w:rsid w:val="197A3A3B"/>
    <w:rsid w:val="197D71C7"/>
    <w:rsid w:val="19822A9F"/>
    <w:rsid w:val="1984676E"/>
    <w:rsid w:val="198D1DFA"/>
    <w:rsid w:val="198E5399"/>
    <w:rsid w:val="19924E8A"/>
    <w:rsid w:val="199307CC"/>
    <w:rsid w:val="199535B7"/>
    <w:rsid w:val="199E1370"/>
    <w:rsid w:val="19A15B69"/>
    <w:rsid w:val="19A44C4A"/>
    <w:rsid w:val="19B07306"/>
    <w:rsid w:val="19B149E8"/>
    <w:rsid w:val="19BA710F"/>
    <w:rsid w:val="19C02B10"/>
    <w:rsid w:val="19C43FD8"/>
    <w:rsid w:val="19C92681"/>
    <w:rsid w:val="19C96C46"/>
    <w:rsid w:val="19D0364C"/>
    <w:rsid w:val="19D505E6"/>
    <w:rsid w:val="19D8743C"/>
    <w:rsid w:val="19DD41AA"/>
    <w:rsid w:val="19F969DA"/>
    <w:rsid w:val="19FB3722"/>
    <w:rsid w:val="19FF3782"/>
    <w:rsid w:val="19FF5EAD"/>
    <w:rsid w:val="1A065896"/>
    <w:rsid w:val="1A0702B3"/>
    <w:rsid w:val="1A0D3D17"/>
    <w:rsid w:val="1A101119"/>
    <w:rsid w:val="1A134DAC"/>
    <w:rsid w:val="1A175305"/>
    <w:rsid w:val="1A201970"/>
    <w:rsid w:val="1A20795C"/>
    <w:rsid w:val="1A262600"/>
    <w:rsid w:val="1A3D4B62"/>
    <w:rsid w:val="1A4B27E9"/>
    <w:rsid w:val="1A4E4277"/>
    <w:rsid w:val="1A592FE3"/>
    <w:rsid w:val="1A5C6293"/>
    <w:rsid w:val="1A621DF7"/>
    <w:rsid w:val="1A651FB0"/>
    <w:rsid w:val="1A6851A2"/>
    <w:rsid w:val="1A696B52"/>
    <w:rsid w:val="1A6A65F8"/>
    <w:rsid w:val="1A717716"/>
    <w:rsid w:val="1A742071"/>
    <w:rsid w:val="1A7538A8"/>
    <w:rsid w:val="1A763D97"/>
    <w:rsid w:val="1A7A2CE2"/>
    <w:rsid w:val="1A7F7D19"/>
    <w:rsid w:val="1A820933"/>
    <w:rsid w:val="1A8A2876"/>
    <w:rsid w:val="1A8C691D"/>
    <w:rsid w:val="1A9944DC"/>
    <w:rsid w:val="1A9D28AC"/>
    <w:rsid w:val="1AA40A1A"/>
    <w:rsid w:val="1AA53432"/>
    <w:rsid w:val="1AAB4173"/>
    <w:rsid w:val="1AB47569"/>
    <w:rsid w:val="1AB8700A"/>
    <w:rsid w:val="1AC26246"/>
    <w:rsid w:val="1AD33BF1"/>
    <w:rsid w:val="1AE0703D"/>
    <w:rsid w:val="1AE72C55"/>
    <w:rsid w:val="1AE96DC2"/>
    <w:rsid w:val="1AF5083F"/>
    <w:rsid w:val="1AF77DDD"/>
    <w:rsid w:val="1B0476FF"/>
    <w:rsid w:val="1B074497"/>
    <w:rsid w:val="1B0B3DE6"/>
    <w:rsid w:val="1B0C6026"/>
    <w:rsid w:val="1B0D393D"/>
    <w:rsid w:val="1B1754E4"/>
    <w:rsid w:val="1B222D3B"/>
    <w:rsid w:val="1B250A6F"/>
    <w:rsid w:val="1B253F31"/>
    <w:rsid w:val="1B263D03"/>
    <w:rsid w:val="1B267B74"/>
    <w:rsid w:val="1B2A7E65"/>
    <w:rsid w:val="1B313D99"/>
    <w:rsid w:val="1B3828E8"/>
    <w:rsid w:val="1B3B6826"/>
    <w:rsid w:val="1B407FF7"/>
    <w:rsid w:val="1B4D403D"/>
    <w:rsid w:val="1B4E2C0F"/>
    <w:rsid w:val="1B594436"/>
    <w:rsid w:val="1B5D14B7"/>
    <w:rsid w:val="1B5D5DC5"/>
    <w:rsid w:val="1B620E89"/>
    <w:rsid w:val="1B643543"/>
    <w:rsid w:val="1B6445D2"/>
    <w:rsid w:val="1B687CCC"/>
    <w:rsid w:val="1B6F3B43"/>
    <w:rsid w:val="1B7B3D70"/>
    <w:rsid w:val="1B7C37FF"/>
    <w:rsid w:val="1B7D01D8"/>
    <w:rsid w:val="1B86587D"/>
    <w:rsid w:val="1B911129"/>
    <w:rsid w:val="1B933295"/>
    <w:rsid w:val="1B9477DB"/>
    <w:rsid w:val="1B99284E"/>
    <w:rsid w:val="1BA0339A"/>
    <w:rsid w:val="1BA12AFE"/>
    <w:rsid w:val="1BA17085"/>
    <w:rsid w:val="1BA52887"/>
    <w:rsid w:val="1BA8710E"/>
    <w:rsid w:val="1BAB4663"/>
    <w:rsid w:val="1BB627D7"/>
    <w:rsid w:val="1BC0232C"/>
    <w:rsid w:val="1BCA186C"/>
    <w:rsid w:val="1BCA7302"/>
    <w:rsid w:val="1BD14F0E"/>
    <w:rsid w:val="1BD66A6E"/>
    <w:rsid w:val="1BDA1DF0"/>
    <w:rsid w:val="1BE470AA"/>
    <w:rsid w:val="1BED5AB1"/>
    <w:rsid w:val="1BEF1636"/>
    <w:rsid w:val="1BEF3913"/>
    <w:rsid w:val="1BF31569"/>
    <w:rsid w:val="1BF62D13"/>
    <w:rsid w:val="1C0557A6"/>
    <w:rsid w:val="1C064E8A"/>
    <w:rsid w:val="1C065371"/>
    <w:rsid w:val="1C067B2D"/>
    <w:rsid w:val="1C077632"/>
    <w:rsid w:val="1C090723"/>
    <w:rsid w:val="1C16078D"/>
    <w:rsid w:val="1C182D6F"/>
    <w:rsid w:val="1C23413F"/>
    <w:rsid w:val="1C2541DE"/>
    <w:rsid w:val="1C3010A9"/>
    <w:rsid w:val="1C305AD8"/>
    <w:rsid w:val="1C3429EC"/>
    <w:rsid w:val="1C3614C0"/>
    <w:rsid w:val="1C3B0D22"/>
    <w:rsid w:val="1C461F97"/>
    <w:rsid w:val="1C4742D1"/>
    <w:rsid w:val="1C476383"/>
    <w:rsid w:val="1C49518B"/>
    <w:rsid w:val="1C4B160E"/>
    <w:rsid w:val="1C4D68EF"/>
    <w:rsid w:val="1C524FC8"/>
    <w:rsid w:val="1C53427E"/>
    <w:rsid w:val="1C554F16"/>
    <w:rsid w:val="1C5C25C4"/>
    <w:rsid w:val="1C6A4D3E"/>
    <w:rsid w:val="1C6B456B"/>
    <w:rsid w:val="1C6D1F4A"/>
    <w:rsid w:val="1C786FBE"/>
    <w:rsid w:val="1C7D63CF"/>
    <w:rsid w:val="1C85061E"/>
    <w:rsid w:val="1C8B51CC"/>
    <w:rsid w:val="1C9557FA"/>
    <w:rsid w:val="1C9B5177"/>
    <w:rsid w:val="1CA140C0"/>
    <w:rsid w:val="1CA81CD6"/>
    <w:rsid w:val="1CB012AF"/>
    <w:rsid w:val="1CB037E7"/>
    <w:rsid w:val="1CB25A44"/>
    <w:rsid w:val="1CC90389"/>
    <w:rsid w:val="1CD43BFA"/>
    <w:rsid w:val="1CD51803"/>
    <w:rsid w:val="1CDD3922"/>
    <w:rsid w:val="1CDE6DFF"/>
    <w:rsid w:val="1CE17F54"/>
    <w:rsid w:val="1CE33786"/>
    <w:rsid w:val="1CE9587D"/>
    <w:rsid w:val="1CEE15F0"/>
    <w:rsid w:val="1CEF00BB"/>
    <w:rsid w:val="1CF829E7"/>
    <w:rsid w:val="1CF959E9"/>
    <w:rsid w:val="1D006717"/>
    <w:rsid w:val="1D0357FE"/>
    <w:rsid w:val="1D05110B"/>
    <w:rsid w:val="1D0D4047"/>
    <w:rsid w:val="1D0E4B8B"/>
    <w:rsid w:val="1D176CEB"/>
    <w:rsid w:val="1D1C5247"/>
    <w:rsid w:val="1D1E7A58"/>
    <w:rsid w:val="1D21254D"/>
    <w:rsid w:val="1D213B9B"/>
    <w:rsid w:val="1D223CAA"/>
    <w:rsid w:val="1D343697"/>
    <w:rsid w:val="1D3B4AA5"/>
    <w:rsid w:val="1D411E32"/>
    <w:rsid w:val="1D432995"/>
    <w:rsid w:val="1D4A2396"/>
    <w:rsid w:val="1D4C6D19"/>
    <w:rsid w:val="1D50787E"/>
    <w:rsid w:val="1D516AE1"/>
    <w:rsid w:val="1D580548"/>
    <w:rsid w:val="1D643E71"/>
    <w:rsid w:val="1D6E6808"/>
    <w:rsid w:val="1D7644B5"/>
    <w:rsid w:val="1D7830A0"/>
    <w:rsid w:val="1D845952"/>
    <w:rsid w:val="1D891AA7"/>
    <w:rsid w:val="1D9B0F50"/>
    <w:rsid w:val="1DA101F0"/>
    <w:rsid w:val="1DA30E84"/>
    <w:rsid w:val="1DB51673"/>
    <w:rsid w:val="1DBA0456"/>
    <w:rsid w:val="1DC407D4"/>
    <w:rsid w:val="1DCB5E94"/>
    <w:rsid w:val="1DCF1631"/>
    <w:rsid w:val="1DD06B5B"/>
    <w:rsid w:val="1DD36AAC"/>
    <w:rsid w:val="1DD46470"/>
    <w:rsid w:val="1DD51B3E"/>
    <w:rsid w:val="1DD80E4A"/>
    <w:rsid w:val="1DDB39E8"/>
    <w:rsid w:val="1DF112DA"/>
    <w:rsid w:val="1DF34617"/>
    <w:rsid w:val="1DF87061"/>
    <w:rsid w:val="1DFF58D4"/>
    <w:rsid w:val="1DFF5E63"/>
    <w:rsid w:val="1E145B9D"/>
    <w:rsid w:val="1E182D6E"/>
    <w:rsid w:val="1E290FEE"/>
    <w:rsid w:val="1E2F6123"/>
    <w:rsid w:val="1E327EBC"/>
    <w:rsid w:val="1E35516D"/>
    <w:rsid w:val="1E365C25"/>
    <w:rsid w:val="1E37036C"/>
    <w:rsid w:val="1E3D2642"/>
    <w:rsid w:val="1E3E0297"/>
    <w:rsid w:val="1E42661D"/>
    <w:rsid w:val="1E5032C6"/>
    <w:rsid w:val="1E517EE3"/>
    <w:rsid w:val="1E666C0C"/>
    <w:rsid w:val="1E6A0471"/>
    <w:rsid w:val="1E6E1C6F"/>
    <w:rsid w:val="1E6E4118"/>
    <w:rsid w:val="1E7E682F"/>
    <w:rsid w:val="1E83363D"/>
    <w:rsid w:val="1E840B2D"/>
    <w:rsid w:val="1E84122D"/>
    <w:rsid w:val="1E8B7C1E"/>
    <w:rsid w:val="1E90384D"/>
    <w:rsid w:val="1EA0253E"/>
    <w:rsid w:val="1EA27F58"/>
    <w:rsid w:val="1EAD0465"/>
    <w:rsid w:val="1EB042A1"/>
    <w:rsid w:val="1EB56FE6"/>
    <w:rsid w:val="1EBB5FE3"/>
    <w:rsid w:val="1EBC2E6B"/>
    <w:rsid w:val="1EBD606C"/>
    <w:rsid w:val="1EBE3367"/>
    <w:rsid w:val="1EC274FC"/>
    <w:rsid w:val="1EC718DE"/>
    <w:rsid w:val="1ECE5D05"/>
    <w:rsid w:val="1ECF503F"/>
    <w:rsid w:val="1EDA6107"/>
    <w:rsid w:val="1EDE294F"/>
    <w:rsid w:val="1EE01202"/>
    <w:rsid w:val="1EE7275C"/>
    <w:rsid w:val="1EE92671"/>
    <w:rsid w:val="1EEB6467"/>
    <w:rsid w:val="1EF403DF"/>
    <w:rsid w:val="1EF7286C"/>
    <w:rsid w:val="1F083B75"/>
    <w:rsid w:val="1F0B2A21"/>
    <w:rsid w:val="1F0D112B"/>
    <w:rsid w:val="1F1447F6"/>
    <w:rsid w:val="1F1453E6"/>
    <w:rsid w:val="1F145F86"/>
    <w:rsid w:val="1F146CF7"/>
    <w:rsid w:val="1F18224A"/>
    <w:rsid w:val="1F1F1DFD"/>
    <w:rsid w:val="1F204CEA"/>
    <w:rsid w:val="1F217AA7"/>
    <w:rsid w:val="1F2334C2"/>
    <w:rsid w:val="1F273D63"/>
    <w:rsid w:val="1F2D033C"/>
    <w:rsid w:val="1F3869BC"/>
    <w:rsid w:val="1F3A05A8"/>
    <w:rsid w:val="1F3A53AF"/>
    <w:rsid w:val="1F3C6F68"/>
    <w:rsid w:val="1F505DE7"/>
    <w:rsid w:val="1F515BD9"/>
    <w:rsid w:val="1F5577D0"/>
    <w:rsid w:val="1F574652"/>
    <w:rsid w:val="1F581BF7"/>
    <w:rsid w:val="1F5A6630"/>
    <w:rsid w:val="1F627DE8"/>
    <w:rsid w:val="1F6B2418"/>
    <w:rsid w:val="1F704242"/>
    <w:rsid w:val="1F7915DF"/>
    <w:rsid w:val="1F7D1D3C"/>
    <w:rsid w:val="1F8641A7"/>
    <w:rsid w:val="1F872046"/>
    <w:rsid w:val="1F8A091E"/>
    <w:rsid w:val="1F902DB2"/>
    <w:rsid w:val="1F944A15"/>
    <w:rsid w:val="1FA03EB9"/>
    <w:rsid w:val="1FA6252C"/>
    <w:rsid w:val="1FAE1281"/>
    <w:rsid w:val="1FAE2135"/>
    <w:rsid w:val="1FB263DC"/>
    <w:rsid w:val="1FB67754"/>
    <w:rsid w:val="1FB8193D"/>
    <w:rsid w:val="1FBC6F29"/>
    <w:rsid w:val="1FBF2D1C"/>
    <w:rsid w:val="1FC41911"/>
    <w:rsid w:val="1FC844EC"/>
    <w:rsid w:val="1FD159A2"/>
    <w:rsid w:val="1FD378FB"/>
    <w:rsid w:val="1FDE184B"/>
    <w:rsid w:val="1FDF001F"/>
    <w:rsid w:val="1FDF1C6E"/>
    <w:rsid w:val="1FDF7A57"/>
    <w:rsid w:val="1FE15982"/>
    <w:rsid w:val="1FE35F19"/>
    <w:rsid w:val="1FE6313C"/>
    <w:rsid w:val="1FEB2F49"/>
    <w:rsid w:val="1FF862A0"/>
    <w:rsid w:val="1FF95CA5"/>
    <w:rsid w:val="1FFA6F0C"/>
    <w:rsid w:val="20021536"/>
    <w:rsid w:val="20023CD9"/>
    <w:rsid w:val="200336FE"/>
    <w:rsid w:val="20073429"/>
    <w:rsid w:val="20075C76"/>
    <w:rsid w:val="200854B2"/>
    <w:rsid w:val="2009138D"/>
    <w:rsid w:val="200D6BB0"/>
    <w:rsid w:val="20135F44"/>
    <w:rsid w:val="20150008"/>
    <w:rsid w:val="201920C0"/>
    <w:rsid w:val="201F0BB7"/>
    <w:rsid w:val="20224E43"/>
    <w:rsid w:val="202C1272"/>
    <w:rsid w:val="202D5989"/>
    <w:rsid w:val="202E1466"/>
    <w:rsid w:val="2030323B"/>
    <w:rsid w:val="203856B1"/>
    <w:rsid w:val="203948A6"/>
    <w:rsid w:val="20452F78"/>
    <w:rsid w:val="204834BA"/>
    <w:rsid w:val="204A38C5"/>
    <w:rsid w:val="20524B5A"/>
    <w:rsid w:val="205521DF"/>
    <w:rsid w:val="20605F52"/>
    <w:rsid w:val="206E7F3A"/>
    <w:rsid w:val="206F734C"/>
    <w:rsid w:val="20811425"/>
    <w:rsid w:val="20830EEB"/>
    <w:rsid w:val="20836A1E"/>
    <w:rsid w:val="20870E6C"/>
    <w:rsid w:val="20873C87"/>
    <w:rsid w:val="20875A61"/>
    <w:rsid w:val="20880D7F"/>
    <w:rsid w:val="208B353C"/>
    <w:rsid w:val="208E3273"/>
    <w:rsid w:val="209B5596"/>
    <w:rsid w:val="20A06F2B"/>
    <w:rsid w:val="20A20358"/>
    <w:rsid w:val="20A20AD8"/>
    <w:rsid w:val="20AC1060"/>
    <w:rsid w:val="20B02D3A"/>
    <w:rsid w:val="20C172E0"/>
    <w:rsid w:val="20C614EE"/>
    <w:rsid w:val="20C745CA"/>
    <w:rsid w:val="20CB6849"/>
    <w:rsid w:val="20D1389E"/>
    <w:rsid w:val="20D726A3"/>
    <w:rsid w:val="20DD37E3"/>
    <w:rsid w:val="20E42167"/>
    <w:rsid w:val="20ED650F"/>
    <w:rsid w:val="20F06524"/>
    <w:rsid w:val="20FF13AB"/>
    <w:rsid w:val="210B411B"/>
    <w:rsid w:val="210E0B54"/>
    <w:rsid w:val="210E5E0E"/>
    <w:rsid w:val="21107A85"/>
    <w:rsid w:val="2111116F"/>
    <w:rsid w:val="21140D48"/>
    <w:rsid w:val="212033DD"/>
    <w:rsid w:val="21260124"/>
    <w:rsid w:val="212D4721"/>
    <w:rsid w:val="213C65D3"/>
    <w:rsid w:val="21455E51"/>
    <w:rsid w:val="21475126"/>
    <w:rsid w:val="214A6A63"/>
    <w:rsid w:val="214C045A"/>
    <w:rsid w:val="214E3BB5"/>
    <w:rsid w:val="21576C6B"/>
    <w:rsid w:val="215F03F5"/>
    <w:rsid w:val="215F0C1A"/>
    <w:rsid w:val="215F60A0"/>
    <w:rsid w:val="21627158"/>
    <w:rsid w:val="2165640F"/>
    <w:rsid w:val="216D1F32"/>
    <w:rsid w:val="216F580D"/>
    <w:rsid w:val="21703F62"/>
    <w:rsid w:val="217077B7"/>
    <w:rsid w:val="217234F0"/>
    <w:rsid w:val="21750AF8"/>
    <w:rsid w:val="21795633"/>
    <w:rsid w:val="217C72B6"/>
    <w:rsid w:val="217E13E9"/>
    <w:rsid w:val="218154D6"/>
    <w:rsid w:val="21847096"/>
    <w:rsid w:val="21875634"/>
    <w:rsid w:val="218760B3"/>
    <w:rsid w:val="218A17BC"/>
    <w:rsid w:val="218C367D"/>
    <w:rsid w:val="218D4581"/>
    <w:rsid w:val="218D5A9B"/>
    <w:rsid w:val="218D714B"/>
    <w:rsid w:val="219965EE"/>
    <w:rsid w:val="21A2435C"/>
    <w:rsid w:val="21A37BED"/>
    <w:rsid w:val="21AA49F6"/>
    <w:rsid w:val="21AD6F4E"/>
    <w:rsid w:val="21AE0ED8"/>
    <w:rsid w:val="21AE3578"/>
    <w:rsid w:val="21B253BF"/>
    <w:rsid w:val="21B566BB"/>
    <w:rsid w:val="21BA6249"/>
    <w:rsid w:val="21BC6D5B"/>
    <w:rsid w:val="21BF7F66"/>
    <w:rsid w:val="21C306F3"/>
    <w:rsid w:val="21D32CBA"/>
    <w:rsid w:val="21D81D04"/>
    <w:rsid w:val="21DE2722"/>
    <w:rsid w:val="21E00695"/>
    <w:rsid w:val="21E525D8"/>
    <w:rsid w:val="21E5787D"/>
    <w:rsid w:val="21E861FE"/>
    <w:rsid w:val="21EA3F8D"/>
    <w:rsid w:val="21EA67E0"/>
    <w:rsid w:val="21EF3015"/>
    <w:rsid w:val="21F336B6"/>
    <w:rsid w:val="21FD7270"/>
    <w:rsid w:val="22001F27"/>
    <w:rsid w:val="22023119"/>
    <w:rsid w:val="22035975"/>
    <w:rsid w:val="22143402"/>
    <w:rsid w:val="221503F3"/>
    <w:rsid w:val="22163F3B"/>
    <w:rsid w:val="221E6EC5"/>
    <w:rsid w:val="22267387"/>
    <w:rsid w:val="22292080"/>
    <w:rsid w:val="222A29C6"/>
    <w:rsid w:val="222B179F"/>
    <w:rsid w:val="222C3519"/>
    <w:rsid w:val="22362D51"/>
    <w:rsid w:val="223A2527"/>
    <w:rsid w:val="223C011C"/>
    <w:rsid w:val="223C4EF3"/>
    <w:rsid w:val="22403DCF"/>
    <w:rsid w:val="224B1CD3"/>
    <w:rsid w:val="224B3B04"/>
    <w:rsid w:val="224B58A2"/>
    <w:rsid w:val="224E22E5"/>
    <w:rsid w:val="225221DD"/>
    <w:rsid w:val="22586ED6"/>
    <w:rsid w:val="225C38B8"/>
    <w:rsid w:val="22616418"/>
    <w:rsid w:val="22665C19"/>
    <w:rsid w:val="226747E9"/>
    <w:rsid w:val="226A4331"/>
    <w:rsid w:val="226A7027"/>
    <w:rsid w:val="226E56BB"/>
    <w:rsid w:val="22702D3E"/>
    <w:rsid w:val="22771A98"/>
    <w:rsid w:val="227A2B52"/>
    <w:rsid w:val="227E0C7A"/>
    <w:rsid w:val="228351A7"/>
    <w:rsid w:val="228A1B42"/>
    <w:rsid w:val="22916E6F"/>
    <w:rsid w:val="22A06EF8"/>
    <w:rsid w:val="22A60DC9"/>
    <w:rsid w:val="22A70A26"/>
    <w:rsid w:val="22AC164E"/>
    <w:rsid w:val="22B2637F"/>
    <w:rsid w:val="22B418AF"/>
    <w:rsid w:val="22B77317"/>
    <w:rsid w:val="22C333CF"/>
    <w:rsid w:val="22C43179"/>
    <w:rsid w:val="22CA099F"/>
    <w:rsid w:val="22CA69CD"/>
    <w:rsid w:val="22CB6667"/>
    <w:rsid w:val="22CE69A3"/>
    <w:rsid w:val="22D1554F"/>
    <w:rsid w:val="22D24124"/>
    <w:rsid w:val="22DD24A5"/>
    <w:rsid w:val="22E07E95"/>
    <w:rsid w:val="22E26D44"/>
    <w:rsid w:val="22E50DCF"/>
    <w:rsid w:val="22F00D89"/>
    <w:rsid w:val="22F16C62"/>
    <w:rsid w:val="22FA7B3F"/>
    <w:rsid w:val="22FB5317"/>
    <w:rsid w:val="23026AF4"/>
    <w:rsid w:val="23047DCD"/>
    <w:rsid w:val="23096B03"/>
    <w:rsid w:val="230C3C70"/>
    <w:rsid w:val="230C4904"/>
    <w:rsid w:val="23132630"/>
    <w:rsid w:val="23170436"/>
    <w:rsid w:val="23172DF0"/>
    <w:rsid w:val="23194F5F"/>
    <w:rsid w:val="231D30EB"/>
    <w:rsid w:val="231D41AC"/>
    <w:rsid w:val="231D5701"/>
    <w:rsid w:val="231E3ED0"/>
    <w:rsid w:val="23206C87"/>
    <w:rsid w:val="23253CFC"/>
    <w:rsid w:val="232B5140"/>
    <w:rsid w:val="23321E5E"/>
    <w:rsid w:val="23336450"/>
    <w:rsid w:val="233364E3"/>
    <w:rsid w:val="233424B3"/>
    <w:rsid w:val="23382C52"/>
    <w:rsid w:val="233B5E18"/>
    <w:rsid w:val="233F19E3"/>
    <w:rsid w:val="234B0D34"/>
    <w:rsid w:val="234B7065"/>
    <w:rsid w:val="235273F4"/>
    <w:rsid w:val="23551721"/>
    <w:rsid w:val="235F12C4"/>
    <w:rsid w:val="236139E8"/>
    <w:rsid w:val="2363360F"/>
    <w:rsid w:val="236468EA"/>
    <w:rsid w:val="23672BBE"/>
    <w:rsid w:val="236A7303"/>
    <w:rsid w:val="236E13AF"/>
    <w:rsid w:val="23726305"/>
    <w:rsid w:val="237D40F5"/>
    <w:rsid w:val="238624E5"/>
    <w:rsid w:val="23883796"/>
    <w:rsid w:val="238C16D5"/>
    <w:rsid w:val="238E7CD2"/>
    <w:rsid w:val="238F2B54"/>
    <w:rsid w:val="238F7FE9"/>
    <w:rsid w:val="23927083"/>
    <w:rsid w:val="2392725A"/>
    <w:rsid w:val="23932015"/>
    <w:rsid w:val="239343C4"/>
    <w:rsid w:val="23942E19"/>
    <w:rsid w:val="23961A12"/>
    <w:rsid w:val="23A31CFA"/>
    <w:rsid w:val="23A53476"/>
    <w:rsid w:val="23AF4AE0"/>
    <w:rsid w:val="23B55237"/>
    <w:rsid w:val="23C8129A"/>
    <w:rsid w:val="23C968DF"/>
    <w:rsid w:val="23CF556A"/>
    <w:rsid w:val="23D547A6"/>
    <w:rsid w:val="23D82AD6"/>
    <w:rsid w:val="23DA62F7"/>
    <w:rsid w:val="23E63BA1"/>
    <w:rsid w:val="23E85116"/>
    <w:rsid w:val="23ED342E"/>
    <w:rsid w:val="23ED7C62"/>
    <w:rsid w:val="23F845B9"/>
    <w:rsid w:val="23FA2F8E"/>
    <w:rsid w:val="23FF1D05"/>
    <w:rsid w:val="240163F5"/>
    <w:rsid w:val="24025487"/>
    <w:rsid w:val="2404174D"/>
    <w:rsid w:val="240B1D0B"/>
    <w:rsid w:val="240F2FFD"/>
    <w:rsid w:val="241D030C"/>
    <w:rsid w:val="24213E18"/>
    <w:rsid w:val="24223766"/>
    <w:rsid w:val="24315FB5"/>
    <w:rsid w:val="24341A49"/>
    <w:rsid w:val="243B765E"/>
    <w:rsid w:val="243E4C2D"/>
    <w:rsid w:val="243F6A61"/>
    <w:rsid w:val="24406EB3"/>
    <w:rsid w:val="244D27FE"/>
    <w:rsid w:val="244D67E2"/>
    <w:rsid w:val="2452702E"/>
    <w:rsid w:val="245B5662"/>
    <w:rsid w:val="245D6946"/>
    <w:rsid w:val="246E650A"/>
    <w:rsid w:val="24734C5A"/>
    <w:rsid w:val="248A72B4"/>
    <w:rsid w:val="248D1A34"/>
    <w:rsid w:val="249111F8"/>
    <w:rsid w:val="249C5EA7"/>
    <w:rsid w:val="24A249BA"/>
    <w:rsid w:val="24A35C8A"/>
    <w:rsid w:val="24A960FD"/>
    <w:rsid w:val="24AB31B7"/>
    <w:rsid w:val="24B21077"/>
    <w:rsid w:val="24BB2646"/>
    <w:rsid w:val="24BD6070"/>
    <w:rsid w:val="24D41405"/>
    <w:rsid w:val="24D9032C"/>
    <w:rsid w:val="24E07F23"/>
    <w:rsid w:val="24E73903"/>
    <w:rsid w:val="24EF3CBF"/>
    <w:rsid w:val="24F23153"/>
    <w:rsid w:val="24FA1D86"/>
    <w:rsid w:val="25023B10"/>
    <w:rsid w:val="25052C3D"/>
    <w:rsid w:val="25096FFE"/>
    <w:rsid w:val="250B45B8"/>
    <w:rsid w:val="250D34C9"/>
    <w:rsid w:val="25126BA3"/>
    <w:rsid w:val="25156633"/>
    <w:rsid w:val="251E593E"/>
    <w:rsid w:val="252155DF"/>
    <w:rsid w:val="25216277"/>
    <w:rsid w:val="252167B4"/>
    <w:rsid w:val="25246764"/>
    <w:rsid w:val="252A489F"/>
    <w:rsid w:val="252B2A2C"/>
    <w:rsid w:val="25342352"/>
    <w:rsid w:val="253C04AE"/>
    <w:rsid w:val="253F161C"/>
    <w:rsid w:val="25416F08"/>
    <w:rsid w:val="25480549"/>
    <w:rsid w:val="254B25C7"/>
    <w:rsid w:val="254C0500"/>
    <w:rsid w:val="25502F26"/>
    <w:rsid w:val="2558596F"/>
    <w:rsid w:val="255B7A78"/>
    <w:rsid w:val="2563766E"/>
    <w:rsid w:val="25663D60"/>
    <w:rsid w:val="25681849"/>
    <w:rsid w:val="25697974"/>
    <w:rsid w:val="257057F6"/>
    <w:rsid w:val="25710162"/>
    <w:rsid w:val="25756279"/>
    <w:rsid w:val="25854029"/>
    <w:rsid w:val="258A1AEB"/>
    <w:rsid w:val="258F2AD1"/>
    <w:rsid w:val="258F31FA"/>
    <w:rsid w:val="25A063C1"/>
    <w:rsid w:val="25AA3EAF"/>
    <w:rsid w:val="25AD1A9A"/>
    <w:rsid w:val="25B24C8B"/>
    <w:rsid w:val="25B55387"/>
    <w:rsid w:val="25D40326"/>
    <w:rsid w:val="25D636F5"/>
    <w:rsid w:val="25D82D06"/>
    <w:rsid w:val="25DD0DBB"/>
    <w:rsid w:val="25DD1E0C"/>
    <w:rsid w:val="25E76D4D"/>
    <w:rsid w:val="25EC41D2"/>
    <w:rsid w:val="25F10285"/>
    <w:rsid w:val="25F137F1"/>
    <w:rsid w:val="25F272BC"/>
    <w:rsid w:val="25FA2FC8"/>
    <w:rsid w:val="26017724"/>
    <w:rsid w:val="26062DB3"/>
    <w:rsid w:val="260D159B"/>
    <w:rsid w:val="260D5A66"/>
    <w:rsid w:val="261775DF"/>
    <w:rsid w:val="2618781A"/>
    <w:rsid w:val="2619005D"/>
    <w:rsid w:val="261B46B6"/>
    <w:rsid w:val="261E4950"/>
    <w:rsid w:val="262316A9"/>
    <w:rsid w:val="262672DE"/>
    <w:rsid w:val="2628269D"/>
    <w:rsid w:val="26290F95"/>
    <w:rsid w:val="262D79C4"/>
    <w:rsid w:val="26363738"/>
    <w:rsid w:val="26382100"/>
    <w:rsid w:val="263A4D16"/>
    <w:rsid w:val="26455AFD"/>
    <w:rsid w:val="264E7DB9"/>
    <w:rsid w:val="26526452"/>
    <w:rsid w:val="26571F72"/>
    <w:rsid w:val="265F2032"/>
    <w:rsid w:val="26606DCE"/>
    <w:rsid w:val="266558BA"/>
    <w:rsid w:val="26664FC9"/>
    <w:rsid w:val="26690FBD"/>
    <w:rsid w:val="266B5978"/>
    <w:rsid w:val="267236C8"/>
    <w:rsid w:val="267E7702"/>
    <w:rsid w:val="2680292B"/>
    <w:rsid w:val="26861A70"/>
    <w:rsid w:val="26970B5F"/>
    <w:rsid w:val="269750A2"/>
    <w:rsid w:val="26976EFF"/>
    <w:rsid w:val="269D0ED9"/>
    <w:rsid w:val="26A0255B"/>
    <w:rsid w:val="26B958A0"/>
    <w:rsid w:val="26BA4341"/>
    <w:rsid w:val="26BC7F36"/>
    <w:rsid w:val="26C035FB"/>
    <w:rsid w:val="26C649A3"/>
    <w:rsid w:val="26CB6B0F"/>
    <w:rsid w:val="26CC10D3"/>
    <w:rsid w:val="26D86185"/>
    <w:rsid w:val="26DA1097"/>
    <w:rsid w:val="26E673CF"/>
    <w:rsid w:val="26E7034A"/>
    <w:rsid w:val="26F374BD"/>
    <w:rsid w:val="26F44E79"/>
    <w:rsid w:val="26F459DC"/>
    <w:rsid w:val="26F65B32"/>
    <w:rsid w:val="26F934DF"/>
    <w:rsid w:val="26FF1198"/>
    <w:rsid w:val="27020863"/>
    <w:rsid w:val="27024BFD"/>
    <w:rsid w:val="270A783F"/>
    <w:rsid w:val="27113D1F"/>
    <w:rsid w:val="271507B9"/>
    <w:rsid w:val="2716264F"/>
    <w:rsid w:val="27170C24"/>
    <w:rsid w:val="271A6268"/>
    <w:rsid w:val="271D1A57"/>
    <w:rsid w:val="27207958"/>
    <w:rsid w:val="27211016"/>
    <w:rsid w:val="27224DF6"/>
    <w:rsid w:val="272909CF"/>
    <w:rsid w:val="272B22F8"/>
    <w:rsid w:val="272B37D7"/>
    <w:rsid w:val="27301DE7"/>
    <w:rsid w:val="273B5DA1"/>
    <w:rsid w:val="273B71C8"/>
    <w:rsid w:val="273D5653"/>
    <w:rsid w:val="274C3B89"/>
    <w:rsid w:val="274E692C"/>
    <w:rsid w:val="27527CEC"/>
    <w:rsid w:val="275969AD"/>
    <w:rsid w:val="275B1376"/>
    <w:rsid w:val="275B31DD"/>
    <w:rsid w:val="275C74BE"/>
    <w:rsid w:val="27602605"/>
    <w:rsid w:val="276C6C78"/>
    <w:rsid w:val="276C7D24"/>
    <w:rsid w:val="27777750"/>
    <w:rsid w:val="27782787"/>
    <w:rsid w:val="277C0363"/>
    <w:rsid w:val="27820FBE"/>
    <w:rsid w:val="27822E7E"/>
    <w:rsid w:val="278356E5"/>
    <w:rsid w:val="27884573"/>
    <w:rsid w:val="279903F0"/>
    <w:rsid w:val="279A58AB"/>
    <w:rsid w:val="279B146F"/>
    <w:rsid w:val="279C0E9E"/>
    <w:rsid w:val="279F7DB1"/>
    <w:rsid w:val="27A203F6"/>
    <w:rsid w:val="27A66C19"/>
    <w:rsid w:val="27AD3F0C"/>
    <w:rsid w:val="27B1431F"/>
    <w:rsid w:val="27BB1FB8"/>
    <w:rsid w:val="27CC11C5"/>
    <w:rsid w:val="27CD750D"/>
    <w:rsid w:val="27D92530"/>
    <w:rsid w:val="27D97B3C"/>
    <w:rsid w:val="27DE1326"/>
    <w:rsid w:val="27EB30B9"/>
    <w:rsid w:val="27EC524E"/>
    <w:rsid w:val="27F11107"/>
    <w:rsid w:val="27F96DC4"/>
    <w:rsid w:val="28032303"/>
    <w:rsid w:val="2808322A"/>
    <w:rsid w:val="280A7183"/>
    <w:rsid w:val="280B3003"/>
    <w:rsid w:val="280C515E"/>
    <w:rsid w:val="281131C5"/>
    <w:rsid w:val="28136824"/>
    <w:rsid w:val="28160A96"/>
    <w:rsid w:val="28177602"/>
    <w:rsid w:val="28180899"/>
    <w:rsid w:val="282041EB"/>
    <w:rsid w:val="282D12E0"/>
    <w:rsid w:val="28310FDD"/>
    <w:rsid w:val="283467C1"/>
    <w:rsid w:val="283A0645"/>
    <w:rsid w:val="2840255F"/>
    <w:rsid w:val="2842685E"/>
    <w:rsid w:val="285023A6"/>
    <w:rsid w:val="28523BC4"/>
    <w:rsid w:val="285839A7"/>
    <w:rsid w:val="28591FA3"/>
    <w:rsid w:val="2864478B"/>
    <w:rsid w:val="28656BEE"/>
    <w:rsid w:val="28682904"/>
    <w:rsid w:val="286D43E3"/>
    <w:rsid w:val="286D79A7"/>
    <w:rsid w:val="287679D7"/>
    <w:rsid w:val="28783F71"/>
    <w:rsid w:val="287A0BBA"/>
    <w:rsid w:val="287A178E"/>
    <w:rsid w:val="287D6D38"/>
    <w:rsid w:val="287F4A5E"/>
    <w:rsid w:val="287F7361"/>
    <w:rsid w:val="28865DBB"/>
    <w:rsid w:val="28886836"/>
    <w:rsid w:val="288D2886"/>
    <w:rsid w:val="288E120A"/>
    <w:rsid w:val="28944450"/>
    <w:rsid w:val="289B1522"/>
    <w:rsid w:val="28AB48B6"/>
    <w:rsid w:val="28AC138A"/>
    <w:rsid w:val="28AE54F6"/>
    <w:rsid w:val="28AE6618"/>
    <w:rsid w:val="28AF08D2"/>
    <w:rsid w:val="28C037AA"/>
    <w:rsid w:val="28C4107E"/>
    <w:rsid w:val="28C67036"/>
    <w:rsid w:val="28C71711"/>
    <w:rsid w:val="28CD2E30"/>
    <w:rsid w:val="28D34122"/>
    <w:rsid w:val="28DB3FE3"/>
    <w:rsid w:val="28ED6A6E"/>
    <w:rsid w:val="28EE2DEB"/>
    <w:rsid w:val="28F835BF"/>
    <w:rsid w:val="29062AB3"/>
    <w:rsid w:val="29064157"/>
    <w:rsid w:val="29095BBE"/>
    <w:rsid w:val="290D5D8B"/>
    <w:rsid w:val="29127423"/>
    <w:rsid w:val="2916350A"/>
    <w:rsid w:val="291776ED"/>
    <w:rsid w:val="29185488"/>
    <w:rsid w:val="291A4A16"/>
    <w:rsid w:val="29245709"/>
    <w:rsid w:val="292D363E"/>
    <w:rsid w:val="292F22C3"/>
    <w:rsid w:val="293237EB"/>
    <w:rsid w:val="29373C82"/>
    <w:rsid w:val="29377D2F"/>
    <w:rsid w:val="29385573"/>
    <w:rsid w:val="29467A4B"/>
    <w:rsid w:val="294A6C04"/>
    <w:rsid w:val="294C24CE"/>
    <w:rsid w:val="29526EB3"/>
    <w:rsid w:val="295B78CF"/>
    <w:rsid w:val="295D7783"/>
    <w:rsid w:val="29605084"/>
    <w:rsid w:val="296115DF"/>
    <w:rsid w:val="29625322"/>
    <w:rsid w:val="296319B5"/>
    <w:rsid w:val="29713C6F"/>
    <w:rsid w:val="29773636"/>
    <w:rsid w:val="29796F17"/>
    <w:rsid w:val="297D5779"/>
    <w:rsid w:val="297E7FED"/>
    <w:rsid w:val="29867A80"/>
    <w:rsid w:val="2993036F"/>
    <w:rsid w:val="29930B6A"/>
    <w:rsid w:val="299A7767"/>
    <w:rsid w:val="299B4217"/>
    <w:rsid w:val="299C0AE0"/>
    <w:rsid w:val="29A136F0"/>
    <w:rsid w:val="29A242FC"/>
    <w:rsid w:val="29A33A74"/>
    <w:rsid w:val="29B203DF"/>
    <w:rsid w:val="29B451A2"/>
    <w:rsid w:val="29B678BF"/>
    <w:rsid w:val="29BC0186"/>
    <w:rsid w:val="29BC0909"/>
    <w:rsid w:val="29C17439"/>
    <w:rsid w:val="29C66552"/>
    <w:rsid w:val="29CC49D3"/>
    <w:rsid w:val="29CD79A8"/>
    <w:rsid w:val="29CF5884"/>
    <w:rsid w:val="29D03CA9"/>
    <w:rsid w:val="29D32435"/>
    <w:rsid w:val="29D325F0"/>
    <w:rsid w:val="29D647DA"/>
    <w:rsid w:val="29DA7FF9"/>
    <w:rsid w:val="29DE4A86"/>
    <w:rsid w:val="29DF07F5"/>
    <w:rsid w:val="29E7472E"/>
    <w:rsid w:val="29EA7C81"/>
    <w:rsid w:val="29EC1299"/>
    <w:rsid w:val="29ED11DA"/>
    <w:rsid w:val="29EF0777"/>
    <w:rsid w:val="29F5154F"/>
    <w:rsid w:val="29F52ED4"/>
    <w:rsid w:val="29F632A6"/>
    <w:rsid w:val="29F943E5"/>
    <w:rsid w:val="29FD5C5A"/>
    <w:rsid w:val="2A016542"/>
    <w:rsid w:val="2A0424FD"/>
    <w:rsid w:val="2A0C3E8D"/>
    <w:rsid w:val="2A1023F5"/>
    <w:rsid w:val="2A1306B4"/>
    <w:rsid w:val="2A1752C5"/>
    <w:rsid w:val="2A1B2B9D"/>
    <w:rsid w:val="2A1E46EE"/>
    <w:rsid w:val="2A1F5051"/>
    <w:rsid w:val="2A20265E"/>
    <w:rsid w:val="2A2369CA"/>
    <w:rsid w:val="2A26797A"/>
    <w:rsid w:val="2A290B76"/>
    <w:rsid w:val="2A2C05C0"/>
    <w:rsid w:val="2A2F1CCD"/>
    <w:rsid w:val="2A2F4ADE"/>
    <w:rsid w:val="2A3C1B38"/>
    <w:rsid w:val="2A3D01F5"/>
    <w:rsid w:val="2A415A8C"/>
    <w:rsid w:val="2A426B83"/>
    <w:rsid w:val="2A485A0C"/>
    <w:rsid w:val="2A4B4854"/>
    <w:rsid w:val="2A4E1C63"/>
    <w:rsid w:val="2A6510EA"/>
    <w:rsid w:val="2A653F6F"/>
    <w:rsid w:val="2A6D08BD"/>
    <w:rsid w:val="2A784667"/>
    <w:rsid w:val="2A7C1D6A"/>
    <w:rsid w:val="2A845191"/>
    <w:rsid w:val="2A961AE1"/>
    <w:rsid w:val="2A9949D2"/>
    <w:rsid w:val="2A9A4738"/>
    <w:rsid w:val="2A9F530C"/>
    <w:rsid w:val="2AA372C7"/>
    <w:rsid w:val="2AA42C17"/>
    <w:rsid w:val="2AB0615C"/>
    <w:rsid w:val="2AB65B66"/>
    <w:rsid w:val="2AB7478C"/>
    <w:rsid w:val="2AC47F5D"/>
    <w:rsid w:val="2AD13C49"/>
    <w:rsid w:val="2AD939B3"/>
    <w:rsid w:val="2ADF2CDB"/>
    <w:rsid w:val="2AE02A3E"/>
    <w:rsid w:val="2AEC1ADD"/>
    <w:rsid w:val="2AF53946"/>
    <w:rsid w:val="2B0016CE"/>
    <w:rsid w:val="2B0B0A76"/>
    <w:rsid w:val="2B135532"/>
    <w:rsid w:val="2B371CB9"/>
    <w:rsid w:val="2B385979"/>
    <w:rsid w:val="2B3C1CA6"/>
    <w:rsid w:val="2B3D3FE4"/>
    <w:rsid w:val="2B425315"/>
    <w:rsid w:val="2B45011B"/>
    <w:rsid w:val="2B481514"/>
    <w:rsid w:val="2B4B5271"/>
    <w:rsid w:val="2B4D1F25"/>
    <w:rsid w:val="2B542196"/>
    <w:rsid w:val="2B597D0F"/>
    <w:rsid w:val="2B5F1042"/>
    <w:rsid w:val="2B601434"/>
    <w:rsid w:val="2B673C2C"/>
    <w:rsid w:val="2B786364"/>
    <w:rsid w:val="2B7B33E8"/>
    <w:rsid w:val="2B7E2FD7"/>
    <w:rsid w:val="2B832A13"/>
    <w:rsid w:val="2B841AE3"/>
    <w:rsid w:val="2B8C7963"/>
    <w:rsid w:val="2B8F2B37"/>
    <w:rsid w:val="2B9E4480"/>
    <w:rsid w:val="2B9E4874"/>
    <w:rsid w:val="2BA47AA7"/>
    <w:rsid w:val="2BA51470"/>
    <w:rsid w:val="2BA75B44"/>
    <w:rsid w:val="2BAE7340"/>
    <w:rsid w:val="2BB66086"/>
    <w:rsid w:val="2BC1478D"/>
    <w:rsid w:val="2BC552AA"/>
    <w:rsid w:val="2BC917B8"/>
    <w:rsid w:val="2BCD7AC2"/>
    <w:rsid w:val="2BD24959"/>
    <w:rsid w:val="2BD430E9"/>
    <w:rsid w:val="2BD85B8C"/>
    <w:rsid w:val="2BE478A3"/>
    <w:rsid w:val="2BE879A0"/>
    <w:rsid w:val="2BF43EE9"/>
    <w:rsid w:val="2C037B5D"/>
    <w:rsid w:val="2C07434D"/>
    <w:rsid w:val="2C097D3D"/>
    <w:rsid w:val="2C0A0BB5"/>
    <w:rsid w:val="2C123FB2"/>
    <w:rsid w:val="2C19234B"/>
    <w:rsid w:val="2C2170D8"/>
    <w:rsid w:val="2C2904C5"/>
    <w:rsid w:val="2C293945"/>
    <w:rsid w:val="2C2A2917"/>
    <w:rsid w:val="2C316ED8"/>
    <w:rsid w:val="2C386822"/>
    <w:rsid w:val="2C401CD6"/>
    <w:rsid w:val="2C442F49"/>
    <w:rsid w:val="2C4564C6"/>
    <w:rsid w:val="2C4604E6"/>
    <w:rsid w:val="2C490282"/>
    <w:rsid w:val="2C4A7DAF"/>
    <w:rsid w:val="2C565EF7"/>
    <w:rsid w:val="2C5839EE"/>
    <w:rsid w:val="2C59674F"/>
    <w:rsid w:val="2C603821"/>
    <w:rsid w:val="2C63051D"/>
    <w:rsid w:val="2C7075CE"/>
    <w:rsid w:val="2C76402F"/>
    <w:rsid w:val="2C7D2233"/>
    <w:rsid w:val="2C816B8F"/>
    <w:rsid w:val="2C8A66F0"/>
    <w:rsid w:val="2C8F4100"/>
    <w:rsid w:val="2C913A7A"/>
    <w:rsid w:val="2C9C746F"/>
    <w:rsid w:val="2CA21583"/>
    <w:rsid w:val="2CA921F0"/>
    <w:rsid w:val="2CAB00D4"/>
    <w:rsid w:val="2CB0730C"/>
    <w:rsid w:val="2CB44551"/>
    <w:rsid w:val="2CC14184"/>
    <w:rsid w:val="2CC23670"/>
    <w:rsid w:val="2CCC1F35"/>
    <w:rsid w:val="2CCC7FA1"/>
    <w:rsid w:val="2CCE3A15"/>
    <w:rsid w:val="2CDB7074"/>
    <w:rsid w:val="2CE4085E"/>
    <w:rsid w:val="2CE810CC"/>
    <w:rsid w:val="2CF374BE"/>
    <w:rsid w:val="2CF54BB5"/>
    <w:rsid w:val="2CFB72FB"/>
    <w:rsid w:val="2D037D9A"/>
    <w:rsid w:val="2D05621B"/>
    <w:rsid w:val="2D076531"/>
    <w:rsid w:val="2D08358F"/>
    <w:rsid w:val="2D0A31BA"/>
    <w:rsid w:val="2D0A7CE8"/>
    <w:rsid w:val="2D154BD4"/>
    <w:rsid w:val="2D194486"/>
    <w:rsid w:val="2D1B5345"/>
    <w:rsid w:val="2D2E216F"/>
    <w:rsid w:val="2D302AAE"/>
    <w:rsid w:val="2D3736E1"/>
    <w:rsid w:val="2D3A58BA"/>
    <w:rsid w:val="2D3E3B3F"/>
    <w:rsid w:val="2D3F3CF2"/>
    <w:rsid w:val="2D3F5E21"/>
    <w:rsid w:val="2D477F7E"/>
    <w:rsid w:val="2D4D20B3"/>
    <w:rsid w:val="2D512F89"/>
    <w:rsid w:val="2D515EB6"/>
    <w:rsid w:val="2D541842"/>
    <w:rsid w:val="2D5436DB"/>
    <w:rsid w:val="2D545D7C"/>
    <w:rsid w:val="2D593113"/>
    <w:rsid w:val="2D5960D1"/>
    <w:rsid w:val="2D601FE0"/>
    <w:rsid w:val="2D60569F"/>
    <w:rsid w:val="2D622708"/>
    <w:rsid w:val="2D6A53F1"/>
    <w:rsid w:val="2D6B2297"/>
    <w:rsid w:val="2D6C04C6"/>
    <w:rsid w:val="2D7032DD"/>
    <w:rsid w:val="2D703782"/>
    <w:rsid w:val="2D7526B8"/>
    <w:rsid w:val="2D756BDF"/>
    <w:rsid w:val="2D875A60"/>
    <w:rsid w:val="2D876AE7"/>
    <w:rsid w:val="2D882D6A"/>
    <w:rsid w:val="2D8F628C"/>
    <w:rsid w:val="2D914FC6"/>
    <w:rsid w:val="2D976571"/>
    <w:rsid w:val="2D9D7354"/>
    <w:rsid w:val="2D9D73F4"/>
    <w:rsid w:val="2DA824A5"/>
    <w:rsid w:val="2DB03D34"/>
    <w:rsid w:val="2DB03F35"/>
    <w:rsid w:val="2DB70E68"/>
    <w:rsid w:val="2DBE2C9A"/>
    <w:rsid w:val="2DBF68F0"/>
    <w:rsid w:val="2DC05B65"/>
    <w:rsid w:val="2DC67439"/>
    <w:rsid w:val="2DCA115B"/>
    <w:rsid w:val="2DCC28AE"/>
    <w:rsid w:val="2DCE04A2"/>
    <w:rsid w:val="2DD13151"/>
    <w:rsid w:val="2DD55C36"/>
    <w:rsid w:val="2DE73102"/>
    <w:rsid w:val="2DE75DBD"/>
    <w:rsid w:val="2DF37B28"/>
    <w:rsid w:val="2E000578"/>
    <w:rsid w:val="2E067CB7"/>
    <w:rsid w:val="2E0A5355"/>
    <w:rsid w:val="2E0C2E0B"/>
    <w:rsid w:val="2E0E5C68"/>
    <w:rsid w:val="2E0F79FA"/>
    <w:rsid w:val="2E16125B"/>
    <w:rsid w:val="2E174D0C"/>
    <w:rsid w:val="2E1A76E3"/>
    <w:rsid w:val="2E1F0AEB"/>
    <w:rsid w:val="2E1F6F93"/>
    <w:rsid w:val="2E224D0C"/>
    <w:rsid w:val="2E2920DB"/>
    <w:rsid w:val="2E29234C"/>
    <w:rsid w:val="2E2A5EDF"/>
    <w:rsid w:val="2E35086E"/>
    <w:rsid w:val="2E357E6A"/>
    <w:rsid w:val="2E374436"/>
    <w:rsid w:val="2E39591B"/>
    <w:rsid w:val="2E3B4FE9"/>
    <w:rsid w:val="2E3B6D19"/>
    <w:rsid w:val="2E40325F"/>
    <w:rsid w:val="2E431BFE"/>
    <w:rsid w:val="2E432D06"/>
    <w:rsid w:val="2E4A06AF"/>
    <w:rsid w:val="2E4C0730"/>
    <w:rsid w:val="2E4E1624"/>
    <w:rsid w:val="2E5347E1"/>
    <w:rsid w:val="2E571657"/>
    <w:rsid w:val="2E582394"/>
    <w:rsid w:val="2E590294"/>
    <w:rsid w:val="2E5E476E"/>
    <w:rsid w:val="2E6038D6"/>
    <w:rsid w:val="2E6277F6"/>
    <w:rsid w:val="2E653C3E"/>
    <w:rsid w:val="2E680742"/>
    <w:rsid w:val="2E724B17"/>
    <w:rsid w:val="2E763A81"/>
    <w:rsid w:val="2E766CE1"/>
    <w:rsid w:val="2E7A7B1C"/>
    <w:rsid w:val="2E800644"/>
    <w:rsid w:val="2E860C75"/>
    <w:rsid w:val="2E897652"/>
    <w:rsid w:val="2E901B66"/>
    <w:rsid w:val="2E915C68"/>
    <w:rsid w:val="2E965DB3"/>
    <w:rsid w:val="2E9F0141"/>
    <w:rsid w:val="2EA01271"/>
    <w:rsid w:val="2EA64F31"/>
    <w:rsid w:val="2EB26E03"/>
    <w:rsid w:val="2EB84E5D"/>
    <w:rsid w:val="2EB87ED2"/>
    <w:rsid w:val="2ECB33A2"/>
    <w:rsid w:val="2ED3306C"/>
    <w:rsid w:val="2EE02B5E"/>
    <w:rsid w:val="2EE34289"/>
    <w:rsid w:val="2EE96439"/>
    <w:rsid w:val="2EFB5FDF"/>
    <w:rsid w:val="2EFD147F"/>
    <w:rsid w:val="2F13058B"/>
    <w:rsid w:val="2F14324A"/>
    <w:rsid w:val="2F1B11DE"/>
    <w:rsid w:val="2F1F4DAC"/>
    <w:rsid w:val="2F2355CD"/>
    <w:rsid w:val="2F236DA2"/>
    <w:rsid w:val="2F2641E5"/>
    <w:rsid w:val="2F2712B8"/>
    <w:rsid w:val="2F293712"/>
    <w:rsid w:val="2F294A1B"/>
    <w:rsid w:val="2F2C2813"/>
    <w:rsid w:val="2F3A3E75"/>
    <w:rsid w:val="2F3F48B3"/>
    <w:rsid w:val="2F4028A9"/>
    <w:rsid w:val="2F423F7E"/>
    <w:rsid w:val="2F431C9A"/>
    <w:rsid w:val="2F445784"/>
    <w:rsid w:val="2F4C4F2D"/>
    <w:rsid w:val="2F4E5AA6"/>
    <w:rsid w:val="2F5D5BB0"/>
    <w:rsid w:val="2F605157"/>
    <w:rsid w:val="2F645253"/>
    <w:rsid w:val="2F68684D"/>
    <w:rsid w:val="2F780E2D"/>
    <w:rsid w:val="2F7C2C15"/>
    <w:rsid w:val="2F805BF7"/>
    <w:rsid w:val="2F8536FA"/>
    <w:rsid w:val="2F9048C0"/>
    <w:rsid w:val="2FAD223D"/>
    <w:rsid w:val="2FB32D6D"/>
    <w:rsid w:val="2FB46AF1"/>
    <w:rsid w:val="2FB57A37"/>
    <w:rsid w:val="2FB602AB"/>
    <w:rsid w:val="2FBE702F"/>
    <w:rsid w:val="2FC27032"/>
    <w:rsid w:val="2FC3179E"/>
    <w:rsid w:val="2FC361A4"/>
    <w:rsid w:val="2FC42486"/>
    <w:rsid w:val="2FCB3C17"/>
    <w:rsid w:val="2FCE39D2"/>
    <w:rsid w:val="2FD33FAE"/>
    <w:rsid w:val="2FD76F7A"/>
    <w:rsid w:val="2FD900E4"/>
    <w:rsid w:val="2FDA31F9"/>
    <w:rsid w:val="2FE22FFB"/>
    <w:rsid w:val="2FE54072"/>
    <w:rsid w:val="2FE83CB3"/>
    <w:rsid w:val="2FEC4478"/>
    <w:rsid w:val="2FF7777C"/>
    <w:rsid w:val="2FFA4255"/>
    <w:rsid w:val="2FFB1668"/>
    <w:rsid w:val="2FFB1F03"/>
    <w:rsid w:val="30116E07"/>
    <w:rsid w:val="3012426D"/>
    <w:rsid w:val="301837D5"/>
    <w:rsid w:val="30203C09"/>
    <w:rsid w:val="30251F95"/>
    <w:rsid w:val="3028176C"/>
    <w:rsid w:val="30283A50"/>
    <w:rsid w:val="302C3853"/>
    <w:rsid w:val="30312238"/>
    <w:rsid w:val="30333F46"/>
    <w:rsid w:val="30477FCA"/>
    <w:rsid w:val="30480D3E"/>
    <w:rsid w:val="304C48FA"/>
    <w:rsid w:val="304C5275"/>
    <w:rsid w:val="30522140"/>
    <w:rsid w:val="30527160"/>
    <w:rsid w:val="30554FAA"/>
    <w:rsid w:val="305D0772"/>
    <w:rsid w:val="305E14E3"/>
    <w:rsid w:val="30672E46"/>
    <w:rsid w:val="30682172"/>
    <w:rsid w:val="306A1B5D"/>
    <w:rsid w:val="306D452F"/>
    <w:rsid w:val="3070070C"/>
    <w:rsid w:val="30701F81"/>
    <w:rsid w:val="3072465C"/>
    <w:rsid w:val="30773A01"/>
    <w:rsid w:val="307A4C58"/>
    <w:rsid w:val="308F2AD2"/>
    <w:rsid w:val="30954E1B"/>
    <w:rsid w:val="309C212B"/>
    <w:rsid w:val="30A76A81"/>
    <w:rsid w:val="30A875F3"/>
    <w:rsid w:val="30AD793D"/>
    <w:rsid w:val="30AE72B8"/>
    <w:rsid w:val="30B13367"/>
    <w:rsid w:val="30B3328E"/>
    <w:rsid w:val="30B505FA"/>
    <w:rsid w:val="30B8368B"/>
    <w:rsid w:val="30BE4486"/>
    <w:rsid w:val="30CA082C"/>
    <w:rsid w:val="30CD5479"/>
    <w:rsid w:val="30CD7963"/>
    <w:rsid w:val="30D34C8A"/>
    <w:rsid w:val="30D40329"/>
    <w:rsid w:val="30D70C4E"/>
    <w:rsid w:val="30D80766"/>
    <w:rsid w:val="30E12D6D"/>
    <w:rsid w:val="30E5346A"/>
    <w:rsid w:val="30E71738"/>
    <w:rsid w:val="30EC346F"/>
    <w:rsid w:val="30EF07BE"/>
    <w:rsid w:val="30EF4827"/>
    <w:rsid w:val="30F0082B"/>
    <w:rsid w:val="30F52A36"/>
    <w:rsid w:val="30F8598B"/>
    <w:rsid w:val="30FB7967"/>
    <w:rsid w:val="30FE201B"/>
    <w:rsid w:val="31046E1F"/>
    <w:rsid w:val="31054AE8"/>
    <w:rsid w:val="31064AF8"/>
    <w:rsid w:val="3107338F"/>
    <w:rsid w:val="310D672E"/>
    <w:rsid w:val="3113071B"/>
    <w:rsid w:val="31140527"/>
    <w:rsid w:val="311A4ACC"/>
    <w:rsid w:val="31220B29"/>
    <w:rsid w:val="31264273"/>
    <w:rsid w:val="312C1ED2"/>
    <w:rsid w:val="312D3E51"/>
    <w:rsid w:val="312F38AD"/>
    <w:rsid w:val="313B1D59"/>
    <w:rsid w:val="313E668D"/>
    <w:rsid w:val="313F2884"/>
    <w:rsid w:val="314129EB"/>
    <w:rsid w:val="314937CF"/>
    <w:rsid w:val="314D03FA"/>
    <w:rsid w:val="31504E81"/>
    <w:rsid w:val="315745CC"/>
    <w:rsid w:val="31634076"/>
    <w:rsid w:val="3166315C"/>
    <w:rsid w:val="31680326"/>
    <w:rsid w:val="31696718"/>
    <w:rsid w:val="316B52EB"/>
    <w:rsid w:val="316E64B9"/>
    <w:rsid w:val="31752384"/>
    <w:rsid w:val="3176253B"/>
    <w:rsid w:val="31777DF7"/>
    <w:rsid w:val="31787222"/>
    <w:rsid w:val="317C6A60"/>
    <w:rsid w:val="317C6AEF"/>
    <w:rsid w:val="317F0CC3"/>
    <w:rsid w:val="3184428B"/>
    <w:rsid w:val="31874B35"/>
    <w:rsid w:val="318B4B2C"/>
    <w:rsid w:val="318D3046"/>
    <w:rsid w:val="318E3E1F"/>
    <w:rsid w:val="319278E9"/>
    <w:rsid w:val="319359DA"/>
    <w:rsid w:val="31936F44"/>
    <w:rsid w:val="319405C2"/>
    <w:rsid w:val="319469F6"/>
    <w:rsid w:val="3196774A"/>
    <w:rsid w:val="319820EE"/>
    <w:rsid w:val="31985D97"/>
    <w:rsid w:val="31A57D34"/>
    <w:rsid w:val="31A81E77"/>
    <w:rsid w:val="31A907DF"/>
    <w:rsid w:val="31AD52D1"/>
    <w:rsid w:val="31B3018C"/>
    <w:rsid w:val="31B974BD"/>
    <w:rsid w:val="31BA0B2E"/>
    <w:rsid w:val="31C00D10"/>
    <w:rsid w:val="31C112E3"/>
    <w:rsid w:val="31C15334"/>
    <w:rsid w:val="31C259C4"/>
    <w:rsid w:val="31C33347"/>
    <w:rsid w:val="31CB7DCA"/>
    <w:rsid w:val="31D80903"/>
    <w:rsid w:val="31DE62CC"/>
    <w:rsid w:val="31E76A68"/>
    <w:rsid w:val="31E92AFA"/>
    <w:rsid w:val="31EF1FAE"/>
    <w:rsid w:val="31F21005"/>
    <w:rsid w:val="31F3678D"/>
    <w:rsid w:val="31F57864"/>
    <w:rsid w:val="31F618C7"/>
    <w:rsid w:val="31F75FEC"/>
    <w:rsid w:val="31FA4E9D"/>
    <w:rsid w:val="32004B7D"/>
    <w:rsid w:val="32067CAE"/>
    <w:rsid w:val="32085429"/>
    <w:rsid w:val="321C056D"/>
    <w:rsid w:val="321F7816"/>
    <w:rsid w:val="32274B6B"/>
    <w:rsid w:val="3228734E"/>
    <w:rsid w:val="322E3508"/>
    <w:rsid w:val="322E54F0"/>
    <w:rsid w:val="32367D61"/>
    <w:rsid w:val="323A1D75"/>
    <w:rsid w:val="323A6FCB"/>
    <w:rsid w:val="323A7947"/>
    <w:rsid w:val="3241054F"/>
    <w:rsid w:val="324145E4"/>
    <w:rsid w:val="32465C89"/>
    <w:rsid w:val="324747B1"/>
    <w:rsid w:val="32482641"/>
    <w:rsid w:val="324B4E10"/>
    <w:rsid w:val="324B59B6"/>
    <w:rsid w:val="32534D2A"/>
    <w:rsid w:val="32577DF1"/>
    <w:rsid w:val="3259147C"/>
    <w:rsid w:val="325A61D1"/>
    <w:rsid w:val="32604C65"/>
    <w:rsid w:val="3264524B"/>
    <w:rsid w:val="326B77C0"/>
    <w:rsid w:val="32700A72"/>
    <w:rsid w:val="32713ED4"/>
    <w:rsid w:val="327212FA"/>
    <w:rsid w:val="32726075"/>
    <w:rsid w:val="327A5A41"/>
    <w:rsid w:val="32843903"/>
    <w:rsid w:val="328943C6"/>
    <w:rsid w:val="328F3AD1"/>
    <w:rsid w:val="329431FD"/>
    <w:rsid w:val="329731A6"/>
    <w:rsid w:val="329B4BEE"/>
    <w:rsid w:val="329C56E9"/>
    <w:rsid w:val="32A15DB9"/>
    <w:rsid w:val="32A5265E"/>
    <w:rsid w:val="32A5710B"/>
    <w:rsid w:val="32AA31A1"/>
    <w:rsid w:val="32AB62B4"/>
    <w:rsid w:val="32B03538"/>
    <w:rsid w:val="32B2716B"/>
    <w:rsid w:val="32B405F1"/>
    <w:rsid w:val="32B57D3A"/>
    <w:rsid w:val="32B92FCA"/>
    <w:rsid w:val="32BE1F64"/>
    <w:rsid w:val="32CE505D"/>
    <w:rsid w:val="32CE6988"/>
    <w:rsid w:val="32D541B2"/>
    <w:rsid w:val="32DA5FC1"/>
    <w:rsid w:val="32ED39A0"/>
    <w:rsid w:val="32EF41A7"/>
    <w:rsid w:val="32EF4B97"/>
    <w:rsid w:val="32F16F1B"/>
    <w:rsid w:val="32FA2D4E"/>
    <w:rsid w:val="32FB1F96"/>
    <w:rsid w:val="32FE72F6"/>
    <w:rsid w:val="330B04CA"/>
    <w:rsid w:val="330C1C08"/>
    <w:rsid w:val="33134656"/>
    <w:rsid w:val="331C2CED"/>
    <w:rsid w:val="332840C2"/>
    <w:rsid w:val="33322DB0"/>
    <w:rsid w:val="333A6F43"/>
    <w:rsid w:val="33483B28"/>
    <w:rsid w:val="334A35F8"/>
    <w:rsid w:val="334E597D"/>
    <w:rsid w:val="33504DFD"/>
    <w:rsid w:val="335A772B"/>
    <w:rsid w:val="335D0F63"/>
    <w:rsid w:val="33610C4B"/>
    <w:rsid w:val="336938C3"/>
    <w:rsid w:val="33715627"/>
    <w:rsid w:val="337659FC"/>
    <w:rsid w:val="338C0BF9"/>
    <w:rsid w:val="338F3E64"/>
    <w:rsid w:val="3392494D"/>
    <w:rsid w:val="33980AE1"/>
    <w:rsid w:val="339E066D"/>
    <w:rsid w:val="339F696C"/>
    <w:rsid w:val="33A9353C"/>
    <w:rsid w:val="33AF4F89"/>
    <w:rsid w:val="33C5020A"/>
    <w:rsid w:val="33CB1F65"/>
    <w:rsid w:val="33CC037A"/>
    <w:rsid w:val="33D02ECA"/>
    <w:rsid w:val="33E618C6"/>
    <w:rsid w:val="33EA7647"/>
    <w:rsid w:val="33F67DCB"/>
    <w:rsid w:val="33F82099"/>
    <w:rsid w:val="34037F39"/>
    <w:rsid w:val="3412473F"/>
    <w:rsid w:val="341827D7"/>
    <w:rsid w:val="342D1A1E"/>
    <w:rsid w:val="342F4E22"/>
    <w:rsid w:val="34402DE9"/>
    <w:rsid w:val="34411CBD"/>
    <w:rsid w:val="34415910"/>
    <w:rsid w:val="34445794"/>
    <w:rsid w:val="344D4AAE"/>
    <w:rsid w:val="34583337"/>
    <w:rsid w:val="345A38BC"/>
    <w:rsid w:val="346A4E18"/>
    <w:rsid w:val="346A60F0"/>
    <w:rsid w:val="346E59A3"/>
    <w:rsid w:val="34720F59"/>
    <w:rsid w:val="347718E1"/>
    <w:rsid w:val="347B36E9"/>
    <w:rsid w:val="348A791E"/>
    <w:rsid w:val="348C69D8"/>
    <w:rsid w:val="348C77B6"/>
    <w:rsid w:val="34943474"/>
    <w:rsid w:val="349460E7"/>
    <w:rsid w:val="34972873"/>
    <w:rsid w:val="34975A89"/>
    <w:rsid w:val="34A970B6"/>
    <w:rsid w:val="34AA0B68"/>
    <w:rsid w:val="34AB0057"/>
    <w:rsid w:val="34B06080"/>
    <w:rsid w:val="34B47451"/>
    <w:rsid w:val="34BE5A6B"/>
    <w:rsid w:val="34C31BD3"/>
    <w:rsid w:val="34DA54A0"/>
    <w:rsid w:val="34E36ACC"/>
    <w:rsid w:val="34E45E57"/>
    <w:rsid w:val="34E71F01"/>
    <w:rsid w:val="34E94628"/>
    <w:rsid w:val="34E95AA6"/>
    <w:rsid w:val="34F21D62"/>
    <w:rsid w:val="34F34A39"/>
    <w:rsid w:val="34F569D2"/>
    <w:rsid w:val="35011F2C"/>
    <w:rsid w:val="35023CF2"/>
    <w:rsid w:val="350A6B0D"/>
    <w:rsid w:val="350D2E90"/>
    <w:rsid w:val="351856D8"/>
    <w:rsid w:val="352767DE"/>
    <w:rsid w:val="352A605E"/>
    <w:rsid w:val="352B16DE"/>
    <w:rsid w:val="35320FA2"/>
    <w:rsid w:val="3536632A"/>
    <w:rsid w:val="35377E25"/>
    <w:rsid w:val="353A4C77"/>
    <w:rsid w:val="35426ADB"/>
    <w:rsid w:val="354B38C4"/>
    <w:rsid w:val="3556018A"/>
    <w:rsid w:val="355619A9"/>
    <w:rsid w:val="355F3FF0"/>
    <w:rsid w:val="355F6B9E"/>
    <w:rsid w:val="35626803"/>
    <w:rsid w:val="356274A7"/>
    <w:rsid w:val="356424D6"/>
    <w:rsid w:val="356977FD"/>
    <w:rsid w:val="357B6023"/>
    <w:rsid w:val="35801FC5"/>
    <w:rsid w:val="3583711A"/>
    <w:rsid w:val="358705AC"/>
    <w:rsid w:val="358A7479"/>
    <w:rsid w:val="35966A2E"/>
    <w:rsid w:val="359B15E8"/>
    <w:rsid w:val="35BC2D35"/>
    <w:rsid w:val="35C42171"/>
    <w:rsid w:val="35CB761A"/>
    <w:rsid w:val="35D01240"/>
    <w:rsid w:val="35D91051"/>
    <w:rsid w:val="35DC76D4"/>
    <w:rsid w:val="35DD26DA"/>
    <w:rsid w:val="35E12F66"/>
    <w:rsid w:val="35E573EA"/>
    <w:rsid w:val="35EF0CE5"/>
    <w:rsid w:val="35F520DC"/>
    <w:rsid w:val="35F60B11"/>
    <w:rsid w:val="360915CF"/>
    <w:rsid w:val="360A7890"/>
    <w:rsid w:val="360E1601"/>
    <w:rsid w:val="36116DA1"/>
    <w:rsid w:val="3613492D"/>
    <w:rsid w:val="36141BFA"/>
    <w:rsid w:val="36147CE4"/>
    <w:rsid w:val="361C611C"/>
    <w:rsid w:val="362022BB"/>
    <w:rsid w:val="362440DA"/>
    <w:rsid w:val="36266433"/>
    <w:rsid w:val="36275F7E"/>
    <w:rsid w:val="362B5FE2"/>
    <w:rsid w:val="36342726"/>
    <w:rsid w:val="36387CFE"/>
    <w:rsid w:val="363C7B17"/>
    <w:rsid w:val="36453E38"/>
    <w:rsid w:val="364942B6"/>
    <w:rsid w:val="364D3B88"/>
    <w:rsid w:val="364E61ED"/>
    <w:rsid w:val="364F1C4D"/>
    <w:rsid w:val="365259B5"/>
    <w:rsid w:val="365B52C8"/>
    <w:rsid w:val="36672B6F"/>
    <w:rsid w:val="367307F1"/>
    <w:rsid w:val="36731C78"/>
    <w:rsid w:val="367A1022"/>
    <w:rsid w:val="367C6359"/>
    <w:rsid w:val="367D3EDE"/>
    <w:rsid w:val="36854CDC"/>
    <w:rsid w:val="3687381B"/>
    <w:rsid w:val="368F3978"/>
    <w:rsid w:val="369469D2"/>
    <w:rsid w:val="3694747A"/>
    <w:rsid w:val="36952DEF"/>
    <w:rsid w:val="36983FA8"/>
    <w:rsid w:val="36A14AFF"/>
    <w:rsid w:val="36A32E4A"/>
    <w:rsid w:val="36B042E7"/>
    <w:rsid w:val="36B14235"/>
    <w:rsid w:val="36BA240E"/>
    <w:rsid w:val="36C54380"/>
    <w:rsid w:val="36C56F65"/>
    <w:rsid w:val="36C70C17"/>
    <w:rsid w:val="36CB4F42"/>
    <w:rsid w:val="36D90A83"/>
    <w:rsid w:val="36D90B3E"/>
    <w:rsid w:val="36DC3AA5"/>
    <w:rsid w:val="36E366D6"/>
    <w:rsid w:val="36E464A6"/>
    <w:rsid w:val="36FF1E42"/>
    <w:rsid w:val="37020713"/>
    <w:rsid w:val="37081C3C"/>
    <w:rsid w:val="370B293A"/>
    <w:rsid w:val="370E1CE3"/>
    <w:rsid w:val="37142A43"/>
    <w:rsid w:val="372E73EE"/>
    <w:rsid w:val="373401BD"/>
    <w:rsid w:val="373C3370"/>
    <w:rsid w:val="373F073B"/>
    <w:rsid w:val="37404A57"/>
    <w:rsid w:val="374812B1"/>
    <w:rsid w:val="3757733F"/>
    <w:rsid w:val="375960E9"/>
    <w:rsid w:val="37623A4A"/>
    <w:rsid w:val="376416CC"/>
    <w:rsid w:val="37660E21"/>
    <w:rsid w:val="376D1545"/>
    <w:rsid w:val="376E4136"/>
    <w:rsid w:val="37704307"/>
    <w:rsid w:val="377B56C6"/>
    <w:rsid w:val="377C30F9"/>
    <w:rsid w:val="377F5168"/>
    <w:rsid w:val="37846BA6"/>
    <w:rsid w:val="37863177"/>
    <w:rsid w:val="378C065F"/>
    <w:rsid w:val="379022A6"/>
    <w:rsid w:val="37920840"/>
    <w:rsid w:val="3798778D"/>
    <w:rsid w:val="379C3153"/>
    <w:rsid w:val="379D4A03"/>
    <w:rsid w:val="37A21BF6"/>
    <w:rsid w:val="37A771A5"/>
    <w:rsid w:val="37B02635"/>
    <w:rsid w:val="37B434F9"/>
    <w:rsid w:val="37B76DA8"/>
    <w:rsid w:val="37C73012"/>
    <w:rsid w:val="37CD5EFE"/>
    <w:rsid w:val="37D22CF4"/>
    <w:rsid w:val="37D90763"/>
    <w:rsid w:val="37DF0F99"/>
    <w:rsid w:val="37DF6F88"/>
    <w:rsid w:val="37E67AED"/>
    <w:rsid w:val="37EA386E"/>
    <w:rsid w:val="37FB5F09"/>
    <w:rsid w:val="37FD57B3"/>
    <w:rsid w:val="38032788"/>
    <w:rsid w:val="380B0A93"/>
    <w:rsid w:val="380D449A"/>
    <w:rsid w:val="380F19A2"/>
    <w:rsid w:val="38121C48"/>
    <w:rsid w:val="381A210D"/>
    <w:rsid w:val="381B6272"/>
    <w:rsid w:val="381C3B02"/>
    <w:rsid w:val="381F4306"/>
    <w:rsid w:val="38275DC5"/>
    <w:rsid w:val="3834263B"/>
    <w:rsid w:val="383C10FB"/>
    <w:rsid w:val="383E2CDC"/>
    <w:rsid w:val="383F4DAB"/>
    <w:rsid w:val="38405875"/>
    <w:rsid w:val="384276F7"/>
    <w:rsid w:val="38463435"/>
    <w:rsid w:val="384C6C8B"/>
    <w:rsid w:val="385D3BEB"/>
    <w:rsid w:val="38610460"/>
    <w:rsid w:val="38647529"/>
    <w:rsid w:val="38781CD6"/>
    <w:rsid w:val="388233EE"/>
    <w:rsid w:val="38826F54"/>
    <w:rsid w:val="3888213D"/>
    <w:rsid w:val="388F7CD5"/>
    <w:rsid w:val="38A12F53"/>
    <w:rsid w:val="38A27621"/>
    <w:rsid w:val="38A47F65"/>
    <w:rsid w:val="38A6393F"/>
    <w:rsid w:val="38AD61C9"/>
    <w:rsid w:val="38AE6D9F"/>
    <w:rsid w:val="38AF14AB"/>
    <w:rsid w:val="38AF3382"/>
    <w:rsid w:val="38B138F0"/>
    <w:rsid w:val="38B13DED"/>
    <w:rsid w:val="38B34438"/>
    <w:rsid w:val="38B35E29"/>
    <w:rsid w:val="38B508C7"/>
    <w:rsid w:val="38B85B07"/>
    <w:rsid w:val="38BC1957"/>
    <w:rsid w:val="38BE1037"/>
    <w:rsid w:val="38C50DB0"/>
    <w:rsid w:val="38C9717A"/>
    <w:rsid w:val="38CD6685"/>
    <w:rsid w:val="38CE089B"/>
    <w:rsid w:val="38D21E80"/>
    <w:rsid w:val="38D538FD"/>
    <w:rsid w:val="38D5685D"/>
    <w:rsid w:val="38D81D38"/>
    <w:rsid w:val="38E12EC2"/>
    <w:rsid w:val="38E60BC0"/>
    <w:rsid w:val="38F737CF"/>
    <w:rsid w:val="3905461D"/>
    <w:rsid w:val="39075420"/>
    <w:rsid w:val="39113EF0"/>
    <w:rsid w:val="39132013"/>
    <w:rsid w:val="39152D7C"/>
    <w:rsid w:val="39163DEB"/>
    <w:rsid w:val="39184C8C"/>
    <w:rsid w:val="391963BB"/>
    <w:rsid w:val="391C51AA"/>
    <w:rsid w:val="39213094"/>
    <w:rsid w:val="39254F78"/>
    <w:rsid w:val="392C1EA3"/>
    <w:rsid w:val="39331E9C"/>
    <w:rsid w:val="393345DC"/>
    <w:rsid w:val="39335C34"/>
    <w:rsid w:val="3936088D"/>
    <w:rsid w:val="39383753"/>
    <w:rsid w:val="393F4198"/>
    <w:rsid w:val="394011CF"/>
    <w:rsid w:val="39457922"/>
    <w:rsid w:val="39464A41"/>
    <w:rsid w:val="39487918"/>
    <w:rsid w:val="394B3603"/>
    <w:rsid w:val="394D5B38"/>
    <w:rsid w:val="395B3F93"/>
    <w:rsid w:val="396F45D5"/>
    <w:rsid w:val="39766323"/>
    <w:rsid w:val="397A482B"/>
    <w:rsid w:val="397E2B84"/>
    <w:rsid w:val="398677E8"/>
    <w:rsid w:val="39872FBB"/>
    <w:rsid w:val="39883FFA"/>
    <w:rsid w:val="398B0A76"/>
    <w:rsid w:val="398F5011"/>
    <w:rsid w:val="399171AF"/>
    <w:rsid w:val="39926912"/>
    <w:rsid w:val="399431C3"/>
    <w:rsid w:val="39971EDA"/>
    <w:rsid w:val="399860C7"/>
    <w:rsid w:val="399A7304"/>
    <w:rsid w:val="399D1D44"/>
    <w:rsid w:val="399E2D14"/>
    <w:rsid w:val="399F7577"/>
    <w:rsid w:val="39A15434"/>
    <w:rsid w:val="39A35865"/>
    <w:rsid w:val="39A63A9E"/>
    <w:rsid w:val="39A74D4D"/>
    <w:rsid w:val="39AC76EA"/>
    <w:rsid w:val="39AD5707"/>
    <w:rsid w:val="39B82322"/>
    <w:rsid w:val="39C8011B"/>
    <w:rsid w:val="39C94115"/>
    <w:rsid w:val="39C94855"/>
    <w:rsid w:val="39DD2E0B"/>
    <w:rsid w:val="39DE0BE3"/>
    <w:rsid w:val="39DF1F11"/>
    <w:rsid w:val="39EA6F46"/>
    <w:rsid w:val="39FE3284"/>
    <w:rsid w:val="3A0E035F"/>
    <w:rsid w:val="3A0E5509"/>
    <w:rsid w:val="3A1106F6"/>
    <w:rsid w:val="3A141B88"/>
    <w:rsid w:val="3A1B2083"/>
    <w:rsid w:val="3A213BED"/>
    <w:rsid w:val="3A245A3F"/>
    <w:rsid w:val="3A287948"/>
    <w:rsid w:val="3A2A75A6"/>
    <w:rsid w:val="3A392160"/>
    <w:rsid w:val="3A3C4A55"/>
    <w:rsid w:val="3A440DFB"/>
    <w:rsid w:val="3A45386B"/>
    <w:rsid w:val="3A596A74"/>
    <w:rsid w:val="3A5C614B"/>
    <w:rsid w:val="3A6440F4"/>
    <w:rsid w:val="3A69604D"/>
    <w:rsid w:val="3A735502"/>
    <w:rsid w:val="3A7F5819"/>
    <w:rsid w:val="3A800536"/>
    <w:rsid w:val="3A825315"/>
    <w:rsid w:val="3A8579C9"/>
    <w:rsid w:val="3A8A0F81"/>
    <w:rsid w:val="3A925A7B"/>
    <w:rsid w:val="3A987463"/>
    <w:rsid w:val="3A9E5D30"/>
    <w:rsid w:val="3AA26376"/>
    <w:rsid w:val="3AA53E7E"/>
    <w:rsid w:val="3AAE174F"/>
    <w:rsid w:val="3AB3256D"/>
    <w:rsid w:val="3AB41613"/>
    <w:rsid w:val="3ABB54EC"/>
    <w:rsid w:val="3ABD23FD"/>
    <w:rsid w:val="3AC47B24"/>
    <w:rsid w:val="3AC57509"/>
    <w:rsid w:val="3AC6182D"/>
    <w:rsid w:val="3ACA3BB0"/>
    <w:rsid w:val="3ACF7AB3"/>
    <w:rsid w:val="3AD35D0C"/>
    <w:rsid w:val="3AD60280"/>
    <w:rsid w:val="3AD65755"/>
    <w:rsid w:val="3AE322A0"/>
    <w:rsid w:val="3AEE017D"/>
    <w:rsid w:val="3AF1311B"/>
    <w:rsid w:val="3AF50A48"/>
    <w:rsid w:val="3AF60F8D"/>
    <w:rsid w:val="3AFE64E6"/>
    <w:rsid w:val="3B0C495F"/>
    <w:rsid w:val="3B116B9C"/>
    <w:rsid w:val="3B142696"/>
    <w:rsid w:val="3B232A35"/>
    <w:rsid w:val="3B236BE2"/>
    <w:rsid w:val="3B286E78"/>
    <w:rsid w:val="3B3429FE"/>
    <w:rsid w:val="3B372224"/>
    <w:rsid w:val="3B4320F5"/>
    <w:rsid w:val="3B4C0B9C"/>
    <w:rsid w:val="3B4C649F"/>
    <w:rsid w:val="3B5362F9"/>
    <w:rsid w:val="3B541FB9"/>
    <w:rsid w:val="3B5B27A6"/>
    <w:rsid w:val="3B5B5CF0"/>
    <w:rsid w:val="3B635974"/>
    <w:rsid w:val="3B6D35F4"/>
    <w:rsid w:val="3B6E692E"/>
    <w:rsid w:val="3B780263"/>
    <w:rsid w:val="3B7D1E38"/>
    <w:rsid w:val="3B804CE5"/>
    <w:rsid w:val="3B811806"/>
    <w:rsid w:val="3B81539E"/>
    <w:rsid w:val="3B886913"/>
    <w:rsid w:val="3B8A251E"/>
    <w:rsid w:val="3B915A32"/>
    <w:rsid w:val="3B923776"/>
    <w:rsid w:val="3B970BC6"/>
    <w:rsid w:val="3B9A383D"/>
    <w:rsid w:val="3B9C3F84"/>
    <w:rsid w:val="3BA34A38"/>
    <w:rsid w:val="3BA406F7"/>
    <w:rsid w:val="3BA54F06"/>
    <w:rsid w:val="3BA801A0"/>
    <w:rsid w:val="3BAC7252"/>
    <w:rsid w:val="3BB6570E"/>
    <w:rsid w:val="3BB87B23"/>
    <w:rsid w:val="3BB92AAA"/>
    <w:rsid w:val="3BC5634E"/>
    <w:rsid w:val="3BC91322"/>
    <w:rsid w:val="3BC91C79"/>
    <w:rsid w:val="3BD005FA"/>
    <w:rsid w:val="3BD16132"/>
    <w:rsid w:val="3BD25AB8"/>
    <w:rsid w:val="3BD62BE6"/>
    <w:rsid w:val="3BE131F2"/>
    <w:rsid w:val="3BE22A8C"/>
    <w:rsid w:val="3BE93A5E"/>
    <w:rsid w:val="3BEE368D"/>
    <w:rsid w:val="3BF74D3C"/>
    <w:rsid w:val="3BFE0DAC"/>
    <w:rsid w:val="3C0636F5"/>
    <w:rsid w:val="3C1148EE"/>
    <w:rsid w:val="3C1413FF"/>
    <w:rsid w:val="3C1A35FC"/>
    <w:rsid w:val="3C2103F5"/>
    <w:rsid w:val="3C2226F5"/>
    <w:rsid w:val="3C232CED"/>
    <w:rsid w:val="3C244035"/>
    <w:rsid w:val="3C247B89"/>
    <w:rsid w:val="3C2936A9"/>
    <w:rsid w:val="3C2E3730"/>
    <w:rsid w:val="3C385074"/>
    <w:rsid w:val="3C3859F7"/>
    <w:rsid w:val="3C394E5D"/>
    <w:rsid w:val="3C3D006E"/>
    <w:rsid w:val="3C4447C2"/>
    <w:rsid w:val="3C47563D"/>
    <w:rsid w:val="3C4C17D8"/>
    <w:rsid w:val="3C4E4CCF"/>
    <w:rsid w:val="3C581F53"/>
    <w:rsid w:val="3C5D14D8"/>
    <w:rsid w:val="3C5E2B9E"/>
    <w:rsid w:val="3C5F5739"/>
    <w:rsid w:val="3C633E3F"/>
    <w:rsid w:val="3C6B75A3"/>
    <w:rsid w:val="3C6E4182"/>
    <w:rsid w:val="3C6F48B3"/>
    <w:rsid w:val="3C702706"/>
    <w:rsid w:val="3C72040A"/>
    <w:rsid w:val="3C747601"/>
    <w:rsid w:val="3C7B5307"/>
    <w:rsid w:val="3C833DB7"/>
    <w:rsid w:val="3C8742F7"/>
    <w:rsid w:val="3C8E33EE"/>
    <w:rsid w:val="3C916C26"/>
    <w:rsid w:val="3CA77F1E"/>
    <w:rsid w:val="3CA95C8D"/>
    <w:rsid w:val="3CAC6E02"/>
    <w:rsid w:val="3CB0438E"/>
    <w:rsid w:val="3CB84250"/>
    <w:rsid w:val="3CBC290B"/>
    <w:rsid w:val="3CBE0B1D"/>
    <w:rsid w:val="3CBE2611"/>
    <w:rsid w:val="3CC50D7A"/>
    <w:rsid w:val="3CC61C77"/>
    <w:rsid w:val="3CC879C9"/>
    <w:rsid w:val="3CCA0DA8"/>
    <w:rsid w:val="3CCA2FC4"/>
    <w:rsid w:val="3CCA6D26"/>
    <w:rsid w:val="3CD41F27"/>
    <w:rsid w:val="3CD47191"/>
    <w:rsid w:val="3CDC5460"/>
    <w:rsid w:val="3CE242A9"/>
    <w:rsid w:val="3CEB08E4"/>
    <w:rsid w:val="3CF23645"/>
    <w:rsid w:val="3CFA0F19"/>
    <w:rsid w:val="3CFE2335"/>
    <w:rsid w:val="3D016FED"/>
    <w:rsid w:val="3D040D8E"/>
    <w:rsid w:val="3D052BB3"/>
    <w:rsid w:val="3D0D1BA8"/>
    <w:rsid w:val="3D141ED7"/>
    <w:rsid w:val="3D2202FC"/>
    <w:rsid w:val="3D323296"/>
    <w:rsid w:val="3D335242"/>
    <w:rsid w:val="3D342A24"/>
    <w:rsid w:val="3D374371"/>
    <w:rsid w:val="3D391840"/>
    <w:rsid w:val="3D3F60C9"/>
    <w:rsid w:val="3D4771F7"/>
    <w:rsid w:val="3D542E79"/>
    <w:rsid w:val="3D58292E"/>
    <w:rsid w:val="3D59355C"/>
    <w:rsid w:val="3D5C1639"/>
    <w:rsid w:val="3D5C1A50"/>
    <w:rsid w:val="3D5E107B"/>
    <w:rsid w:val="3D614442"/>
    <w:rsid w:val="3D615628"/>
    <w:rsid w:val="3D646558"/>
    <w:rsid w:val="3D647FBA"/>
    <w:rsid w:val="3D68773D"/>
    <w:rsid w:val="3D721578"/>
    <w:rsid w:val="3D7C0C6A"/>
    <w:rsid w:val="3D7C322F"/>
    <w:rsid w:val="3D7C63AC"/>
    <w:rsid w:val="3D7C6905"/>
    <w:rsid w:val="3D8640C3"/>
    <w:rsid w:val="3D86507D"/>
    <w:rsid w:val="3D865570"/>
    <w:rsid w:val="3D882656"/>
    <w:rsid w:val="3D8C2012"/>
    <w:rsid w:val="3D8F7534"/>
    <w:rsid w:val="3D9255D4"/>
    <w:rsid w:val="3D935689"/>
    <w:rsid w:val="3D993F29"/>
    <w:rsid w:val="3D9B47AD"/>
    <w:rsid w:val="3DA7350F"/>
    <w:rsid w:val="3DAB73C6"/>
    <w:rsid w:val="3DAD3E99"/>
    <w:rsid w:val="3DB03C2C"/>
    <w:rsid w:val="3DB11E48"/>
    <w:rsid w:val="3DB41137"/>
    <w:rsid w:val="3DB4295B"/>
    <w:rsid w:val="3DBC04ED"/>
    <w:rsid w:val="3DBC23BA"/>
    <w:rsid w:val="3DBF011F"/>
    <w:rsid w:val="3DC34857"/>
    <w:rsid w:val="3DC45CF7"/>
    <w:rsid w:val="3DC82029"/>
    <w:rsid w:val="3DCA479C"/>
    <w:rsid w:val="3DD92815"/>
    <w:rsid w:val="3DDA4171"/>
    <w:rsid w:val="3DE9467F"/>
    <w:rsid w:val="3DE95A26"/>
    <w:rsid w:val="3DED0FE8"/>
    <w:rsid w:val="3DF34991"/>
    <w:rsid w:val="3DF44E18"/>
    <w:rsid w:val="3DF975E4"/>
    <w:rsid w:val="3DFB2520"/>
    <w:rsid w:val="3DFC505A"/>
    <w:rsid w:val="3E00457A"/>
    <w:rsid w:val="3E025D9C"/>
    <w:rsid w:val="3E0F0932"/>
    <w:rsid w:val="3E1B67DE"/>
    <w:rsid w:val="3E1E1A4D"/>
    <w:rsid w:val="3E1E54F6"/>
    <w:rsid w:val="3E1F0317"/>
    <w:rsid w:val="3E2607C8"/>
    <w:rsid w:val="3E283780"/>
    <w:rsid w:val="3E295036"/>
    <w:rsid w:val="3E2A7FBA"/>
    <w:rsid w:val="3E2D1ED1"/>
    <w:rsid w:val="3E316F05"/>
    <w:rsid w:val="3E33031E"/>
    <w:rsid w:val="3E3C6B10"/>
    <w:rsid w:val="3E4209B8"/>
    <w:rsid w:val="3E423D15"/>
    <w:rsid w:val="3E432914"/>
    <w:rsid w:val="3E4836D3"/>
    <w:rsid w:val="3E4C4EB2"/>
    <w:rsid w:val="3E515038"/>
    <w:rsid w:val="3E520B9A"/>
    <w:rsid w:val="3E534DD0"/>
    <w:rsid w:val="3E5551D7"/>
    <w:rsid w:val="3E58082B"/>
    <w:rsid w:val="3E5D33E7"/>
    <w:rsid w:val="3E687FDA"/>
    <w:rsid w:val="3E6A60AA"/>
    <w:rsid w:val="3E716ABB"/>
    <w:rsid w:val="3E726BAC"/>
    <w:rsid w:val="3E740982"/>
    <w:rsid w:val="3E8661DD"/>
    <w:rsid w:val="3E8B2554"/>
    <w:rsid w:val="3E93238E"/>
    <w:rsid w:val="3E934125"/>
    <w:rsid w:val="3EA10119"/>
    <w:rsid w:val="3EAB4AE8"/>
    <w:rsid w:val="3EAE1249"/>
    <w:rsid w:val="3EB36A3D"/>
    <w:rsid w:val="3EB80ECA"/>
    <w:rsid w:val="3EBF0FA7"/>
    <w:rsid w:val="3ECD2D51"/>
    <w:rsid w:val="3ECF7691"/>
    <w:rsid w:val="3EDD2C65"/>
    <w:rsid w:val="3EDD42F5"/>
    <w:rsid w:val="3EDE2637"/>
    <w:rsid w:val="3EDF7566"/>
    <w:rsid w:val="3EE165D2"/>
    <w:rsid w:val="3EE17EFC"/>
    <w:rsid w:val="3EE27076"/>
    <w:rsid w:val="3EEA7247"/>
    <w:rsid w:val="3EEF57E2"/>
    <w:rsid w:val="3EF36BA1"/>
    <w:rsid w:val="3F02214B"/>
    <w:rsid w:val="3F047BEF"/>
    <w:rsid w:val="3F047EA3"/>
    <w:rsid w:val="3F0B3398"/>
    <w:rsid w:val="3F0F6144"/>
    <w:rsid w:val="3F18762D"/>
    <w:rsid w:val="3F1A0C22"/>
    <w:rsid w:val="3F1A4052"/>
    <w:rsid w:val="3F1C696A"/>
    <w:rsid w:val="3F1E7FA3"/>
    <w:rsid w:val="3F1F5C5C"/>
    <w:rsid w:val="3F217296"/>
    <w:rsid w:val="3F274A41"/>
    <w:rsid w:val="3F287C28"/>
    <w:rsid w:val="3F3561E1"/>
    <w:rsid w:val="3F364FA1"/>
    <w:rsid w:val="3F400E0F"/>
    <w:rsid w:val="3F403E53"/>
    <w:rsid w:val="3F4466F3"/>
    <w:rsid w:val="3F4622F3"/>
    <w:rsid w:val="3F4B255E"/>
    <w:rsid w:val="3F4C2AB9"/>
    <w:rsid w:val="3F5414BB"/>
    <w:rsid w:val="3F5B242A"/>
    <w:rsid w:val="3F5B2841"/>
    <w:rsid w:val="3F5E6BD8"/>
    <w:rsid w:val="3F64361C"/>
    <w:rsid w:val="3F663C72"/>
    <w:rsid w:val="3F677FB6"/>
    <w:rsid w:val="3F6D3BCE"/>
    <w:rsid w:val="3F73772A"/>
    <w:rsid w:val="3F7E353E"/>
    <w:rsid w:val="3F8873CA"/>
    <w:rsid w:val="3F95797F"/>
    <w:rsid w:val="3F9C1B2B"/>
    <w:rsid w:val="3F9E4072"/>
    <w:rsid w:val="3FA6457A"/>
    <w:rsid w:val="3FAB7C74"/>
    <w:rsid w:val="3FAD2980"/>
    <w:rsid w:val="3FAE3826"/>
    <w:rsid w:val="3FB01C12"/>
    <w:rsid w:val="3FB56EB1"/>
    <w:rsid w:val="3FB75F17"/>
    <w:rsid w:val="3FB838F9"/>
    <w:rsid w:val="3FB842B0"/>
    <w:rsid w:val="3FB927BD"/>
    <w:rsid w:val="3FBB0428"/>
    <w:rsid w:val="3FCC4221"/>
    <w:rsid w:val="3FCF3D96"/>
    <w:rsid w:val="3FCF3F93"/>
    <w:rsid w:val="3FD1207B"/>
    <w:rsid w:val="3FD2036D"/>
    <w:rsid w:val="3FDF561C"/>
    <w:rsid w:val="3FE16B4E"/>
    <w:rsid w:val="3FE40F2E"/>
    <w:rsid w:val="3FE52AEB"/>
    <w:rsid w:val="3FE77CC0"/>
    <w:rsid w:val="3FED044E"/>
    <w:rsid w:val="3FEF0426"/>
    <w:rsid w:val="3FF476AE"/>
    <w:rsid w:val="3FF57835"/>
    <w:rsid w:val="3FFB006A"/>
    <w:rsid w:val="3FFB2C2D"/>
    <w:rsid w:val="3FFE293A"/>
    <w:rsid w:val="4001269B"/>
    <w:rsid w:val="40052B9A"/>
    <w:rsid w:val="40151216"/>
    <w:rsid w:val="40196679"/>
    <w:rsid w:val="401B3942"/>
    <w:rsid w:val="402534DF"/>
    <w:rsid w:val="40292267"/>
    <w:rsid w:val="402A77CB"/>
    <w:rsid w:val="402D0467"/>
    <w:rsid w:val="40340C35"/>
    <w:rsid w:val="40362CED"/>
    <w:rsid w:val="403F2F4C"/>
    <w:rsid w:val="40430F80"/>
    <w:rsid w:val="40432583"/>
    <w:rsid w:val="40464F56"/>
    <w:rsid w:val="40465529"/>
    <w:rsid w:val="40496C27"/>
    <w:rsid w:val="404F6A8D"/>
    <w:rsid w:val="405541BE"/>
    <w:rsid w:val="405A0292"/>
    <w:rsid w:val="405F50F9"/>
    <w:rsid w:val="406036F4"/>
    <w:rsid w:val="40612517"/>
    <w:rsid w:val="407009CC"/>
    <w:rsid w:val="407217DE"/>
    <w:rsid w:val="407242AC"/>
    <w:rsid w:val="4072535A"/>
    <w:rsid w:val="40742045"/>
    <w:rsid w:val="40781C22"/>
    <w:rsid w:val="407A39BC"/>
    <w:rsid w:val="4080414D"/>
    <w:rsid w:val="40811B00"/>
    <w:rsid w:val="40816430"/>
    <w:rsid w:val="40874948"/>
    <w:rsid w:val="40A2409C"/>
    <w:rsid w:val="40A44E67"/>
    <w:rsid w:val="40A67D09"/>
    <w:rsid w:val="40BB34D7"/>
    <w:rsid w:val="40BC5600"/>
    <w:rsid w:val="40BE659D"/>
    <w:rsid w:val="40C93239"/>
    <w:rsid w:val="40CA7BE0"/>
    <w:rsid w:val="40CF04E5"/>
    <w:rsid w:val="40E36580"/>
    <w:rsid w:val="40E45ED9"/>
    <w:rsid w:val="40EB0EA6"/>
    <w:rsid w:val="40EC072D"/>
    <w:rsid w:val="40F56747"/>
    <w:rsid w:val="40F65324"/>
    <w:rsid w:val="40F65B2C"/>
    <w:rsid w:val="40FA3DD1"/>
    <w:rsid w:val="40FF4FD8"/>
    <w:rsid w:val="41004DDB"/>
    <w:rsid w:val="41026818"/>
    <w:rsid w:val="4103460C"/>
    <w:rsid w:val="41036FC6"/>
    <w:rsid w:val="410426AF"/>
    <w:rsid w:val="410A02B3"/>
    <w:rsid w:val="410A7B51"/>
    <w:rsid w:val="411E2BD8"/>
    <w:rsid w:val="41222FF7"/>
    <w:rsid w:val="41270EAB"/>
    <w:rsid w:val="41295974"/>
    <w:rsid w:val="412A29A3"/>
    <w:rsid w:val="41332133"/>
    <w:rsid w:val="4138080E"/>
    <w:rsid w:val="413860A5"/>
    <w:rsid w:val="4147630F"/>
    <w:rsid w:val="4149265B"/>
    <w:rsid w:val="41505533"/>
    <w:rsid w:val="415069C6"/>
    <w:rsid w:val="41510BCE"/>
    <w:rsid w:val="41533D07"/>
    <w:rsid w:val="415F51B9"/>
    <w:rsid w:val="41600815"/>
    <w:rsid w:val="416156C6"/>
    <w:rsid w:val="41621791"/>
    <w:rsid w:val="41646558"/>
    <w:rsid w:val="41675514"/>
    <w:rsid w:val="417C53E7"/>
    <w:rsid w:val="417F0050"/>
    <w:rsid w:val="419568D6"/>
    <w:rsid w:val="41964A4A"/>
    <w:rsid w:val="41964F66"/>
    <w:rsid w:val="41972D1D"/>
    <w:rsid w:val="419758F4"/>
    <w:rsid w:val="41A265CE"/>
    <w:rsid w:val="41A5251A"/>
    <w:rsid w:val="41AA1B1B"/>
    <w:rsid w:val="41AC4C67"/>
    <w:rsid w:val="41AD7751"/>
    <w:rsid w:val="41B07CB1"/>
    <w:rsid w:val="41B90D93"/>
    <w:rsid w:val="41BF3ABC"/>
    <w:rsid w:val="41CE288A"/>
    <w:rsid w:val="41D12AF0"/>
    <w:rsid w:val="41D86805"/>
    <w:rsid w:val="41DD0898"/>
    <w:rsid w:val="41E01205"/>
    <w:rsid w:val="41E03CEA"/>
    <w:rsid w:val="41EA2DCD"/>
    <w:rsid w:val="41EA7286"/>
    <w:rsid w:val="41ED2CFF"/>
    <w:rsid w:val="41F00D50"/>
    <w:rsid w:val="41F36792"/>
    <w:rsid w:val="41F65FED"/>
    <w:rsid w:val="41FA39AD"/>
    <w:rsid w:val="420420F8"/>
    <w:rsid w:val="420C360A"/>
    <w:rsid w:val="420F12BC"/>
    <w:rsid w:val="4210762C"/>
    <w:rsid w:val="421230E7"/>
    <w:rsid w:val="42123495"/>
    <w:rsid w:val="42155AD3"/>
    <w:rsid w:val="42164CC7"/>
    <w:rsid w:val="42167CCC"/>
    <w:rsid w:val="42173B8F"/>
    <w:rsid w:val="421A3FD4"/>
    <w:rsid w:val="421A6B01"/>
    <w:rsid w:val="421C0AFA"/>
    <w:rsid w:val="421F1E9B"/>
    <w:rsid w:val="421F7CC4"/>
    <w:rsid w:val="422270DD"/>
    <w:rsid w:val="422C1C67"/>
    <w:rsid w:val="422E0532"/>
    <w:rsid w:val="422F48E7"/>
    <w:rsid w:val="42304223"/>
    <w:rsid w:val="4230602E"/>
    <w:rsid w:val="423B4B38"/>
    <w:rsid w:val="423B6EBD"/>
    <w:rsid w:val="423E35CD"/>
    <w:rsid w:val="42442ED5"/>
    <w:rsid w:val="42477CE1"/>
    <w:rsid w:val="4251015E"/>
    <w:rsid w:val="425763BF"/>
    <w:rsid w:val="425966A2"/>
    <w:rsid w:val="425A72CB"/>
    <w:rsid w:val="425B0257"/>
    <w:rsid w:val="425C482C"/>
    <w:rsid w:val="42611D03"/>
    <w:rsid w:val="426E1D64"/>
    <w:rsid w:val="4275791F"/>
    <w:rsid w:val="427F4235"/>
    <w:rsid w:val="428631B5"/>
    <w:rsid w:val="428A205F"/>
    <w:rsid w:val="42956B20"/>
    <w:rsid w:val="42A05CBF"/>
    <w:rsid w:val="42A40A52"/>
    <w:rsid w:val="42A4130C"/>
    <w:rsid w:val="42B62BE9"/>
    <w:rsid w:val="42BC6ACA"/>
    <w:rsid w:val="42BF4E07"/>
    <w:rsid w:val="42BF7C0A"/>
    <w:rsid w:val="42C75EFD"/>
    <w:rsid w:val="42CB5CB0"/>
    <w:rsid w:val="42D50E15"/>
    <w:rsid w:val="42E17A81"/>
    <w:rsid w:val="42EB5616"/>
    <w:rsid w:val="42EC78F5"/>
    <w:rsid w:val="42F20239"/>
    <w:rsid w:val="42F37F0A"/>
    <w:rsid w:val="42F63D25"/>
    <w:rsid w:val="42FE674C"/>
    <w:rsid w:val="4307173E"/>
    <w:rsid w:val="430B676F"/>
    <w:rsid w:val="431162BD"/>
    <w:rsid w:val="43123712"/>
    <w:rsid w:val="43185FF4"/>
    <w:rsid w:val="43197DC0"/>
    <w:rsid w:val="431B669C"/>
    <w:rsid w:val="43221C9D"/>
    <w:rsid w:val="43235081"/>
    <w:rsid w:val="432F11A6"/>
    <w:rsid w:val="433262A0"/>
    <w:rsid w:val="43351B98"/>
    <w:rsid w:val="433A57C9"/>
    <w:rsid w:val="433D2682"/>
    <w:rsid w:val="433E4E92"/>
    <w:rsid w:val="43480BEA"/>
    <w:rsid w:val="43500E3D"/>
    <w:rsid w:val="4352722D"/>
    <w:rsid w:val="435368CA"/>
    <w:rsid w:val="435473D7"/>
    <w:rsid w:val="435D3FD7"/>
    <w:rsid w:val="435D79F9"/>
    <w:rsid w:val="435F6E79"/>
    <w:rsid w:val="436C0231"/>
    <w:rsid w:val="437312E1"/>
    <w:rsid w:val="43791B96"/>
    <w:rsid w:val="437A1CFD"/>
    <w:rsid w:val="437E1263"/>
    <w:rsid w:val="43805F8A"/>
    <w:rsid w:val="4383071C"/>
    <w:rsid w:val="438551FD"/>
    <w:rsid w:val="43860D60"/>
    <w:rsid w:val="43861AA5"/>
    <w:rsid w:val="43885DAA"/>
    <w:rsid w:val="438C0B71"/>
    <w:rsid w:val="439211BF"/>
    <w:rsid w:val="43995C1D"/>
    <w:rsid w:val="439B19F1"/>
    <w:rsid w:val="439F6AD7"/>
    <w:rsid w:val="43A60319"/>
    <w:rsid w:val="43B94565"/>
    <w:rsid w:val="43BF34C8"/>
    <w:rsid w:val="43C17E6A"/>
    <w:rsid w:val="43C20D3F"/>
    <w:rsid w:val="43C60FE9"/>
    <w:rsid w:val="43C862A6"/>
    <w:rsid w:val="43D94542"/>
    <w:rsid w:val="43DD75C7"/>
    <w:rsid w:val="43E45B46"/>
    <w:rsid w:val="43EC70F9"/>
    <w:rsid w:val="43F14812"/>
    <w:rsid w:val="43F602D2"/>
    <w:rsid w:val="43F73512"/>
    <w:rsid w:val="43F93CC1"/>
    <w:rsid w:val="440165EF"/>
    <w:rsid w:val="44077C06"/>
    <w:rsid w:val="44175E02"/>
    <w:rsid w:val="441A1BD6"/>
    <w:rsid w:val="44250172"/>
    <w:rsid w:val="44264A92"/>
    <w:rsid w:val="44283DED"/>
    <w:rsid w:val="44290368"/>
    <w:rsid w:val="442D06B2"/>
    <w:rsid w:val="44334820"/>
    <w:rsid w:val="443A02AC"/>
    <w:rsid w:val="443C1975"/>
    <w:rsid w:val="443D4837"/>
    <w:rsid w:val="443F29F3"/>
    <w:rsid w:val="44447168"/>
    <w:rsid w:val="44467992"/>
    <w:rsid w:val="444A3410"/>
    <w:rsid w:val="444A3A74"/>
    <w:rsid w:val="44553105"/>
    <w:rsid w:val="445609A8"/>
    <w:rsid w:val="44583556"/>
    <w:rsid w:val="44621D72"/>
    <w:rsid w:val="44627B4A"/>
    <w:rsid w:val="446B5CDF"/>
    <w:rsid w:val="446B5F6D"/>
    <w:rsid w:val="44703829"/>
    <w:rsid w:val="44741E4F"/>
    <w:rsid w:val="44766926"/>
    <w:rsid w:val="4477497B"/>
    <w:rsid w:val="447D1A0E"/>
    <w:rsid w:val="447E0D11"/>
    <w:rsid w:val="447F7557"/>
    <w:rsid w:val="44800A33"/>
    <w:rsid w:val="44830CDD"/>
    <w:rsid w:val="448E41B7"/>
    <w:rsid w:val="449268F8"/>
    <w:rsid w:val="44A06E89"/>
    <w:rsid w:val="44AC2719"/>
    <w:rsid w:val="44B91DC9"/>
    <w:rsid w:val="44BE5A6B"/>
    <w:rsid w:val="44BE7253"/>
    <w:rsid w:val="44C378AE"/>
    <w:rsid w:val="44D155A5"/>
    <w:rsid w:val="44D77B5A"/>
    <w:rsid w:val="44DB4041"/>
    <w:rsid w:val="44DE6720"/>
    <w:rsid w:val="44E17096"/>
    <w:rsid w:val="44E813E5"/>
    <w:rsid w:val="44EA2546"/>
    <w:rsid w:val="44EB5011"/>
    <w:rsid w:val="44FA1F8A"/>
    <w:rsid w:val="44FB4680"/>
    <w:rsid w:val="44FD73BB"/>
    <w:rsid w:val="44FD7CAC"/>
    <w:rsid w:val="44FF23A1"/>
    <w:rsid w:val="45026A1C"/>
    <w:rsid w:val="45085ABD"/>
    <w:rsid w:val="451334A2"/>
    <w:rsid w:val="451B7185"/>
    <w:rsid w:val="451D2BE0"/>
    <w:rsid w:val="451D334D"/>
    <w:rsid w:val="45220947"/>
    <w:rsid w:val="45260B5D"/>
    <w:rsid w:val="45286488"/>
    <w:rsid w:val="45296326"/>
    <w:rsid w:val="452A55EA"/>
    <w:rsid w:val="452B642A"/>
    <w:rsid w:val="452D5348"/>
    <w:rsid w:val="452F3DE8"/>
    <w:rsid w:val="453C60D5"/>
    <w:rsid w:val="45405D2C"/>
    <w:rsid w:val="454339EA"/>
    <w:rsid w:val="4549503B"/>
    <w:rsid w:val="454C2C4E"/>
    <w:rsid w:val="454C50CA"/>
    <w:rsid w:val="455753C8"/>
    <w:rsid w:val="455914BC"/>
    <w:rsid w:val="45592B60"/>
    <w:rsid w:val="455B252C"/>
    <w:rsid w:val="4560668E"/>
    <w:rsid w:val="45683B69"/>
    <w:rsid w:val="456955A2"/>
    <w:rsid w:val="456B404A"/>
    <w:rsid w:val="456E3C94"/>
    <w:rsid w:val="456F48C6"/>
    <w:rsid w:val="45790C72"/>
    <w:rsid w:val="457C77A1"/>
    <w:rsid w:val="458A5A10"/>
    <w:rsid w:val="458C2C3C"/>
    <w:rsid w:val="4597208A"/>
    <w:rsid w:val="4597641B"/>
    <w:rsid w:val="459A19D1"/>
    <w:rsid w:val="45A207B5"/>
    <w:rsid w:val="45A26527"/>
    <w:rsid w:val="45B23351"/>
    <w:rsid w:val="45B61B58"/>
    <w:rsid w:val="45B7282F"/>
    <w:rsid w:val="45B957A7"/>
    <w:rsid w:val="45BE214D"/>
    <w:rsid w:val="45C35768"/>
    <w:rsid w:val="45C63CD9"/>
    <w:rsid w:val="45C813B9"/>
    <w:rsid w:val="45CE43A4"/>
    <w:rsid w:val="45D02204"/>
    <w:rsid w:val="45D60AB0"/>
    <w:rsid w:val="45DA1821"/>
    <w:rsid w:val="45E53253"/>
    <w:rsid w:val="45E55964"/>
    <w:rsid w:val="45E737CF"/>
    <w:rsid w:val="45EC16D6"/>
    <w:rsid w:val="45F11A26"/>
    <w:rsid w:val="45F85286"/>
    <w:rsid w:val="46070B18"/>
    <w:rsid w:val="460B1E4B"/>
    <w:rsid w:val="460B7C13"/>
    <w:rsid w:val="4611637A"/>
    <w:rsid w:val="46127803"/>
    <w:rsid w:val="4613112B"/>
    <w:rsid w:val="46173542"/>
    <w:rsid w:val="46243957"/>
    <w:rsid w:val="46243D27"/>
    <w:rsid w:val="46285F91"/>
    <w:rsid w:val="462958A4"/>
    <w:rsid w:val="462A5E77"/>
    <w:rsid w:val="46325C8F"/>
    <w:rsid w:val="463844B2"/>
    <w:rsid w:val="463A10BC"/>
    <w:rsid w:val="463E2ECB"/>
    <w:rsid w:val="463F5956"/>
    <w:rsid w:val="464122A4"/>
    <w:rsid w:val="46670841"/>
    <w:rsid w:val="46697380"/>
    <w:rsid w:val="467007B2"/>
    <w:rsid w:val="467E0497"/>
    <w:rsid w:val="46840593"/>
    <w:rsid w:val="468F2186"/>
    <w:rsid w:val="469073ED"/>
    <w:rsid w:val="46915D61"/>
    <w:rsid w:val="46933163"/>
    <w:rsid w:val="46934565"/>
    <w:rsid w:val="46995DE8"/>
    <w:rsid w:val="469C1AE6"/>
    <w:rsid w:val="46A17E9B"/>
    <w:rsid w:val="46A57246"/>
    <w:rsid w:val="46A8355B"/>
    <w:rsid w:val="46AB5E88"/>
    <w:rsid w:val="46AE141C"/>
    <w:rsid w:val="46B05D61"/>
    <w:rsid w:val="46B21588"/>
    <w:rsid w:val="46B64BD7"/>
    <w:rsid w:val="46BE62C3"/>
    <w:rsid w:val="46C00AD8"/>
    <w:rsid w:val="46C044A2"/>
    <w:rsid w:val="46CA41C0"/>
    <w:rsid w:val="46D537A3"/>
    <w:rsid w:val="46D55D6E"/>
    <w:rsid w:val="46DC3DC5"/>
    <w:rsid w:val="46E03D38"/>
    <w:rsid w:val="46E25DF1"/>
    <w:rsid w:val="46E37C25"/>
    <w:rsid w:val="46E55CA3"/>
    <w:rsid w:val="46EA0D8B"/>
    <w:rsid w:val="46F149ED"/>
    <w:rsid w:val="46F2501A"/>
    <w:rsid w:val="46F45A8B"/>
    <w:rsid w:val="46F75841"/>
    <w:rsid w:val="46F81585"/>
    <w:rsid w:val="46FC7742"/>
    <w:rsid w:val="46FD3FF5"/>
    <w:rsid w:val="46FF0609"/>
    <w:rsid w:val="47071FEF"/>
    <w:rsid w:val="470A7A0C"/>
    <w:rsid w:val="470B0A64"/>
    <w:rsid w:val="470E5E87"/>
    <w:rsid w:val="47120DFE"/>
    <w:rsid w:val="47134A60"/>
    <w:rsid w:val="471564D6"/>
    <w:rsid w:val="47175DEC"/>
    <w:rsid w:val="4719302C"/>
    <w:rsid w:val="471B533F"/>
    <w:rsid w:val="471B70B4"/>
    <w:rsid w:val="471D3D52"/>
    <w:rsid w:val="47237C25"/>
    <w:rsid w:val="4724150B"/>
    <w:rsid w:val="472C318E"/>
    <w:rsid w:val="472C4B3A"/>
    <w:rsid w:val="4730140F"/>
    <w:rsid w:val="4732586E"/>
    <w:rsid w:val="47345639"/>
    <w:rsid w:val="47380C66"/>
    <w:rsid w:val="473A0462"/>
    <w:rsid w:val="473C635C"/>
    <w:rsid w:val="473D1B06"/>
    <w:rsid w:val="474B5F79"/>
    <w:rsid w:val="4751760A"/>
    <w:rsid w:val="47536681"/>
    <w:rsid w:val="475E4027"/>
    <w:rsid w:val="47630172"/>
    <w:rsid w:val="47673315"/>
    <w:rsid w:val="476917C6"/>
    <w:rsid w:val="477248F8"/>
    <w:rsid w:val="4775140B"/>
    <w:rsid w:val="47761672"/>
    <w:rsid w:val="47887B91"/>
    <w:rsid w:val="478C7327"/>
    <w:rsid w:val="478D25AF"/>
    <w:rsid w:val="478F756E"/>
    <w:rsid w:val="47921F9A"/>
    <w:rsid w:val="47943E13"/>
    <w:rsid w:val="47954D85"/>
    <w:rsid w:val="47AC170A"/>
    <w:rsid w:val="47AF301F"/>
    <w:rsid w:val="47AF399D"/>
    <w:rsid w:val="47B13066"/>
    <w:rsid w:val="47B21A06"/>
    <w:rsid w:val="47B24D5C"/>
    <w:rsid w:val="47B70CA7"/>
    <w:rsid w:val="47BF2E50"/>
    <w:rsid w:val="47C06604"/>
    <w:rsid w:val="47C139C4"/>
    <w:rsid w:val="47CB1F3C"/>
    <w:rsid w:val="47CF035D"/>
    <w:rsid w:val="47D15438"/>
    <w:rsid w:val="47DA72DD"/>
    <w:rsid w:val="47E14F4A"/>
    <w:rsid w:val="47E366DB"/>
    <w:rsid w:val="47E76E86"/>
    <w:rsid w:val="47EC2D47"/>
    <w:rsid w:val="47EE1CB2"/>
    <w:rsid w:val="47F74A6A"/>
    <w:rsid w:val="47FE423C"/>
    <w:rsid w:val="48010B23"/>
    <w:rsid w:val="480D6F68"/>
    <w:rsid w:val="480E77A5"/>
    <w:rsid w:val="480F416D"/>
    <w:rsid w:val="48124E95"/>
    <w:rsid w:val="481641AC"/>
    <w:rsid w:val="481825F6"/>
    <w:rsid w:val="481C249F"/>
    <w:rsid w:val="48253DCB"/>
    <w:rsid w:val="48293131"/>
    <w:rsid w:val="48295E1A"/>
    <w:rsid w:val="48366F0D"/>
    <w:rsid w:val="4841253F"/>
    <w:rsid w:val="484141A0"/>
    <w:rsid w:val="48434CAF"/>
    <w:rsid w:val="48442B81"/>
    <w:rsid w:val="484647B2"/>
    <w:rsid w:val="48473FF9"/>
    <w:rsid w:val="484D7D44"/>
    <w:rsid w:val="485D2840"/>
    <w:rsid w:val="48615D98"/>
    <w:rsid w:val="4862555C"/>
    <w:rsid w:val="4865532D"/>
    <w:rsid w:val="48700EC6"/>
    <w:rsid w:val="487514D9"/>
    <w:rsid w:val="48772013"/>
    <w:rsid w:val="487A321B"/>
    <w:rsid w:val="48823E20"/>
    <w:rsid w:val="48855CF8"/>
    <w:rsid w:val="48896401"/>
    <w:rsid w:val="488E1DE8"/>
    <w:rsid w:val="489133D5"/>
    <w:rsid w:val="489239B1"/>
    <w:rsid w:val="48AC2453"/>
    <w:rsid w:val="48AF2EEE"/>
    <w:rsid w:val="48B07B66"/>
    <w:rsid w:val="48B73451"/>
    <w:rsid w:val="48C0707C"/>
    <w:rsid w:val="48C16D4E"/>
    <w:rsid w:val="48CB26BA"/>
    <w:rsid w:val="48D05CF0"/>
    <w:rsid w:val="48D6563A"/>
    <w:rsid w:val="48D72889"/>
    <w:rsid w:val="48E636FE"/>
    <w:rsid w:val="48E87E35"/>
    <w:rsid w:val="48EB0E69"/>
    <w:rsid w:val="48F164EB"/>
    <w:rsid w:val="48F2014E"/>
    <w:rsid w:val="48F4008C"/>
    <w:rsid w:val="48F614FC"/>
    <w:rsid w:val="48FB392D"/>
    <w:rsid w:val="48FB4749"/>
    <w:rsid w:val="48FF4533"/>
    <w:rsid w:val="4906716A"/>
    <w:rsid w:val="4907535C"/>
    <w:rsid w:val="490878AE"/>
    <w:rsid w:val="490C2300"/>
    <w:rsid w:val="490C25AE"/>
    <w:rsid w:val="49104307"/>
    <w:rsid w:val="49173C0E"/>
    <w:rsid w:val="491B4ABE"/>
    <w:rsid w:val="491B7535"/>
    <w:rsid w:val="491D4834"/>
    <w:rsid w:val="491F3DEA"/>
    <w:rsid w:val="491F4CE7"/>
    <w:rsid w:val="49330C5A"/>
    <w:rsid w:val="493A49D5"/>
    <w:rsid w:val="494113A3"/>
    <w:rsid w:val="4941304D"/>
    <w:rsid w:val="49435492"/>
    <w:rsid w:val="4950126B"/>
    <w:rsid w:val="49560F2D"/>
    <w:rsid w:val="49607418"/>
    <w:rsid w:val="496F6816"/>
    <w:rsid w:val="4972119C"/>
    <w:rsid w:val="497747B2"/>
    <w:rsid w:val="4984009E"/>
    <w:rsid w:val="4985165E"/>
    <w:rsid w:val="49885E1D"/>
    <w:rsid w:val="498A2850"/>
    <w:rsid w:val="498C6829"/>
    <w:rsid w:val="498E1127"/>
    <w:rsid w:val="498F425A"/>
    <w:rsid w:val="4991696C"/>
    <w:rsid w:val="499E3086"/>
    <w:rsid w:val="49A60799"/>
    <w:rsid w:val="49A77C18"/>
    <w:rsid w:val="49A91D55"/>
    <w:rsid w:val="49AB18AD"/>
    <w:rsid w:val="49AF36C6"/>
    <w:rsid w:val="49B94F9A"/>
    <w:rsid w:val="49BB3A1F"/>
    <w:rsid w:val="49BE3D5D"/>
    <w:rsid w:val="49C15130"/>
    <w:rsid w:val="49C73371"/>
    <w:rsid w:val="49CC4A2D"/>
    <w:rsid w:val="49CD4C62"/>
    <w:rsid w:val="49CD56E3"/>
    <w:rsid w:val="49CF4548"/>
    <w:rsid w:val="49D05584"/>
    <w:rsid w:val="49D852B6"/>
    <w:rsid w:val="49D85345"/>
    <w:rsid w:val="49DD429A"/>
    <w:rsid w:val="49DE3230"/>
    <w:rsid w:val="49DF5057"/>
    <w:rsid w:val="49DF6D5D"/>
    <w:rsid w:val="49E04330"/>
    <w:rsid w:val="49E727CF"/>
    <w:rsid w:val="49F545CA"/>
    <w:rsid w:val="49F62094"/>
    <w:rsid w:val="49FA09C8"/>
    <w:rsid w:val="4A006631"/>
    <w:rsid w:val="4A006AEA"/>
    <w:rsid w:val="4A02359F"/>
    <w:rsid w:val="4A047C7C"/>
    <w:rsid w:val="4A07458F"/>
    <w:rsid w:val="4A09170B"/>
    <w:rsid w:val="4A0D3F23"/>
    <w:rsid w:val="4A114E1D"/>
    <w:rsid w:val="4A135894"/>
    <w:rsid w:val="4A151571"/>
    <w:rsid w:val="4A177700"/>
    <w:rsid w:val="4A1E74C2"/>
    <w:rsid w:val="4A202DDF"/>
    <w:rsid w:val="4A234221"/>
    <w:rsid w:val="4A293F5D"/>
    <w:rsid w:val="4A2B332A"/>
    <w:rsid w:val="4A2B407D"/>
    <w:rsid w:val="4A2C2931"/>
    <w:rsid w:val="4A383146"/>
    <w:rsid w:val="4A386881"/>
    <w:rsid w:val="4A386A1F"/>
    <w:rsid w:val="4A3A4891"/>
    <w:rsid w:val="4A3F1A00"/>
    <w:rsid w:val="4A5E55C5"/>
    <w:rsid w:val="4A6563A6"/>
    <w:rsid w:val="4A6D41A1"/>
    <w:rsid w:val="4A726173"/>
    <w:rsid w:val="4A784B97"/>
    <w:rsid w:val="4A8219BC"/>
    <w:rsid w:val="4A845E9B"/>
    <w:rsid w:val="4A8633F5"/>
    <w:rsid w:val="4A8706EE"/>
    <w:rsid w:val="4A8802BD"/>
    <w:rsid w:val="4A8A1915"/>
    <w:rsid w:val="4A8C515A"/>
    <w:rsid w:val="4A8D79BD"/>
    <w:rsid w:val="4A90345E"/>
    <w:rsid w:val="4A9176A9"/>
    <w:rsid w:val="4A954B47"/>
    <w:rsid w:val="4A9F0D06"/>
    <w:rsid w:val="4AA55A24"/>
    <w:rsid w:val="4AB123B8"/>
    <w:rsid w:val="4AC47579"/>
    <w:rsid w:val="4ACA7234"/>
    <w:rsid w:val="4AD043C4"/>
    <w:rsid w:val="4AD34835"/>
    <w:rsid w:val="4AD65FC3"/>
    <w:rsid w:val="4ADD6E30"/>
    <w:rsid w:val="4AEC3715"/>
    <w:rsid w:val="4AED0EF2"/>
    <w:rsid w:val="4AEE43D6"/>
    <w:rsid w:val="4AEF2266"/>
    <w:rsid w:val="4AEF6AEF"/>
    <w:rsid w:val="4AF26834"/>
    <w:rsid w:val="4AF31533"/>
    <w:rsid w:val="4AF81869"/>
    <w:rsid w:val="4B045E1A"/>
    <w:rsid w:val="4B0E2FDA"/>
    <w:rsid w:val="4B136393"/>
    <w:rsid w:val="4B1A5440"/>
    <w:rsid w:val="4B1E6E08"/>
    <w:rsid w:val="4B2B1904"/>
    <w:rsid w:val="4B2C59DB"/>
    <w:rsid w:val="4B2C65A0"/>
    <w:rsid w:val="4B3D0AE6"/>
    <w:rsid w:val="4B3E0BA9"/>
    <w:rsid w:val="4B404147"/>
    <w:rsid w:val="4B472390"/>
    <w:rsid w:val="4B4B66E9"/>
    <w:rsid w:val="4B53575B"/>
    <w:rsid w:val="4B53575F"/>
    <w:rsid w:val="4B536B93"/>
    <w:rsid w:val="4B57029F"/>
    <w:rsid w:val="4B5763CC"/>
    <w:rsid w:val="4B656F31"/>
    <w:rsid w:val="4B684F88"/>
    <w:rsid w:val="4B685A25"/>
    <w:rsid w:val="4B6B02AE"/>
    <w:rsid w:val="4B785C41"/>
    <w:rsid w:val="4B895684"/>
    <w:rsid w:val="4B897BEB"/>
    <w:rsid w:val="4B8D2C65"/>
    <w:rsid w:val="4B8E038F"/>
    <w:rsid w:val="4B8E7D33"/>
    <w:rsid w:val="4B9B5C56"/>
    <w:rsid w:val="4B9B6EB5"/>
    <w:rsid w:val="4B9D71A2"/>
    <w:rsid w:val="4B9F2CDF"/>
    <w:rsid w:val="4BA9098D"/>
    <w:rsid w:val="4BAE1107"/>
    <w:rsid w:val="4BB4026F"/>
    <w:rsid w:val="4BB56FF6"/>
    <w:rsid w:val="4BB635A0"/>
    <w:rsid w:val="4BBB11AD"/>
    <w:rsid w:val="4BBC007B"/>
    <w:rsid w:val="4BC91C7D"/>
    <w:rsid w:val="4BCE5663"/>
    <w:rsid w:val="4BCE65E0"/>
    <w:rsid w:val="4BD14CA7"/>
    <w:rsid w:val="4BD174D7"/>
    <w:rsid w:val="4BD27F66"/>
    <w:rsid w:val="4BDE1F83"/>
    <w:rsid w:val="4BDF6F8E"/>
    <w:rsid w:val="4BEA18C9"/>
    <w:rsid w:val="4BEA1DA9"/>
    <w:rsid w:val="4BEB5185"/>
    <w:rsid w:val="4BEB6472"/>
    <w:rsid w:val="4BEE3E67"/>
    <w:rsid w:val="4BEF0B27"/>
    <w:rsid w:val="4BF11C64"/>
    <w:rsid w:val="4BF15272"/>
    <w:rsid w:val="4BFD11F9"/>
    <w:rsid w:val="4C0214A9"/>
    <w:rsid w:val="4C041AD9"/>
    <w:rsid w:val="4C093CBC"/>
    <w:rsid w:val="4C0F1644"/>
    <w:rsid w:val="4C1005EB"/>
    <w:rsid w:val="4C133E79"/>
    <w:rsid w:val="4C291AFE"/>
    <w:rsid w:val="4C3C5B51"/>
    <w:rsid w:val="4C432B60"/>
    <w:rsid w:val="4C4617C0"/>
    <w:rsid w:val="4C4647B4"/>
    <w:rsid w:val="4C4973A2"/>
    <w:rsid w:val="4C523805"/>
    <w:rsid w:val="4C5D0C30"/>
    <w:rsid w:val="4C5D26B6"/>
    <w:rsid w:val="4C5E154E"/>
    <w:rsid w:val="4C5F7D4F"/>
    <w:rsid w:val="4C60134D"/>
    <w:rsid w:val="4C6211EF"/>
    <w:rsid w:val="4C6247D7"/>
    <w:rsid w:val="4C654C5F"/>
    <w:rsid w:val="4C656276"/>
    <w:rsid w:val="4C674A75"/>
    <w:rsid w:val="4C674AFD"/>
    <w:rsid w:val="4C697BAA"/>
    <w:rsid w:val="4C742969"/>
    <w:rsid w:val="4C78351B"/>
    <w:rsid w:val="4C7F7360"/>
    <w:rsid w:val="4C8A4370"/>
    <w:rsid w:val="4C8C4428"/>
    <w:rsid w:val="4C8C4F52"/>
    <w:rsid w:val="4C921CC8"/>
    <w:rsid w:val="4C9405CC"/>
    <w:rsid w:val="4C977E48"/>
    <w:rsid w:val="4C9A6D7D"/>
    <w:rsid w:val="4C9F6199"/>
    <w:rsid w:val="4CA54EA2"/>
    <w:rsid w:val="4CA763F6"/>
    <w:rsid w:val="4CA8144A"/>
    <w:rsid w:val="4CAB5CDB"/>
    <w:rsid w:val="4CAC1E60"/>
    <w:rsid w:val="4CB3132E"/>
    <w:rsid w:val="4CBF1220"/>
    <w:rsid w:val="4CC905F8"/>
    <w:rsid w:val="4CC90DAB"/>
    <w:rsid w:val="4CC95BF3"/>
    <w:rsid w:val="4CCA4329"/>
    <w:rsid w:val="4CD230E0"/>
    <w:rsid w:val="4CD60B2C"/>
    <w:rsid w:val="4CDD1C4E"/>
    <w:rsid w:val="4CDD4092"/>
    <w:rsid w:val="4CDF6B33"/>
    <w:rsid w:val="4CE52321"/>
    <w:rsid w:val="4CE6113C"/>
    <w:rsid w:val="4CED4147"/>
    <w:rsid w:val="4CEF5CBA"/>
    <w:rsid w:val="4CF26AB3"/>
    <w:rsid w:val="4CF549B1"/>
    <w:rsid w:val="4CF728A5"/>
    <w:rsid w:val="4CF86A36"/>
    <w:rsid w:val="4CF90587"/>
    <w:rsid w:val="4CF94CD2"/>
    <w:rsid w:val="4CFF5F2B"/>
    <w:rsid w:val="4D07546A"/>
    <w:rsid w:val="4D0E1774"/>
    <w:rsid w:val="4D0F187F"/>
    <w:rsid w:val="4D1130CC"/>
    <w:rsid w:val="4D11568C"/>
    <w:rsid w:val="4D1C087F"/>
    <w:rsid w:val="4D207DCC"/>
    <w:rsid w:val="4D255D86"/>
    <w:rsid w:val="4D2730DA"/>
    <w:rsid w:val="4D2A763B"/>
    <w:rsid w:val="4D2D0268"/>
    <w:rsid w:val="4D2D0FCB"/>
    <w:rsid w:val="4D350057"/>
    <w:rsid w:val="4D360436"/>
    <w:rsid w:val="4D3C0A7F"/>
    <w:rsid w:val="4D3C606B"/>
    <w:rsid w:val="4D3F1A84"/>
    <w:rsid w:val="4D495C2F"/>
    <w:rsid w:val="4D4E26AE"/>
    <w:rsid w:val="4D593EF0"/>
    <w:rsid w:val="4D5B1CD7"/>
    <w:rsid w:val="4D5F3370"/>
    <w:rsid w:val="4D624DF9"/>
    <w:rsid w:val="4D653FE5"/>
    <w:rsid w:val="4D6642E5"/>
    <w:rsid w:val="4D6646B7"/>
    <w:rsid w:val="4D732A7D"/>
    <w:rsid w:val="4D734B85"/>
    <w:rsid w:val="4D8B4019"/>
    <w:rsid w:val="4D9200BF"/>
    <w:rsid w:val="4D96681E"/>
    <w:rsid w:val="4D9B7914"/>
    <w:rsid w:val="4DAA1112"/>
    <w:rsid w:val="4DAF6676"/>
    <w:rsid w:val="4DB001F9"/>
    <w:rsid w:val="4DB51DEB"/>
    <w:rsid w:val="4DBE173B"/>
    <w:rsid w:val="4DC35E5E"/>
    <w:rsid w:val="4DC70D96"/>
    <w:rsid w:val="4DC87D79"/>
    <w:rsid w:val="4DCB533E"/>
    <w:rsid w:val="4DCC0F8F"/>
    <w:rsid w:val="4DD141C6"/>
    <w:rsid w:val="4DD31571"/>
    <w:rsid w:val="4DD31854"/>
    <w:rsid w:val="4DD61AF5"/>
    <w:rsid w:val="4DDE1E9D"/>
    <w:rsid w:val="4DDF658D"/>
    <w:rsid w:val="4DE83A0D"/>
    <w:rsid w:val="4DEE43C5"/>
    <w:rsid w:val="4DF07B12"/>
    <w:rsid w:val="4DF72ECC"/>
    <w:rsid w:val="4DF92E0A"/>
    <w:rsid w:val="4DFD429D"/>
    <w:rsid w:val="4E022A86"/>
    <w:rsid w:val="4E033B6B"/>
    <w:rsid w:val="4E042AD3"/>
    <w:rsid w:val="4E0522FD"/>
    <w:rsid w:val="4E0A1C39"/>
    <w:rsid w:val="4E0C2B52"/>
    <w:rsid w:val="4E1B6407"/>
    <w:rsid w:val="4E1C5758"/>
    <w:rsid w:val="4E201BE5"/>
    <w:rsid w:val="4E2707BB"/>
    <w:rsid w:val="4E303168"/>
    <w:rsid w:val="4E326128"/>
    <w:rsid w:val="4E364A86"/>
    <w:rsid w:val="4E3E7ECB"/>
    <w:rsid w:val="4E496A5D"/>
    <w:rsid w:val="4E4C54E9"/>
    <w:rsid w:val="4E5114DE"/>
    <w:rsid w:val="4E552E6A"/>
    <w:rsid w:val="4E562CAC"/>
    <w:rsid w:val="4E572BC2"/>
    <w:rsid w:val="4E5B5054"/>
    <w:rsid w:val="4E5C1F53"/>
    <w:rsid w:val="4E5D22A6"/>
    <w:rsid w:val="4E663831"/>
    <w:rsid w:val="4E6C27CA"/>
    <w:rsid w:val="4E731F31"/>
    <w:rsid w:val="4E733392"/>
    <w:rsid w:val="4E760AC1"/>
    <w:rsid w:val="4E762A80"/>
    <w:rsid w:val="4E78321E"/>
    <w:rsid w:val="4E830687"/>
    <w:rsid w:val="4E847671"/>
    <w:rsid w:val="4E8668A0"/>
    <w:rsid w:val="4E8933A9"/>
    <w:rsid w:val="4E8A7711"/>
    <w:rsid w:val="4E8D147A"/>
    <w:rsid w:val="4E8E0BC4"/>
    <w:rsid w:val="4E934407"/>
    <w:rsid w:val="4E9B6503"/>
    <w:rsid w:val="4EB4397D"/>
    <w:rsid w:val="4EC33D27"/>
    <w:rsid w:val="4ECF7A7D"/>
    <w:rsid w:val="4ED16296"/>
    <w:rsid w:val="4ED31A53"/>
    <w:rsid w:val="4EDA4EFF"/>
    <w:rsid w:val="4EDB2F70"/>
    <w:rsid w:val="4EDB530D"/>
    <w:rsid w:val="4EDC1D55"/>
    <w:rsid w:val="4EE14290"/>
    <w:rsid w:val="4EE665C2"/>
    <w:rsid w:val="4EEB5E17"/>
    <w:rsid w:val="4EF51F07"/>
    <w:rsid w:val="4F0026A9"/>
    <w:rsid w:val="4F045619"/>
    <w:rsid w:val="4F0C4340"/>
    <w:rsid w:val="4F1B7430"/>
    <w:rsid w:val="4F1C07D7"/>
    <w:rsid w:val="4F1D6D00"/>
    <w:rsid w:val="4F1F0C0E"/>
    <w:rsid w:val="4F1F684F"/>
    <w:rsid w:val="4F28452E"/>
    <w:rsid w:val="4F2860DB"/>
    <w:rsid w:val="4F3350CC"/>
    <w:rsid w:val="4F363D3B"/>
    <w:rsid w:val="4F38294D"/>
    <w:rsid w:val="4F3864B9"/>
    <w:rsid w:val="4F3B4610"/>
    <w:rsid w:val="4F3D10D8"/>
    <w:rsid w:val="4F3D32DF"/>
    <w:rsid w:val="4F3D61A4"/>
    <w:rsid w:val="4F3F102B"/>
    <w:rsid w:val="4F43141F"/>
    <w:rsid w:val="4F546E6A"/>
    <w:rsid w:val="4F5B4A57"/>
    <w:rsid w:val="4F5B796A"/>
    <w:rsid w:val="4F5E6851"/>
    <w:rsid w:val="4F6862CB"/>
    <w:rsid w:val="4F695319"/>
    <w:rsid w:val="4F6B628F"/>
    <w:rsid w:val="4F6C60E0"/>
    <w:rsid w:val="4F752A93"/>
    <w:rsid w:val="4F761019"/>
    <w:rsid w:val="4F7B49B9"/>
    <w:rsid w:val="4F81348E"/>
    <w:rsid w:val="4F8414D3"/>
    <w:rsid w:val="4F8E37AA"/>
    <w:rsid w:val="4F8E73EA"/>
    <w:rsid w:val="4F911FDE"/>
    <w:rsid w:val="4F930A03"/>
    <w:rsid w:val="4F940D06"/>
    <w:rsid w:val="4F963523"/>
    <w:rsid w:val="4F9958CC"/>
    <w:rsid w:val="4FA20D30"/>
    <w:rsid w:val="4FA34364"/>
    <w:rsid w:val="4FA45453"/>
    <w:rsid w:val="4FA57204"/>
    <w:rsid w:val="4FA87182"/>
    <w:rsid w:val="4FB171C8"/>
    <w:rsid w:val="4FBA158A"/>
    <w:rsid w:val="4FBB3C78"/>
    <w:rsid w:val="4FC60738"/>
    <w:rsid w:val="4FC76226"/>
    <w:rsid w:val="4FC84742"/>
    <w:rsid w:val="4FCE4610"/>
    <w:rsid w:val="4FCE533A"/>
    <w:rsid w:val="4FD02DA3"/>
    <w:rsid w:val="4FD376CA"/>
    <w:rsid w:val="4FD91531"/>
    <w:rsid w:val="4FDE405D"/>
    <w:rsid w:val="4FE043AF"/>
    <w:rsid w:val="4FE27207"/>
    <w:rsid w:val="4FE46AB8"/>
    <w:rsid w:val="4FE667B8"/>
    <w:rsid w:val="4FF225D3"/>
    <w:rsid w:val="4FF23B92"/>
    <w:rsid w:val="4FF81158"/>
    <w:rsid w:val="4FF93783"/>
    <w:rsid w:val="4FFD4054"/>
    <w:rsid w:val="4FFD5601"/>
    <w:rsid w:val="50030878"/>
    <w:rsid w:val="500310E1"/>
    <w:rsid w:val="50120F12"/>
    <w:rsid w:val="501E54B6"/>
    <w:rsid w:val="501F7364"/>
    <w:rsid w:val="50232A01"/>
    <w:rsid w:val="50244A97"/>
    <w:rsid w:val="502831F7"/>
    <w:rsid w:val="5033741C"/>
    <w:rsid w:val="504339EF"/>
    <w:rsid w:val="504A1767"/>
    <w:rsid w:val="505C46F0"/>
    <w:rsid w:val="50670196"/>
    <w:rsid w:val="506A4350"/>
    <w:rsid w:val="506F5945"/>
    <w:rsid w:val="507228DD"/>
    <w:rsid w:val="50737936"/>
    <w:rsid w:val="507410A5"/>
    <w:rsid w:val="507619DB"/>
    <w:rsid w:val="50762872"/>
    <w:rsid w:val="50777F92"/>
    <w:rsid w:val="508759A3"/>
    <w:rsid w:val="508819F7"/>
    <w:rsid w:val="50882CA4"/>
    <w:rsid w:val="508C74EE"/>
    <w:rsid w:val="509012A9"/>
    <w:rsid w:val="5093473D"/>
    <w:rsid w:val="50936BC9"/>
    <w:rsid w:val="509372F9"/>
    <w:rsid w:val="5099285E"/>
    <w:rsid w:val="509C7F01"/>
    <w:rsid w:val="50A10CDF"/>
    <w:rsid w:val="50A432B8"/>
    <w:rsid w:val="50A83E01"/>
    <w:rsid w:val="50B02A45"/>
    <w:rsid w:val="50B56FCD"/>
    <w:rsid w:val="50B75230"/>
    <w:rsid w:val="50BC0E8D"/>
    <w:rsid w:val="50BE3368"/>
    <w:rsid w:val="50C10C3B"/>
    <w:rsid w:val="50CA581A"/>
    <w:rsid w:val="50CD25B1"/>
    <w:rsid w:val="50D23F09"/>
    <w:rsid w:val="50D406E4"/>
    <w:rsid w:val="50DC7B93"/>
    <w:rsid w:val="50DD7570"/>
    <w:rsid w:val="50E01FE2"/>
    <w:rsid w:val="50E14970"/>
    <w:rsid w:val="50E3655E"/>
    <w:rsid w:val="50E378D9"/>
    <w:rsid w:val="50F81383"/>
    <w:rsid w:val="50FF1DF4"/>
    <w:rsid w:val="510146C5"/>
    <w:rsid w:val="51060978"/>
    <w:rsid w:val="51080C90"/>
    <w:rsid w:val="51106878"/>
    <w:rsid w:val="51277947"/>
    <w:rsid w:val="512B51C3"/>
    <w:rsid w:val="512E2254"/>
    <w:rsid w:val="51300F59"/>
    <w:rsid w:val="51306048"/>
    <w:rsid w:val="51360EF7"/>
    <w:rsid w:val="513932FA"/>
    <w:rsid w:val="51437A55"/>
    <w:rsid w:val="51456198"/>
    <w:rsid w:val="514965D5"/>
    <w:rsid w:val="514A5338"/>
    <w:rsid w:val="514C44C0"/>
    <w:rsid w:val="51557685"/>
    <w:rsid w:val="5157466F"/>
    <w:rsid w:val="516F462F"/>
    <w:rsid w:val="51710A9F"/>
    <w:rsid w:val="517A5C8C"/>
    <w:rsid w:val="517D2F6F"/>
    <w:rsid w:val="51815066"/>
    <w:rsid w:val="51997391"/>
    <w:rsid w:val="51A97060"/>
    <w:rsid w:val="51AC43FF"/>
    <w:rsid w:val="51B77599"/>
    <w:rsid w:val="51BB61D8"/>
    <w:rsid w:val="51BF3DF9"/>
    <w:rsid w:val="51C55FAC"/>
    <w:rsid w:val="51C85ACC"/>
    <w:rsid w:val="51CA5FB5"/>
    <w:rsid w:val="51DF00FA"/>
    <w:rsid w:val="51DF2A75"/>
    <w:rsid w:val="51E648FA"/>
    <w:rsid w:val="51E66395"/>
    <w:rsid w:val="51E74EDE"/>
    <w:rsid w:val="51EE1654"/>
    <w:rsid w:val="51FA68C4"/>
    <w:rsid w:val="51FF1DF8"/>
    <w:rsid w:val="51FF78F5"/>
    <w:rsid w:val="52010E4D"/>
    <w:rsid w:val="52106D6D"/>
    <w:rsid w:val="521A7E99"/>
    <w:rsid w:val="521B4DC0"/>
    <w:rsid w:val="521B74BD"/>
    <w:rsid w:val="52217E71"/>
    <w:rsid w:val="522520CB"/>
    <w:rsid w:val="522B7F81"/>
    <w:rsid w:val="52330559"/>
    <w:rsid w:val="52355182"/>
    <w:rsid w:val="52375757"/>
    <w:rsid w:val="52395172"/>
    <w:rsid w:val="523A12EC"/>
    <w:rsid w:val="523C4FD5"/>
    <w:rsid w:val="5240258B"/>
    <w:rsid w:val="52512897"/>
    <w:rsid w:val="52557398"/>
    <w:rsid w:val="525B0D52"/>
    <w:rsid w:val="525C062F"/>
    <w:rsid w:val="52655576"/>
    <w:rsid w:val="526D79B7"/>
    <w:rsid w:val="527225CA"/>
    <w:rsid w:val="52761E1B"/>
    <w:rsid w:val="5277348C"/>
    <w:rsid w:val="527E7178"/>
    <w:rsid w:val="527F5BB4"/>
    <w:rsid w:val="52891A83"/>
    <w:rsid w:val="52897042"/>
    <w:rsid w:val="528E761B"/>
    <w:rsid w:val="5293529F"/>
    <w:rsid w:val="529365E8"/>
    <w:rsid w:val="52AC5074"/>
    <w:rsid w:val="52B33992"/>
    <w:rsid w:val="52B71448"/>
    <w:rsid w:val="52BC1CE9"/>
    <w:rsid w:val="52C607E1"/>
    <w:rsid w:val="52C80A63"/>
    <w:rsid w:val="52CA36DB"/>
    <w:rsid w:val="52D05143"/>
    <w:rsid w:val="52D33DBA"/>
    <w:rsid w:val="52D62CCB"/>
    <w:rsid w:val="52D6533F"/>
    <w:rsid w:val="52DA159E"/>
    <w:rsid w:val="52DB2573"/>
    <w:rsid w:val="52E463E5"/>
    <w:rsid w:val="52E47767"/>
    <w:rsid w:val="52E600BF"/>
    <w:rsid w:val="52E806D1"/>
    <w:rsid w:val="52EA206B"/>
    <w:rsid w:val="52EA61D7"/>
    <w:rsid w:val="52F27A2E"/>
    <w:rsid w:val="52FB7AF3"/>
    <w:rsid w:val="52FE3EF0"/>
    <w:rsid w:val="53057058"/>
    <w:rsid w:val="530C1675"/>
    <w:rsid w:val="531C032D"/>
    <w:rsid w:val="531E7A0C"/>
    <w:rsid w:val="532619CA"/>
    <w:rsid w:val="53305EE3"/>
    <w:rsid w:val="53314CDA"/>
    <w:rsid w:val="533F7540"/>
    <w:rsid w:val="534549D7"/>
    <w:rsid w:val="5347085A"/>
    <w:rsid w:val="535175B4"/>
    <w:rsid w:val="5354181C"/>
    <w:rsid w:val="535A69C5"/>
    <w:rsid w:val="535F3914"/>
    <w:rsid w:val="535F4EFE"/>
    <w:rsid w:val="5361611D"/>
    <w:rsid w:val="536614E2"/>
    <w:rsid w:val="53682313"/>
    <w:rsid w:val="53692B3F"/>
    <w:rsid w:val="536A7546"/>
    <w:rsid w:val="536B378C"/>
    <w:rsid w:val="537C7B5D"/>
    <w:rsid w:val="538516CE"/>
    <w:rsid w:val="53857560"/>
    <w:rsid w:val="538C26E0"/>
    <w:rsid w:val="539878AC"/>
    <w:rsid w:val="539A1F26"/>
    <w:rsid w:val="539E2B83"/>
    <w:rsid w:val="53A92FA1"/>
    <w:rsid w:val="53B95618"/>
    <w:rsid w:val="53BE379E"/>
    <w:rsid w:val="53C1418F"/>
    <w:rsid w:val="53C30C88"/>
    <w:rsid w:val="53C70F9C"/>
    <w:rsid w:val="53CD0C7C"/>
    <w:rsid w:val="53D97ADA"/>
    <w:rsid w:val="53EC3999"/>
    <w:rsid w:val="53F82A2A"/>
    <w:rsid w:val="53FB4033"/>
    <w:rsid w:val="53FC28B9"/>
    <w:rsid w:val="53FE4AA8"/>
    <w:rsid w:val="54007BE2"/>
    <w:rsid w:val="54171892"/>
    <w:rsid w:val="541A156F"/>
    <w:rsid w:val="54203AAA"/>
    <w:rsid w:val="54213438"/>
    <w:rsid w:val="54224E03"/>
    <w:rsid w:val="5424586F"/>
    <w:rsid w:val="54293CB7"/>
    <w:rsid w:val="54294A6F"/>
    <w:rsid w:val="542B0A2C"/>
    <w:rsid w:val="543523D2"/>
    <w:rsid w:val="54384577"/>
    <w:rsid w:val="54386FF2"/>
    <w:rsid w:val="543D4FF6"/>
    <w:rsid w:val="543D7B79"/>
    <w:rsid w:val="54400950"/>
    <w:rsid w:val="54406A61"/>
    <w:rsid w:val="54456BE9"/>
    <w:rsid w:val="544C46BF"/>
    <w:rsid w:val="544D517E"/>
    <w:rsid w:val="544D7FEB"/>
    <w:rsid w:val="54506C10"/>
    <w:rsid w:val="5450702F"/>
    <w:rsid w:val="54594DFC"/>
    <w:rsid w:val="5461753C"/>
    <w:rsid w:val="54662E65"/>
    <w:rsid w:val="54687D7F"/>
    <w:rsid w:val="546919B6"/>
    <w:rsid w:val="546A3292"/>
    <w:rsid w:val="546A743F"/>
    <w:rsid w:val="546B7AFD"/>
    <w:rsid w:val="546F0C1C"/>
    <w:rsid w:val="546F79AB"/>
    <w:rsid w:val="547033C8"/>
    <w:rsid w:val="54737F64"/>
    <w:rsid w:val="54794B2F"/>
    <w:rsid w:val="547A3E36"/>
    <w:rsid w:val="547B689D"/>
    <w:rsid w:val="547C1347"/>
    <w:rsid w:val="54872547"/>
    <w:rsid w:val="549D2C59"/>
    <w:rsid w:val="54A267CF"/>
    <w:rsid w:val="54A5655A"/>
    <w:rsid w:val="54B063F1"/>
    <w:rsid w:val="54B42A49"/>
    <w:rsid w:val="54B83705"/>
    <w:rsid w:val="54B86811"/>
    <w:rsid w:val="54B95111"/>
    <w:rsid w:val="54BF78B3"/>
    <w:rsid w:val="54C243F2"/>
    <w:rsid w:val="54CD5231"/>
    <w:rsid w:val="54D1697B"/>
    <w:rsid w:val="54D33EC1"/>
    <w:rsid w:val="54D57B46"/>
    <w:rsid w:val="54DC21DA"/>
    <w:rsid w:val="54E21834"/>
    <w:rsid w:val="54E57574"/>
    <w:rsid w:val="54E620CB"/>
    <w:rsid w:val="54E73025"/>
    <w:rsid w:val="54E974C8"/>
    <w:rsid w:val="54F56501"/>
    <w:rsid w:val="54FF6023"/>
    <w:rsid w:val="5505544A"/>
    <w:rsid w:val="55095FBE"/>
    <w:rsid w:val="550A493C"/>
    <w:rsid w:val="551C27EA"/>
    <w:rsid w:val="551C5886"/>
    <w:rsid w:val="551D5CAE"/>
    <w:rsid w:val="551E1549"/>
    <w:rsid w:val="55234B5D"/>
    <w:rsid w:val="552A7CBC"/>
    <w:rsid w:val="552D13D4"/>
    <w:rsid w:val="552F5806"/>
    <w:rsid w:val="55314511"/>
    <w:rsid w:val="553C0987"/>
    <w:rsid w:val="55406C84"/>
    <w:rsid w:val="554311A8"/>
    <w:rsid w:val="55487B08"/>
    <w:rsid w:val="554A14D7"/>
    <w:rsid w:val="554D039D"/>
    <w:rsid w:val="55566B9C"/>
    <w:rsid w:val="5560047B"/>
    <w:rsid w:val="55602455"/>
    <w:rsid w:val="556833CA"/>
    <w:rsid w:val="556B4147"/>
    <w:rsid w:val="556D3362"/>
    <w:rsid w:val="55757167"/>
    <w:rsid w:val="55762D19"/>
    <w:rsid w:val="55765EAC"/>
    <w:rsid w:val="55812F6E"/>
    <w:rsid w:val="55854C4C"/>
    <w:rsid w:val="5591268A"/>
    <w:rsid w:val="559128DB"/>
    <w:rsid w:val="55922583"/>
    <w:rsid w:val="559730A6"/>
    <w:rsid w:val="559A2EDC"/>
    <w:rsid w:val="559A7E8E"/>
    <w:rsid w:val="559C6ACB"/>
    <w:rsid w:val="55A235B0"/>
    <w:rsid w:val="55A73C6F"/>
    <w:rsid w:val="55AD4DF3"/>
    <w:rsid w:val="55B41A29"/>
    <w:rsid w:val="55B43E18"/>
    <w:rsid w:val="55B545D0"/>
    <w:rsid w:val="55B623DE"/>
    <w:rsid w:val="55BC1D0E"/>
    <w:rsid w:val="55BD6E51"/>
    <w:rsid w:val="55C05E96"/>
    <w:rsid w:val="55CB1D74"/>
    <w:rsid w:val="55D9001F"/>
    <w:rsid w:val="55E71FE9"/>
    <w:rsid w:val="55E82583"/>
    <w:rsid w:val="55ED6A75"/>
    <w:rsid w:val="55F26E4F"/>
    <w:rsid w:val="55F400C3"/>
    <w:rsid w:val="55F8610E"/>
    <w:rsid w:val="55F94966"/>
    <w:rsid w:val="56001010"/>
    <w:rsid w:val="560273AF"/>
    <w:rsid w:val="560718F8"/>
    <w:rsid w:val="56102E2B"/>
    <w:rsid w:val="56144389"/>
    <w:rsid w:val="56197B80"/>
    <w:rsid w:val="561C1FA3"/>
    <w:rsid w:val="56222FBB"/>
    <w:rsid w:val="562A4581"/>
    <w:rsid w:val="562C0F30"/>
    <w:rsid w:val="56334712"/>
    <w:rsid w:val="56334D1A"/>
    <w:rsid w:val="56374994"/>
    <w:rsid w:val="563B4D5F"/>
    <w:rsid w:val="56414861"/>
    <w:rsid w:val="56477D77"/>
    <w:rsid w:val="565039C1"/>
    <w:rsid w:val="56541751"/>
    <w:rsid w:val="56553338"/>
    <w:rsid w:val="565A6F06"/>
    <w:rsid w:val="565B6DE0"/>
    <w:rsid w:val="565F5D3B"/>
    <w:rsid w:val="56617610"/>
    <w:rsid w:val="56622DB3"/>
    <w:rsid w:val="566F229C"/>
    <w:rsid w:val="56716FCA"/>
    <w:rsid w:val="56771604"/>
    <w:rsid w:val="56785295"/>
    <w:rsid w:val="567C3B49"/>
    <w:rsid w:val="567F5E9C"/>
    <w:rsid w:val="56863687"/>
    <w:rsid w:val="568928F7"/>
    <w:rsid w:val="568E2D7E"/>
    <w:rsid w:val="569B6F37"/>
    <w:rsid w:val="56A23EB8"/>
    <w:rsid w:val="56A57771"/>
    <w:rsid w:val="56A703F1"/>
    <w:rsid w:val="56B6337E"/>
    <w:rsid w:val="56C14717"/>
    <w:rsid w:val="56C36FB4"/>
    <w:rsid w:val="56C56027"/>
    <w:rsid w:val="56C64514"/>
    <w:rsid w:val="56C7557F"/>
    <w:rsid w:val="56C8719D"/>
    <w:rsid w:val="56C871E1"/>
    <w:rsid w:val="56C92FF2"/>
    <w:rsid w:val="56CB5372"/>
    <w:rsid w:val="56CF1117"/>
    <w:rsid w:val="56D15B11"/>
    <w:rsid w:val="56D64252"/>
    <w:rsid w:val="56DD6598"/>
    <w:rsid w:val="56E11368"/>
    <w:rsid w:val="56F8012C"/>
    <w:rsid w:val="56F941E2"/>
    <w:rsid w:val="57030457"/>
    <w:rsid w:val="570E1AAD"/>
    <w:rsid w:val="57163F13"/>
    <w:rsid w:val="57251418"/>
    <w:rsid w:val="572D1BC8"/>
    <w:rsid w:val="57320425"/>
    <w:rsid w:val="57332E5E"/>
    <w:rsid w:val="57345DD0"/>
    <w:rsid w:val="57387F75"/>
    <w:rsid w:val="57430D65"/>
    <w:rsid w:val="5746634C"/>
    <w:rsid w:val="575463A3"/>
    <w:rsid w:val="57550C32"/>
    <w:rsid w:val="575A0577"/>
    <w:rsid w:val="576500F2"/>
    <w:rsid w:val="577508CE"/>
    <w:rsid w:val="578A2603"/>
    <w:rsid w:val="578B2344"/>
    <w:rsid w:val="578D5815"/>
    <w:rsid w:val="578D72EF"/>
    <w:rsid w:val="57945E0C"/>
    <w:rsid w:val="5796471B"/>
    <w:rsid w:val="579A2471"/>
    <w:rsid w:val="579B44A4"/>
    <w:rsid w:val="57A14E8C"/>
    <w:rsid w:val="57A743DA"/>
    <w:rsid w:val="57A8088F"/>
    <w:rsid w:val="57AF385A"/>
    <w:rsid w:val="57AF7E50"/>
    <w:rsid w:val="57C11F7C"/>
    <w:rsid w:val="57C84362"/>
    <w:rsid w:val="57C922DF"/>
    <w:rsid w:val="57CD3A14"/>
    <w:rsid w:val="57CE0942"/>
    <w:rsid w:val="57D50006"/>
    <w:rsid w:val="57D82A89"/>
    <w:rsid w:val="57E46731"/>
    <w:rsid w:val="57E52DF7"/>
    <w:rsid w:val="57E70550"/>
    <w:rsid w:val="57E84851"/>
    <w:rsid w:val="57F366A7"/>
    <w:rsid w:val="58046BB1"/>
    <w:rsid w:val="58075875"/>
    <w:rsid w:val="58092E7D"/>
    <w:rsid w:val="580B0590"/>
    <w:rsid w:val="580E077E"/>
    <w:rsid w:val="58145994"/>
    <w:rsid w:val="58231981"/>
    <w:rsid w:val="58303ED8"/>
    <w:rsid w:val="58330623"/>
    <w:rsid w:val="58331ABE"/>
    <w:rsid w:val="58346F8C"/>
    <w:rsid w:val="583D7750"/>
    <w:rsid w:val="584176B7"/>
    <w:rsid w:val="584C2617"/>
    <w:rsid w:val="584D796D"/>
    <w:rsid w:val="584E413C"/>
    <w:rsid w:val="58503286"/>
    <w:rsid w:val="58503494"/>
    <w:rsid w:val="58594EAD"/>
    <w:rsid w:val="586B0E11"/>
    <w:rsid w:val="586D42D4"/>
    <w:rsid w:val="58704530"/>
    <w:rsid w:val="58715233"/>
    <w:rsid w:val="5873375B"/>
    <w:rsid w:val="58745FD9"/>
    <w:rsid w:val="5878230E"/>
    <w:rsid w:val="58801AB8"/>
    <w:rsid w:val="58805DEA"/>
    <w:rsid w:val="589539E0"/>
    <w:rsid w:val="5895790C"/>
    <w:rsid w:val="58997706"/>
    <w:rsid w:val="589A1792"/>
    <w:rsid w:val="589D6739"/>
    <w:rsid w:val="58A81743"/>
    <w:rsid w:val="58AB5CE1"/>
    <w:rsid w:val="58AC11EE"/>
    <w:rsid w:val="58AC3571"/>
    <w:rsid w:val="58AE74FF"/>
    <w:rsid w:val="58BA38E5"/>
    <w:rsid w:val="58BB5A85"/>
    <w:rsid w:val="58C42AD0"/>
    <w:rsid w:val="58C52EF9"/>
    <w:rsid w:val="58C8503B"/>
    <w:rsid w:val="58CC3C95"/>
    <w:rsid w:val="58D75519"/>
    <w:rsid w:val="58DB2EE0"/>
    <w:rsid w:val="58DE3F87"/>
    <w:rsid w:val="58DE69A2"/>
    <w:rsid w:val="58E023E2"/>
    <w:rsid w:val="58E208CF"/>
    <w:rsid w:val="58E62661"/>
    <w:rsid w:val="58EB3373"/>
    <w:rsid w:val="58F23B8C"/>
    <w:rsid w:val="58F24F3D"/>
    <w:rsid w:val="59053258"/>
    <w:rsid w:val="59065BAA"/>
    <w:rsid w:val="59074952"/>
    <w:rsid w:val="591714A6"/>
    <w:rsid w:val="59222C2E"/>
    <w:rsid w:val="592C3329"/>
    <w:rsid w:val="5932090B"/>
    <w:rsid w:val="59327CF7"/>
    <w:rsid w:val="593F7A23"/>
    <w:rsid w:val="594666C4"/>
    <w:rsid w:val="59475BB2"/>
    <w:rsid w:val="595548DE"/>
    <w:rsid w:val="5960606E"/>
    <w:rsid w:val="5969782B"/>
    <w:rsid w:val="596E42C2"/>
    <w:rsid w:val="59720647"/>
    <w:rsid w:val="59747DE8"/>
    <w:rsid w:val="59750E4E"/>
    <w:rsid w:val="59761B53"/>
    <w:rsid w:val="59762BEA"/>
    <w:rsid w:val="597F4321"/>
    <w:rsid w:val="5984507F"/>
    <w:rsid w:val="598A730D"/>
    <w:rsid w:val="598C64F2"/>
    <w:rsid w:val="598F1921"/>
    <w:rsid w:val="59902FB5"/>
    <w:rsid w:val="59975CDB"/>
    <w:rsid w:val="599E3A65"/>
    <w:rsid w:val="599F2CF0"/>
    <w:rsid w:val="599F46E4"/>
    <w:rsid w:val="59A93BBD"/>
    <w:rsid w:val="59B3617C"/>
    <w:rsid w:val="59B64DC9"/>
    <w:rsid w:val="59BA5469"/>
    <w:rsid w:val="59C30A67"/>
    <w:rsid w:val="59C34444"/>
    <w:rsid w:val="59C9612E"/>
    <w:rsid w:val="59CA6ADA"/>
    <w:rsid w:val="59CC2166"/>
    <w:rsid w:val="59D75CC8"/>
    <w:rsid w:val="59D9425A"/>
    <w:rsid w:val="59F54EEA"/>
    <w:rsid w:val="59F56CA4"/>
    <w:rsid w:val="59FC728E"/>
    <w:rsid w:val="5A003638"/>
    <w:rsid w:val="5A02224F"/>
    <w:rsid w:val="5A0D64B4"/>
    <w:rsid w:val="5A0E50D1"/>
    <w:rsid w:val="5A185707"/>
    <w:rsid w:val="5A3649A4"/>
    <w:rsid w:val="5A390554"/>
    <w:rsid w:val="5A3A3256"/>
    <w:rsid w:val="5A3A3E66"/>
    <w:rsid w:val="5A3F01DC"/>
    <w:rsid w:val="5A411B51"/>
    <w:rsid w:val="5A4B2280"/>
    <w:rsid w:val="5A4D3261"/>
    <w:rsid w:val="5A4E5937"/>
    <w:rsid w:val="5A512031"/>
    <w:rsid w:val="5A5B3A6C"/>
    <w:rsid w:val="5A5E3CBB"/>
    <w:rsid w:val="5A610FAD"/>
    <w:rsid w:val="5A671923"/>
    <w:rsid w:val="5A6975D1"/>
    <w:rsid w:val="5A713C31"/>
    <w:rsid w:val="5A743A34"/>
    <w:rsid w:val="5A756B04"/>
    <w:rsid w:val="5A770634"/>
    <w:rsid w:val="5A7D5271"/>
    <w:rsid w:val="5A8313A0"/>
    <w:rsid w:val="5A8378C2"/>
    <w:rsid w:val="5A8A69C1"/>
    <w:rsid w:val="5A8B0DAA"/>
    <w:rsid w:val="5A8D52EE"/>
    <w:rsid w:val="5A910050"/>
    <w:rsid w:val="5A91393A"/>
    <w:rsid w:val="5A960931"/>
    <w:rsid w:val="5A970EB8"/>
    <w:rsid w:val="5A9972CB"/>
    <w:rsid w:val="5A9D5D6E"/>
    <w:rsid w:val="5A9F349C"/>
    <w:rsid w:val="5AA303D8"/>
    <w:rsid w:val="5AA83358"/>
    <w:rsid w:val="5AA8641B"/>
    <w:rsid w:val="5AAE0124"/>
    <w:rsid w:val="5AAF6363"/>
    <w:rsid w:val="5AB0006C"/>
    <w:rsid w:val="5AB74720"/>
    <w:rsid w:val="5AB74FD6"/>
    <w:rsid w:val="5AB97227"/>
    <w:rsid w:val="5ABE334F"/>
    <w:rsid w:val="5AC056BD"/>
    <w:rsid w:val="5ACA482B"/>
    <w:rsid w:val="5ACB0A52"/>
    <w:rsid w:val="5ACF0683"/>
    <w:rsid w:val="5AD11018"/>
    <w:rsid w:val="5AD45622"/>
    <w:rsid w:val="5AD67B32"/>
    <w:rsid w:val="5ADE62B2"/>
    <w:rsid w:val="5AE13857"/>
    <w:rsid w:val="5AE45E81"/>
    <w:rsid w:val="5AE5438A"/>
    <w:rsid w:val="5AE62FC7"/>
    <w:rsid w:val="5AE740CE"/>
    <w:rsid w:val="5AEB2794"/>
    <w:rsid w:val="5AEB2BB4"/>
    <w:rsid w:val="5AEC2250"/>
    <w:rsid w:val="5AF6693E"/>
    <w:rsid w:val="5AF87091"/>
    <w:rsid w:val="5AFA1219"/>
    <w:rsid w:val="5AFA6CCB"/>
    <w:rsid w:val="5AFC5741"/>
    <w:rsid w:val="5AFD4D8C"/>
    <w:rsid w:val="5AFF3058"/>
    <w:rsid w:val="5AFF7E14"/>
    <w:rsid w:val="5B046A24"/>
    <w:rsid w:val="5B047BA8"/>
    <w:rsid w:val="5B062CB1"/>
    <w:rsid w:val="5B097DE0"/>
    <w:rsid w:val="5B0B656C"/>
    <w:rsid w:val="5B1B3AFF"/>
    <w:rsid w:val="5B1E00A7"/>
    <w:rsid w:val="5B221791"/>
    <w:rsid w:val="5B260C2E"/>
    <w:rsid w:val="5B266919"/>
    <w:rsid w:val="5B2852C2"/>
    <w:rsid w:val="5B2E74C8"/>
    <w:rsid w:val="5B3350AE"/>
    <w:rsid w:val="5B3D2C8A"/>
    <w:rsid w:val="5B40692A"/>
    <w:rsid w:val="5B411808"/>
    <w:rsid w:val="5B423528"/>
    <w:rsid w:val="5B4C3C1B"/>
    <w:rsid w:val="5B4E1632"/>
    <w:rsid w:val="5B587CA6"/>
    <w:rsid w:val="5B64400B"/>
    <w:rsid w:val="5B6D5E5C"/>
    <w:rsid w:val="5B6E4C1D"/>
    <w:rsid w:val="5B752CC3"/>
    <w:rsid w:val="5B753C64"/>
    <w:rsid w:val="5B762F88"/>
    <w:rsid w:val="5B771F8A"/>
    <w:rsid w:val="5B7A0ADD"/>
    <w:rsid w:val="5B862F1D"/>
    <w:rsid w:val="5B8E0544"/>
    <w:rsid w:val="5B914448"/>
    <w:rsid w:val="5BA14F76"/>
    <w:rsid w:val="5BA30452"/>
    <w:rsid w:val="5BB004CE"/>
    <w:rsid w:val="5BB14C52"/>
    <w:rsid w:val="5BB80F78"/>
    <w:rsid w:val="5BBB2601"/>
    <w:rsid w:val="5BBC0D13"/>
    <w:rsid w:val="5BBD25EA"/>
    <w:rsid w:val="5BCA1742"/>
    <w:rsid w:val="5BCA35FC"/>
    <w:rsid w:val="5BDD3A1D"/>
    <w:rsid w:val="5BDE107D"/>
    <w:rsid w:val="5BE61ACD"/>
    <w:rsid w:val="5BE726FA"/>
    <w:rsid w:val="5BFB4D90"/>
    <w:rsid w:val="5C004071"/>
    <w:rsid w:val="5C0841DE"/>
    <w:rsid w:val="5C092BAC"/>
    <w:rsid w:val="5C0C5267"/>
    <w:rsid w:val="5C0C5B50"/>
    <w:rsid w:val="5C1438D7"/>
    <w:rsid w:val="5C1A09E1"/>
    <w:rsid w:val="5C1A2F95"/>
    <w:rsid w:val="5C2203B0"/>
    <w:rsid w:val="5C26006B"/>
    <w:rsid w:val="5C2A4B1E"/>
    <w:rsid w:val="5C2B0BB0"/>
    <w:rsid w:val="5C344927"/>
    <w:rsid w:val="5C35179C"/>
    <w:rsid w:val="5C363650"/>
    <w:rsid w:val="5C3B53F0"/>
    <w:rsid w:val="5C3C083F"/>
    <w:rsid w:val="5C3E1260"/>
    <w:rsid w:val="5C5F1538"/>
    <w:rsid w:val="5C617355"/>
    <w:rsid w:val="5C780F29"/>
    <w:rsid w:val="5C79574C"/>
    <w:rsid w:val="5C7D0B22"/>
    <w:rsid w:val="5C8704C2"/>
    <w:rsid w:val="5C873176"/>
    <w:rsid w:val="5C9C020D"/>
    <w:rsid w:val="5C9C1B83"/>
    <w:rsid w:val="5CA10094"/>
    <w:rsid w:val="5CA3751A"/>
    <w:rsid w:val="5CAD0CEB"/>
    <w:rsid w:val="5CAD3FD8"/>
    <w:rsid w:val="5CB25542"/>
    <w:rsid w:val="5CB320DC"/>
    <w:rsid w:val="5CBB7FBD"/>
    <w:rsid w:val="5CC36B29"/>
    <w:rsid w:val="5CC50165"/>
    <w:rsid w:val="5CC60498"/>
    <w:rsid w:val="5CD121F1"/>
    <w:rsid w:val="5CD45212"/>
    <w:rsid w:val="5CDB0C72"/>
    <w:rsid w:val="5CDD0560"/>
    <w:rsid w:val="5CDF2F7B"/>
    <w:rsid w:val="5CE2672D"/>
    <w:rsid w:val="5CED4DFC"/>
    <w:rsid w:val="5CEF152B"/>
    <w:rsid w:val="5CF56593"/>
    <w:rsid w:val="5CF86626"/>
    <w:rsid w:val="5CFB088B"/>
    <w:rsid w:val="5CFD3543"/>
    <w:rsid w:val="5CFD79A3"/>
    <w:rsid w:val="5CFF2B0F"/>
    <w:rsid w:val="5D000D10"/>
    <w:rsid w:val="5D020670"/>
    <w:rsid w:val="5D051878"/>
    <w:rsid w:val="5D0F40F9"/>
    <w:rsid w:val="5D14134D"/>
    <w:rsid w:val="5D1645F1"/>
    <w:rsid w:val="5D177CED"/>
    <w:rsid w:val="5D18201D"/>
    <w:rsid w:val="5D1F2CA3"/>
    <w:rsid w:val="5D243B18"/>
    <w:rsid w:val="5D273A2B"/>
    <w:rsid w:val="5D280F18"/>
    <w:rsid w:val="5D2A428D"/>
    <w:rsid w:val="5D2E268E"/>
    <w:rsid w:val="5D31787D"/>
    <w:rsid w:val="5D376850"/>
    <w:rsid w:val="5D3F0F28"/>
    <w:rsid w:val="5D444E1F"/>
    <w:rsid w:val="5D4472F4"/>
    <w:rsid w:val="5D473FCE"/>
    <w:rsid w:val="5D4C18F2"/>
    <w:rsid w:val="5D543940"/>
    <w:rsid w:val="5D5D152B"/>
    <w:rsid w:val="5D627AF2"/>
    <w:rsid w:val="5D661999"/>
    <w:rsid w:val="5D68532C"/>
    <w:rsid w:val="5D6C3A06"/>
    <w:rsid w:val="5D6C4DC6"/>
    <w:rsid w:val="5D7316C3"/>
    <w:rsid w:val="5D744ED9"/>
    <w:rsid w:val="5D7A7965"/>
    <w:rsid w:val="5D8009F8"/>
    <w:rsid w:val="5D862601"/>
    <w:rsid w:val="5D86342B"/>
    <w:rsid w:val="5D8857F7"/>
    <w:rsid w:val="5D916C31"/>
    <w:rsid w:val="5D923D01"/>
    <w:rsid w:val="5D9471B5"/>
    <w:rsid w:val="5D9B2907"/>
    <w:rsid w:val="5D9C6656"/>
    <w:rsid w:val="5DA35A77"/>
    <w:rsid w:val="5DA956C2"/>
    <w:rsid w:val="5DAB12FC"/>
    <w:rsid w:val="5DB049DD"/>
    <w:rsid w:val="5DB11DCD"/>
    <w:rsid w:val="5DB46DF4"/>
    <w:rsid w:val="5DB7003A"/>
    <w:rsid w:val="5DBA2435"/>
    <w:rsid w:val="5DC15AE8"/>
    <w:rsid w:val="5DC84A54"/>
    <w:rsid w:val="5DCC4538"/>
    <w:rsid w:val="5DCD3DA9"/>
    <w:rsid w:val="5DCF085D"/>
    <w:rsid w:val="5DD3043F"/>
    <w:rsid w:val="5DD410D5"/>
    <w:rsid w:val="5DD673A8"/>
    <w:rsid w:val="5DD852A3"/>
    <w:rsid w:val="5DDB7FF7"/>
    <w:rsid w:val="5DDC28F0"/>
    <w:rsid w:val="5DDC6157"/>
    <w:rsid w:val="5DDC61E5"/>
    <w:rsid w:val="5DDC778B"/>
    <w:rsid w:val="5DDF0798"/>
    <w:rsid w:val="5DDF7EDA"/>
    <w:rsid w:val="5DE210A8"/>
    <w:rsid w:val="5DE772C7"/>
    <w:rsid w:val="5DEA4ACA"/>
    <w:rsid w:val="5DEE60B4"/>
    <w:rsid w:val="5DF07F14"/>
    <w:rsid w:val="5DF5297C"/>
    <w:rsid w:val="5DF75879"/>
    <w:rsid w:val="5DFA5AB6"/>
    <w:rsid w:val="5DFF6B6A"/>
    <w:rsid w:val="5E0130AD"/>
    <w:rsid w:val="5E047E85"/>
    <w:rsid w:val="5E074A62"/>
    <w:rsid w:val="5E09608D"/>
    <w:rsid w:val="5E0C6B14"/>
    <w:rsid w:val="5E102B26"/>
    <w:rsid w:val="5E220317"/>
    <w:rsid w:val="5E24597A"/>
    <w:rsid w:val="5E2B4323"/>
    <w:rsid w:val="5E325B81"/>
    <w:rsid w:val="5E36075D"/>
    <w:rsid w:val="5E394590"/>
    <w:rsid w:val="5E397A0A"/>
    <w:rsid w:val="5E44407F"/>
    <w:rsid w:val="5E58054E"/>
    <w:rsid w:val="5E5845F3"/>
    <w:rsid w:val="5E595A96"/>
    <w:rsid w:val="5E5A3223"/>
    <w:rsid w:val="5E5B0146"/>
    <w:rsid w:val="5E67188A"/>
    <w:rsid w:val="5E683A98"/>
    <w:rsid w:val="5E694EA1"/>
    <w:rsid w:val="5E6A1E47"/>
    <w:rsid w:val="5E703D05"/>
    <w:rsid w:val="5E7158F3"/>
    <w:rsid w:val="5E7303BC"/>
    <w:rsid w:val="5E7A41FC"/>
    <w:rsid w:val="5E7D037A"/>
    <w:rsid w:val="5E8136D2"/>
    <w:rsid w:val="5E84112C"/>
    <w:rsid w:val="5E845DFE"/>
    <w:rsid w:val="5E8D7E94"/>
    <w:rsid w:val="5E8F2F78"/>
    <w:rsid w:val="5E910665"/>
    <w:rsid w:val="5E9E4607"/>
    <w:rsid w:val="5EA14CC2"/>
    <w:rsid w:val="5EA518E3"/>
    <w:rsid w:val="5EA83318"/>
    <w:rsid w:val="5EA95279"/>
    <w:rsid w:val="5EAB597B"/>
    <w:rsid w:val="5EAC4B3B"/>
    <w:rsid w:val="5EB32830"/>
    <w:rsid w:val="5EB40104"/>
    <w:rsid w:val="5EC65687"/>
    <w:rsid w:val="5ECA4F06"/>
    <w:rsid w:val="5ECD7FB2"/>
    <w:rsid w:val="5ECF1BC8"/>
    <w:rsid w:val="5ECF72E0"/>
    <w:rsid w:val="5ED84272"/>
    <w:rsid w:val="5EDE2580"/>
    <w:rsid w:val="5EEB3902"/>
    <w:rsid w:val="5EEB3A83"/>
    <w:rsid w:val="5EF50FCF"/>
    <w:rsid w:val="5F152A67"/>
    <w:rsid w:val="5F152FBD"/>
    <w:rsid w:val="5F1B3F0F"/>
    <w:rsid w:val="5F1C398A"/>
    <w:rsid w:val="5F1D2799"/>
    <w:rsid w:val="5F2405D2"/>
    <w:rsid w:val="5F24418D"/>
    <w:rsid w:val="5F2444E2"/>
    <w:rsid w:val="5F244A2F"/>
    <w:rsid w:val="5F245505"/>
    <w:rsid w:val="5F2C38C8"/>
    <w:rsid w:val="5F2D3E2E"/>
    <w:rsid w:val="5F334C10"/>
    <w:rsid w:val="5F393B4A"/>
    <w:rsid w:val="5F4144A4"/>
    <w:rsid w:val="5F5C4C5B"/>
    <w:rsid w:val="5F61299B"/>
    <w:rsid w:val="5F642AD0"/>
    <w:rsid w:val="5F6610C0"/>
    <w:rsid w:val="5F6B62AD"/>
    <w:rsid w:val="5F6C786A"/>
    <w:rsid w:val="5F7174B0"/>
    <w:rsid w:val="5F744D31"/>
    <w:rsid w:val="5F781CD5"/>
    <w:rsid w:val="5F792F8C"/>
    <w:rsid w:val="5F7E7400"/>
    <w:rsid w:val="5F814916"/>
    <w:rsid w:val="5F8A4038"/>
    <w:rsid w:val="5F8E1EE2"/>
    <w:rsid w:val="5F931F6E"/>
    <w:rsid w:val="5F95586C"/>
    <w:rsid w:val="5F9F2FBD"/>
    <w:rsid w:val="5FA26223"/>
    <w:rsid w:val="5FA610BD"/>
    <w:rsid w:val="5FA871C6"/>
    <w:rsid w:val="5FB078A5"/>
    <w:rsid w:val="5FB118A0"/>
    <w:rsid w:val="5FBD532E"/>
    <w:rsid w:val="5FC02C55"/>
    <w:rsid w:val="5FC04B5B"/>
    <w:rsid w:val="5FC37B2E"/>
    <w:rsid w:val="5FD069F2"/>
    <w:rsid w:val="5FD659C4"/>
    <w:rsid w:val="5FD81BCA"/>
    <w:rsid w:val="5FDA15C3"/>
    <w:rsid w:val="5FDD0A8A"/>
    <w:rsid w:val="5FDE62F8"/>
    <w:rsid w:val="5FDF642E"/>
    <w:rsid w:val="5FE13ABB"/>
    <w:rsid w:val="5FE41DAB"/>
    <w:rsid w:val="5FE47E9A"/>
    <w:rsid w:val="5FE72C16"/>
    <w:rsid w:val="5FEA09A1"/>
    <w:rsid w:val="5FF17C28"/>
    <w:rsid w:val="5FF2655B"/>
    <w:rsid w:val="5FF43D83"/>
    <w:rsid w:val="5FF72B09"/>
    <w:rsid w:val="5FF861D5"/>
    <w:rsid w:val="5FF97679"/>
    <w:rsid w:val="5FFA4D2F"/>
    <w:rsid w:val="5FFC6A89"/>
    <w:rsid w:val="5FFE0CBF"/>
    <w:rsid w:val="60051940"/>
    <w:rsid w:val="601510DD"/>
    <w:rsid w:val="6015635B"/>
    <w:rsid w:val="601709E6"/>
    <w:rsid w:val="601B3E50"/>
    <w:rsid w:val="60234871"/>
    <w:rsid w:val="6025347F"/>
    <w:rsid w:val="603408BA"/>
    <w:rsid w:val="60362A1B"/>
    <w:rsid w:val="60384D65"/>
    <w:rsid w:val="604B4ED6"/>
    <w:rsid w:val="605405BB"/>
    <w:rsid w:val="60665466"/>
    <w:rsid w:val="6066553B"/>
    <w:rsid w:val="606C1426"/>
    <w:rsid w:val="6071002F"/>
    <w:rsid w:val="60787D16"/>
    <w:rsid w:val="60795595"/>
    <w:rsid w:val="607E78AF"/>
    <w:rsid w:val="60832F11"/>
    <w:rsid w:val="60851D64"/>
    <w:rsid w:val="608B223A"/>
    <w:rsid w:val="608D29B4"/>
    <w:rsid w:val="608E3148"/>
    <w:rsid w:val="60905385"/>
    <w:rsid w:val="609979C5"/>
    <w:rsid w:val="609A3679"/>
    <w:rsid w:val="609B2EE1"/>
    <w:rsid w:val="60A11310"/>
    <w:rsid w:val="60A37D7A"/>
    <w:rsid w:val="60A52855"/>
    <w:rsid w:val="60AB4DCC"/>
    <w:rsid w:val="60AC5DA5"/>
    <w:rsid w:val="60B347A7"/>
    <w:rsid w:val="60B46D4E"/>
    <w:rsid w:val="60B5121B"/>
    <w:rsid w:val="60B54E28"/>
    <w:rsid w:val="60B66A62"/>
    <w:rsid w:val="60BD6E88"/>
    <w:rsid w:val="60BF6BDF"/>
    <w:rsid w:val="60C31102"/>
    <w:rsid w:val="60C54626"/>
    <w:rsid w:val="60CE5086"/>
    <w:rsid w:val="60D030FE"/>
    <w:rsid w:val="60DD4226"/>
    <w:rsid w:val="60E477B9"/>
    <w:rsid w:val="60E620E5"/>
    <w:rsid w:val="60E81555"/>
    <w:rsid w:val="60E97D1C"/>
    <w:rsid w:val="60F20EEE"/>
    <w:rsid w:val="60F527B4"/>
    <w:rsid w:val="610430E9"/>
    <w:rsid w:val="610720AC"/>
    <w:rsid w:val="61090383"/>
    <w:rsid w:val="610D7DCF"/>
    <w:rsid w:val="61263C54"/>
    <w:rsid w:val="6127104A"/>
    <w:rsid w:val="61284B52"/>
    <w:rsid w:val="612C3810"/>
    <w:rsid w:val="612C3CBD"/>
    <w:rsid w:val="612C73BF"/>
    <w:rsid w:val="61357C66"/>
    <w:rsid w:val="613740E7"/>
    <w:rsid w:val="613C5DB4"/>
    <w:rsid w:val="6143708B"/>
    <w:rsid w:val="61471AB2"/>
    <w:rsid w:val="6148570A"/>
    <w:rsid w:val="614A244D"/>
    <w:rsid w:val="614D0E94"/>
    <w:rsid w:val="614F4349"/>
    <w:rsid w:val="6151252B"/>
    <w:rsid w:val="6155368A"/>
    <w:rsid w:val="61591858"/>
    <w:rsid w:val="616139B5"/>
    <w:rsid w:val="616340E2"/>
    <w:rsid w:val="61644F33"/>
    <w:rsid w:val="616825CC"/>
    <w:rsid w:val="616D796F"/>
    <w:rsid w:val="617376AF"/>
    <w:rsid w:val="617D3130"/>
    <w:rsid w:val="61841D14"/>
    <w:rsid w:val="618F3F3C"/>
    <w:rsid w:val="61911645"/>
    <w:rsid w:val="6193143F"/>
    <w:rsid w:val="619324FE"/>
    <w:rsid w:val="61A3494B"/>
    <w:rsid w:val="61A77F78"/>
    <w:rsid w:val="61A86691"/>
    <w:rsid w:val="61AE2895"/>
    <w:rsid w:val="61B26DCF"/>
    <w:rsid w:val="61B33EB1"/>
    <w:rsid w:val="61B76864"/>
    <w:rsid w:val="61B817F5"/>
    <w:rsid w:val="61C930C4"/>
    <w:rsid w:val="61D417C5"/>
    <w:rsid w:val="61D45436"/>
    <w:rsid w:val="61D715A0"/>
    <w:rsid w:val="61E8443C"/>
    <w:rsid w:val="61EA0C13"/>
    <w:rsid w:val="61F519E5"/>
    <w:rsid w:val="6206540B"/>
    <w:rsid w:val="620B5B65"/>
    <w:rsid w:val="621F399A"/>
    <w:rsid w:val="622360AE"/>
    <w:rsid w:val="622749D4"/>
    <w:rsid w:val="622C098F"/>
    <w:rsid w:val="622D0583"/>
    <w:rsid w:val="622E7727"/>
    <w:rsid w:val="6232279E"/>
    <w:rsid w:val="623C7C77"/>
    <w:rsid w:val="623F1E66"/>
    <w:rsid w:val="623F644F"/>
    <w:rsid w:val="62494FD4"/>
    <w:rsid w:val="625625D9"/>
    <w:rsid w:val="62574435"/>
    <w:rsid w:val="62634E0B"/>
    <w:rsid w:val="626962B3"/>
    <w:rsid w:val="626A66E8"/>
    <w:rsid w:val="626F084A"/>
    <w:rsid w:val="62752150"/>
    <w:rsid w:val="628064A2"/>
    <w:rsid w:val="6289176D"/>
    <w:rsid w:val="628A2C06"/>
    <w:rsid w:val="628B7E12"/>
    <w:rsid w:val="62906A9C"/>
    <w:rsid w:val="62914F9E"/>
    <w:rsid w:val="62972A2A"/>
    <w:rsid w:val="62A23AF2"/>
    <w:rsid w:val="62AC49A7"/>
    <w:rsid w:val="62B02B92"/>
    <w:rsid w:val="62B673A6"/>
    <w:rsid w:val="62C14BBE"/>
    <w:rsid w:val="62CC3286"/>
    <w:rsid w:val="62D075CA"/>
    <w:rsid w:val="62D32FD6"/>
    <w:rsid w:val="62D85FB3"/>
    <w:rsid w:val="62E01E5D"/>
    <w:rsid w:val="62E31FA0"/>
    <w:rsid w:val="62E33B4C"/>
    <w:rsid w:val="62E40188"/>
    <w:rsid w:val="62E42E8A"/>
    <w:rsid w:val="62EB190C"/>
    <w:rsid w:val="62EB733F"/>
    <w:rsid w:val="62F24E7E"/>
    <w:rsid w:val="62F253B0"/>
    <w:rsid w:val="62F74FC9"/>
    <w:rsid w:val="62F91A94"/>
    <w:rsid w:val="62FA3132"/>
    <w:rsid w:val="62FC2FFE"/>
    <w:rsid w:val="630022F9"/>
    <w:rsid w:val="63023864"/>
    <w:rsid w:val="63023C31"/>
    <w:rsid w:val="63050EFA"/>
    <w:rsid w:val="630511AE"/>
    <w:rsid w:val="63056169"/>
    <w:rsid w:val="63156C63"/>
    <w:rsid w:val="631C0C7D"/>
    <w:rsid w:val="631C7C21"/>
    <w:rsid w:val="63206343"/>
    <w:rsid w:val="63246554"/>
    <w:rsid w:val="632A189F"/>
    <w:rsid w:val="632B73B6"/>
    <w:rsid w:val="63322515"/>
    <w:rsid w:val="63354264"/>
    <w:rsid w:val="6340567D"/>
    <w:rsid w:val="634339BD"/>
    <w:rsid w:val="6344538C"/>
    <w:rsid w:val="63451008"/>
    <w:rsid w:val="635350F0"/>
    <w:rsid w:val="6357170C"/>
    <w:rsid w:val="635E163C"/>
    <w:rsid w:val="63627991"/>
    <w:rsid w:val="636B03F6"/>
    <w:rsid w:val="63720D03"/>
    <w:rsid w:val="637470E0"/>
    <w:rsid w:val="6381611E"/>
    <w:rsid w:val="638165B3"/>
    <w:rsid w:val="6384254C"/>
    <w:rsid w:val="63856C8B"/>
    <w:rsid w:val="638900E3"/>
    <w:rsid w:val="6389592C"/>
    <w:rsid w:val="638F76AB"/>
    <w:rsid w:val="63910498"/>
    <w:rsid w:val="639E7CA9"/>
    <w:rsid w:val="63A53962"/>
    <w:rsid w:val="63A723FE"/>
    <w:rsid w:val="63A813F9"/>
    <w:rsid w:val="63AE00DC"/>
    <w:rsid w:val="63AE07BE"/>
    <w:rsid w:val="63B43E39"/>
    <w:rsid w:val="63B518DC"/>
    <w:rsid w:val="63B622E7"/>
    <w:rsid w:val="63B90AF7"/>
    <w:rsid w:val="63BE03E5"/>
    <w:rsid w:val="63C46338"/>
    <w:rsid w:val="63CB3BC2"/>
    <w:rsid w:val="63CD4D68"/>
    <w:rsid w:val="63D14A11"/>
    <w:rsid w:val="63D43DC4"/>
    <w:rsid w:val="63D662AE"/>
    <w:rsid w:val="63DC3F18"/>
    <w:rsid w:val="63E43986"/>
    <w:rsid w:val="63E45085"/>
    <w:rsid w:val="63E46CA5"/>
    <w:rsid w:val="63E91C5D"/>
    <w:rsid w:val="63EB37FA"/>
    <w:rsid w:val="63EC08AF"/>
    <w:rsid w:val="63EE3A5C"/>
    <w:rsid w:val="63FE141F"/>
    <w:rsid w:val="64000F13"/>
    <w:rsid w:val="64062BC4"/>
    <w:rsid w:val="640C4609"/>
    <w:rsid w:val="640C53D8"/>
    <w:rsid w:val="640D3307"/>
    <w:rsid w:val="641A26C5"/>
    <w:rsid w:val="641C540F"/>
    <w:rsid w:val="641E50B0"/>
    <w:rsid w:val="64226920"/>
    <w:rsid w:val="64240F24"/>
    <w:rsid w:val="642F5217"/>
    <w:rsid w:val="643C3749"/>
    <w:rsid w:val="64401F0D"/>
    <w:rsid w:val="64481E56"/>
    <w:rsid w:val="64485949"/>
    <w:rsid w:val="644C31C8"/>
    <w:rsid w:val="644D52AE"/>
    <w:rsid w:val="644E7016"/>
    <w:rsid w:val="64502E38"/>
    <w:rsid w:val="645559CA"/>
    <w:rsid w:val="64583E31"/>
    <w:rsid w:val="645D76BD"/>
    <w:rsid w:val="64691845"/>
    <w:rsid w:val="64837A13"/>
    <w:rsid w:val="648E5726"/>
    <w:rsid w:val="6492272C"/>
    <w:rsid w:val="64970545"/>
    <w:rsid w:val="64991209"/>
    <w:rsid w:val="649A0B93"/>
    <w:rsid w:val="649A7A9B"/>
    <w:rsid w:val="649C5F01"/>
    <w:rsid w:val="64A11FD8"/>
    <w:rsid w:val="64A350BE"/>
    <w:rsid w:val="64AA267B"/>
    <w:rsid w:val="64AA6EFB"/>
    <w:rsid w:val="64AD2BD8"/>
    <w:rsid w:val="64AE669A"/>
    <w:rsid w:val="64C930B7"/>
    <w:rsid w:val="64C94B41"/>
    <w:rsid w:val="64CD4FE3"/>
    <w:rsid w:val="64D30A21"/>
    <w:rsid w:val="64E10885"/>
    <w:rsid w:val="64E3209D"/>
    <w:rsid w:val="64E977F1"/>
    <w:rsid w:val="64F05086"/>
    <w:rsid w:val="64F06DE1"/>
    <w:rsid w:val="64F21B76"/>
    <w:rsid w:val="64F47AA9"/>
    <w:rsid w:val="64F5132D"/>
    <w:rsid w:val="64F72A1C"/>
    <w:rsid w:val="64F8424D"/>
    <w:rsid w:val="64FC5D19"/>
    <w:rsid w:val="650A3C22"/>
    <w:rsid w:val="651F2CAD"/>
    <w:rsid w:val="6521381D"/>
    <w:rsid w:val="65281ACB"/>
    <w:rsid w:val="65311528"/>
    <w:rsid w:val="653177B8"/>
    <w:rsid w:val="65324962"/>
    <w:rsid w:val="653A3193"/>
    <w:rsid w:val="654139DA"/>
    <w:rsid w:val="654545E4"/>
    <w:rsid w:val="6547070C"/>
    <w:rsid w:val="65484036"/>
    <w:rsid w:val="654D3D41"/>
    <w:rsid w:val="65560E09"/>
    <w:rsid w:val="655B6255"/>
    <w:rsid w:val="655F092B"/>
    <w:rsid w:val="65687DCB"/>
    <w:rsid w:val="656B4F27"/>
    <w:rsid w:val="657322CF"/>
    <w:rsid w:val="65764D6B"/>
    <w:rsid w:val="657D7823"/>
    <w:rsid w:val="657E72EE"/>
    <w:rsid w:val="657F5831"/>
    <w:rsid w:val="65830767"/>
    <w:rsid w:val="6584036A"/>
    <w:rsid w:val="658B5EFA"/>
    <w:rsid w:val="659857A6"/>
    <w:rsid w:val="65986978"/>
    <w:rsid w:val="659B4B7E"/>
    <w:rsid w:val="659C0702"/>
    <w:rsid w:val="659F5DAF"/>
    <w:rsid w:val="65A506E5"/>
    <w:rsid w:val="65AD74D4"/>
    <w:rsid w:val="65B473FF"/>
    <w:rsid w:val="65B93982"/>
    <w:rsid w:val="65C45B92"/>
    <w:rsid w:val="65D66172"/>
    <w:rsid w:val="65D66794"/>
    <w:rsid w:val="65DD18BD"/>
    <w:rsid w:val="65DE7D90"/>
    <w:rsid w:val="65E05EC9"/>
    <w:rsid w:val="65E4008E"/>
    <w:rsid w:val="65E40B35"/>
    <w:rsid w:val="65E441C2"/>
    <w:rsid w:val="65F0542E"/>
    <w:rsid w:val="65F22EDA"/>
    <w:rsid w:val="65FC7ACD"/>
    <w:rsid w:val="65FF45F4"/>
    <w:rsid w:val="65FF533D"/>
    <w:rsid w:val="6608558F"/>
    <w:rsid w:val="660F37B1"/>
    <w:rsid w:val="660F5361"/>
    <w:rsid w:val="66103DB8"/>
    <w:rsid w:val="66145A3D"/>
    <w:rsid w:val="661662EC"/>
    <w:rsid w:val="6617189E"/>
    <w:rsid w:val="661C3894"/>
    <w:rsid w:val="66264740"/>
    <w:rsid w:val="662A0142"/>
    <w:rsid w:val="66324F6E"/>
    <w:rsid w:val="6634154E"/>
    <w:rsid w:val="66375D55"/>
    <w:rsid w:val="663D1047"/>
    <w:rsid w:val="66424446"/>
    <w:rsid w:val="664718BE"/>
    <w:rsid w:val="66473E86"/>
    <w:rsid w:val="66485E47"/>
    <w:rsid w:val="664B4E42"/>
    <w:rsid w:val="664C4105"/>
    <w:rsid w:val="664F2620"/>
    <w:rsid w:val="66572095"/>
    <w:rsid w:val="665E161B"/>
    <w:rsid w:val="666534E3"/>
    <w:rsid w:val="66747007"/>
    <w:rsid w:val="6675756D"/>
    <w:rsid w:val="667E3A17"/>
    <w:rsid w:val="66801394"/>
    <w:rsid w:val="66831C66"/>
    <w:rsid w:val="66885330"/>
    <w:rsid w:val="668C1075"/>
    <w:rsid w:val="66907D07"/>
    <w:rsid w:val="66921E25"/>
    <w:rsid w:val="66961AD3"/>
    <w:rsid w:val="669A4C99"/>
    <w:rsid w:val="66A419BB"/>
    <w:rsid w:val="66A7021A"/>
    <w:rsid w:val="66A7636D"/>
    <w:rsid w:val="66A94E11"/>
    <w:rsid w:val="66AD79F1"/>
    <w:rsid w:val="66B23A53"/>
    <w:rsid w:val="66B37ABD"/>
    <w:rsid w:val="66BC0412"/>
    <w:rsid w:val="66BD4B5E"/>
    <w:rsid w:val="66C5005B"/>
    <w:rsid w:val="66CE2F81"/>
    <w:rsid w:val="66D20A70"/>
    <w:rsid w:val="66D86448"/>
    <w:rsid w:val="66E15783"/>
    <w:rsid w:val="66E80943"/>
    <w:rsid w:val="66E876E4"/>
    <w:rsid w:val="66E90545"/>
    <w:rsid w:val="66EB202E"/>
    <w:rsid w:val="66ED2B65"/>
    <w:rsid w:val="66F5490D"/>
    <w:rsid w:val="66F8033B"/>
    <w:rsid w:val="66FA4FCF"/>
    <w:rsid w:val="66FA7B21"/>
    <w:rsid w:val="66FC12D4"/>
    <w:rsid w:val="66FD02E9"/>
    <w:rsid w:val="67002FDD"/>
    <w:rsid w:val="67017E68"/>
    <w:rsid w:val="670C6E37"/>
    <w:rsid w:val="670D06C1"/>
    <w:rsid w:val="670E4C30"/>
    <w:rsid w:val="670F1AD5"/>
    <w:rsid w:val="67120B4B"/>
    <w:rsid w:val="67166850"/>
    <w:rsid w:val="671A0515"/>
    <w:rsid w:val="671B74E9"/>
    <w:rsid w:val="67204003"/>
    <w:rsid w:val="67231DFC"/>
    <w:rsid w:val="672505F2"/>
    <w:rsid w:val="672C38D9"/>
    <w:rsid w:val="672E0DAF"/>
    <w:rsid w:val="673662D8"/>
    <w:rsid w:val="6737689C"/>
    <w:rsid w:val="673C7F9E"/>
    <w:rsid w:val="673D1F8B"/>
    <w:rsid w:val="673E1C5C"/>
    <w:rsid w:val="673E1C96"/>
    <w:rsid w:val="673F2337"/>
    <w:rsid w:val="674B09D4"/>
    <w:rsid w:val="674C47E6"/>
    <w:rsid w:val="675B3121"/>
    <w:rsid w:val="6761379C"/>
    <w:rsid w:val="6762442B"/>
    <w:rsid w:val="676752C9"/>
    <w:rsid w:val="67675D05"/>
    <w:rsid w:val="676A52B0"/>
    <w:rsid w:val="676B6737"/>
    <w:rsid w:val="67730FFE"/>
    <w:rsid w:val="677332D5"/>
    <w:rsid w:val="67781D56"/>
    <w:rsid w:val="677E463A"/>
    <w:rsid w:val="6781231B"/>
    <w:rsid w:val="67847974"/>
    <w:rsid w:val="67910089"/>
    <w:rsid w:val="679B0A0E"/>
    <w:rsid w:val="67A1753D"/>
    <w:rsid w:val="67A62764"/>
    <w:rsid w:val="67A977A3"/>
    <w:rsid w:val="67AC3D50"/>
    <w:rsid w:val="67AD7145"/>
    <w:rsid w:val="67B436E1"/>
    <w:rsid w:val="67B52EF7"/>
    <w:rsid w:val="67B532D1"/>
    <w:rsid w:val="67B567AB"/>
    <w:rsid w:val="67C10DD5"/>
    <w:rsid w:val="67C83C2E"/>
    <w:rsid w:val="67D84E45"/>
    <w:rsid w:val="67DF26DF"/>
    <w:rsid w:val="67E252A3"/>
    <w:rsid w:val="67E53718"/>
    <w:rsid w:val="67F07F8D"/>
    <w:rsid w:val="67FB0ED8"/>
    <w:rsid w:val="67FC5F62"/>
    <w:rsid w:val="67FC6F7D"/>
    <w:rsid w:val="67FF6BDA"/>
    <w:rsid w:val="680A77C0"/>
    <w:rsid w:val="68123F05"/>
    <w:rsid w:val="68151659"/>
    <w:rsid w:val="681C5FE0"/>
    <w:rsid w:val="681E2AC5"/>
    <w:rsid w:val="68262630"/>
    <w:rsid w:val="6827490B"/>
    <w:rsid w:val="68276918"/>
    <w:rsid w:val="68276E84"/>
    <w:rsid w:val="68284576"/>
    <w:rsid w:val="683109D6"/>
    <w:rsid w:val="683436B9"/>
    <w:rsid w:val="684718A5"/>
    <w:rsid w:val="684A756E"/>
    <w:rsid w:val="684A7639"/>
    <w:rsid w:val="684E4C55"/>
    <w:rsid w:val="684F208E"/>
    <w:rsid w:val="68520570"/>
    <w:rsid w:val="68573F38"/>
    <w:rsid w:val="685A1EB4"/>
    <w:rsid w:val="685B68B9"/>
    <w:rsid w:val="6872083C"/>
    <w:rsid w:val="68742B54"/>
    <w:rsid w:val="687C2457"/>
    <w:rsid w:val="687D0F8E"/>
    <w:rsid w:val="68862CAE"/>
    <w:rsid w:val="68886D11"/>
    <w:rsid w:val="68887EB7"/>
    <w:rsid w:val="6896227F"/>
    <w:rsid w:val="689D67F3"/>
    <w:rsid w:val="68A13D5E"/>
    <w:rsid w:val="68AA2262"/>
    <w:rsid w:val="68B8487C"/>
    <w:rsid w:val="68BC4880"/>
    <w:rsid w:val="68C13C42"/>
    <w:rsid w:val="68C43FDA"/>
    <w:rsid w:val="68CA2813"/>
    <w:rsid w:val="68CE08ED"/>
    <w:rsid w:val="68CF3F9C"/>
    <w:rsid w:val="68DD79D8"/>
    <w:rsid w:val="68DE4BAD"/>
    <w:rsid w:val="68DF275B"/>
    <w:rsid w:val="68E45C41"/>
    <w:rsid w:val="68E768BD"/>
    <w:rsid w:val="68EB5598"/>
    <w:rsid w:val="68ED5F62"/>
    <w:rsid w:val="68EF546C"/>
    <w:rsid w:val="68F223BE"/>
    <w:rsid w:val="68FE37BC"/>
    <w:rsid w:val="68FE72A7"/>
    <w:rsid w:val="6905332E"/>
    <w:rsid w:val="69065CBA"/>
    <w:rsid w:val="69093306"/>
    <w:rsid w:val="69093AB2"/>
    <w:rsid w:val="690A21F4"/>
    <w:rsid w:val="690E5052"/>
    <w:rsid w:val="69113D23"/>
    <w:rsid w:val="691213C9"/>
    <w:rsid w:val="691248C8"/>
    <w:rsid w:val="69137F55"/>
    <w:rsid w:val="69174582"/>
    <w:rsid w:val="691A3AD0"/>
    <w:rsid w:val="692A421C"/>
    <w:rsid w:val="692D766C"/>
    <w:rsid w:val="69312D16"/>
    <w:rsid w:val="69322691"/>
    <w:rsid w:val="69357C04"/>
    <w:rsid w:val="69390652"/>
    <w:rsid w:val="693C6791"/>
    <w:rsid w:val="693D5A75"/>
    <w:rsid w:val="693F5F49"/>
    <w:rsid w:val="69420F9E"/>
    <w:rsid w:val="69454804"/>
    <w:rsid w:val="694B7377"/>
    <w:rsid w:val="694E7914"/>
    <w:rsid w:val="6957762A"/>
    <w:rsid w:val="695855E6"/>
    <w:rsid w:val="69586706"/>
    <w:rsid w:val="695F5D3D"/>
    <w:rsid w:val="69610D9C"/>
    <w:rsid w:val="69657C52"/>
    <w:rsid w:val="69677F48"/>
    <w:rsid w:val="69685992"/>
    <w:rsid w:val="696B2068"/>
    <w:rsid w:val="696B4842"/>
    <w:rsid w:val="696C0062"/>
    <w:rsid w:val="697A3294"/>
    <w:rsid w:val="697D45D8"/>
    <w:rsid w:val="6980776E"/>
    <w:rsid w:val="69831B2D"/>
    <w:rsid w:val="698575BB"/>
    <w:rsid w:val="698849A1"/>
    <w:rsid w:val="698A29D1"/>
    <w:rsid w:val="698E4288"/>
    <w:rsid w:val="699150B5"/>
    <w:rsid w:val="69973307"/>
    <w:rsid w:val="699E08F8"/>
    <w:rsid w:val="69A0321B"/>
    <w:rsid w:val="69B82104"/>
    <w:rsid w:val="69BA2341"/>
    <w:rsid w:val="69C5099B"/>
    <w:rsid w:val="69CC0272"/>
    <w:rsid w:val="69D85AAD"/>
    <w:rsid w:val="69DD75C1"/>
    <w:rsid w:val="69E42222"/>
    <w:rsid w:val="69E74F20"/>
    <w:rsid w:val="69E80AF2"/>
    <w:rsid w:val="69F51690"/>
    <w:rsid w:val="69F6612C"/>
    <w:rsid w:val="69FC6ACA"/>
    <w:rsid w:val="69FF712F"/>
    <w:rsid w:val="6A005FDB"/>
    <w:rsid w:val="6A022EC5"/>
    <w:rsid w:val="6A03660F"/>
    <w:rsid w:val="6A077B82"/>
    <w:rsid w:val="6A0C3658"/>
    <w:rsid w:val="6A1A49FB"/>
    <w:rsid w:val="6A223C15"/>
    <w:rsid w:val="6A263A80"/>
    <w:rsid w:val="6A2E0264"/>
    <w:rsid w:val="6A2E71B5"/>
    <w:rsid w:val="6A377C1D"/>
    <w:rsid w:val="6A3806A9"/>
    <w:rsid w:val="6A3A2F27"/>
    <w:rsid w:val="6A404ECB"/>
    <w:rsid w:val="6A445EF1"/>
    <w:rsid w:val="6A492607"/>
    <w:rsid w:val="6A495D62"/>
    <w:rsid w:val="6A4B7676"/>
    <w:rsid w:val="6A5653D2"/>
    <w:rsid w:val="6A5C3E57"/>
    <w:rsid w:val="6A64719A"/>
    <w:rsid w:val="6A6857F4"/>
    <w:rsid w:val="6A717851"/>
    <w:rsid w:val="6A76453E"/>
    <w:rsid w:val="6A877957"/>
    <w:rsid w:val="6A883534"/>
    <w:rsid w:val="6A8A68FC"/>
    <w:rsid w:val="6A8B4106"/>
    <w:rsid w:val="6A8E0790"/>
    <w:rsid w:val="6A8E2E1C"/>
    <w:rsid w:val="6A914321"/>
    <w:rsid w:val="6A917E63"/>
    <w:rsid w:val="6A963391"/>
    <w:rsid w:val="6A9673F7"/>
    <w:rsid w:val="6A997E22"/>
    <w:rsid w:val="6AA11D50"/>
    <w:rsid w:val="6AA2185F"/>
    <w:rsid w:val="6AA60E67"/>
    <w:rsid w:val="6AB105E2"/>
    <w:rsid w:val="6AB27202"/>
    <w:rsid w:val="6AB5422C"/>
    <w:rsid w:val="6ABA4033"/>
    <w:rsid w:val="6ABC55B7"/>
    <w:rsid w:val="6AC136C4"/>
    <w:rsid w:val="6ACF6BEA"/>
    <w:rsid w:val="6AD05097"/>
    <w:rsid w:val="6AD24D6D"/>
    <w:rsid w:val="6ADB07BD"/>
    <w:rsid w:val="6ADB3A6C"/>
    <w:rsid w:val="6ADB699C"/>
    <w:rsid w:val="6AE306D1"/>
    <w:rsid w:val="6AE3458F"/>
    <w:rsid w:val="6AEA4348"/>
    <w:rsid w:val="6AED0450"/>
    <w:rsid w:val="6AF93FE0"/>
    <w:rsid w:val="6B0E2E1F"/>
    <w:rsid w:val="6B0F04BE"/>
    <w:rsid w:val="6B123E19"/>
    <w:rsid w:val="6B1C1989"/>
    <w:rsid w:val="6B1C5245"/>
    <w:rsid w:val="6B1D34F1"/>
    <w:rsid w:val="6B1F0A58"/>
    <w:rsid w:val="6B207FE7"/>
    <w:rsid w:val="6B230481"/>
    <w:rsid w:val="6B301165"/>
    <w:rsid w:val="6B32710D"/>
    <w:rsid w:val="6B344913"/>
    <w:rsid w:val="6B372B08"/>
    <w:rsid w:val="6B386194"/>
    <w:rsid w:val="6B39433C"/>
    <w:rsid w:val="6B3F464D"/>
    <w:rsid w:val="6B423E0E"/>
    <w:rsid w:val="6B4534CE"/>
    <w:rsid w:val="6B4535A5"/>
    <w:rsid w:val="6B48588A"/>
    <w:rsid w:val="6B500E68"/>
    <w:rsid w:val="6B5A6273"/>
    <w:rsid w:val="6B5D22C8"/>
    <w:rsid w:val="6B5D3920"/>
    <w:rsid w:val="6B67700A"/>
    <w:rsid w:val="6B6A01E3"/>
    <w:rsid w:val="6B6A3EB6"/>
    <w:rsid w:val="6B6F2C72"/>
    <w:rsid w:val="6B712672"/>
    <w:rsid w:val="6B760264"/>
    <w:rsid w:val="6B7A6219"/>
    <w:rsid w:val="6B855B7A"/>
    <w:rsid w:val="6B8E27AD"/>
    <w:rsid w:val="6B8F0812"/>
    <w:rsid w:val="6B92495A"/>
    <w:rsid w:val="6B93663E"/>
    <w:rsid w:val="6B9A7C0D"/>
    <w:rsid w:val="6B9B66C8"/>
    <w:rsid w:val="6B9D44A0"/>
    <w:rsid w:val="6BA13921"/>
    <w:rsid w:val="6BA153FA"/>
    <w:rsid w:val="6BAA0013"/>
    <w:rsid w:val="6BB07F85"/>
    <w:rsid w:val="6BB32290"/>
    <w:rsid w:val="6BB420A0"/>
    <w:rsid w:val="6BB45337"/>
    <w:rsid w:val="6BBB2701"/>
    <w:rsid w:val="6BC10292"/>
    <w:rsid w:val="6BC47120"/>
    <w:rsid w:val="6BD21D7E"/>
    <w:rsid w:val="6BDA0DB9"/>
    <w:rsid w:val="6BDB1B7E"/>
    <w:rsid w:val="6BDB3A4D"/>
    <w:rsid w:val="6BE17862"/>
    <w:rsid w:val="6BE37042"/>
    <w:rsid w:val="6BE43B37"/>
    <w:rsid w:val="6BE9013E"/>
    <w:rsid w:val="6BEA0DF2"/>
    <w:rsid w:val="6BEA1691"/>
    <w:rsid w:val="6BFC1456"/>
    <w:rsid w:val="6BFC1579"/>
    <w:rsid w:val="6C0B434B"/>
    <w:rsid w:val="6C0B7AB8"/>
    <w:rsid w:val="6C106E2F"/>
    <w:rsid w:val="6C127DB2"/>
    <w:rsid w:val="6C161710"/>
    <w:rsid w:val="6C1910F3"/>
    <w:rsid w:val="6C1B0DEB"/>
    <w:rsid w:val="6C220D42"/>
    <w:rsid w:val="6C2217B1"/>
    <w:rsid w:val="6C224B75"/>
    <w:rsid w:val="6C257882"/>
    <w:rsid w:val="6C2A3689"/>
    <w:rsid w:val="6C2B4EFB"/>
    <w:rsid w:val="6C2D7D9B"/>
    <w:rsid w:val="6C306143"/>
    <w:rsid w:val="6C3141F9"/>
    <w:rsid w:val="6C372E6F"/>
    <w:rsid w:val="6C386A07"/>
    <w:rsid w:val="6C3F0D31"/>
    <w:rsid w:val="6C4466D4"/>
    <w:rsid w:val="6C460082"/>
    <w:rsid w:val="6C461CFC"/>
    <w:rsid w:val="6C4B46BA"/>
    <w:rsid w:val="6C5250BE"/>
    <w:rsid w:val="6C5702E4"/>
    <w:rsid w:val="6C59199A"/>
    <w:rsid w:val="6C5E60E5"/>
    <w:rsid w:val="6C634939"/>
    <w:rsid w:val="6C65079C"/>
    <w:rsid w:val="6C682A59"/>
    <w:rsid w:val="6C6C21BD"/>
    <w:rsid w:val="6C7533F5"/>
    <w:rsid w:val="6C7835AF"/>
    <w:rsid w:val="6C786F84"/>
    <w:rsid w:val="6C794014"/>
    <w:rsid w:val="6C7D07D2"/>
    <w:rsid w:val="6C8005F3"/>
    <w:rsid w:val="6C855042"/>
    <w:rsid w:val="6C88004A"/>
    <w:rsid w:val="6C960C18"/>
    <w:rsid w:val="6C967E4B"/>
    <w:rsid w:val="6C9C36CF"/>
    <w:rsid w:val="6CA01EEB"/>
    <w:rsid w:val="6CA10E19"/>
    <w:rsid w:val="6CA70ADA"/>
    <w:rsid w:val="6CAE20B2"/>
    <w:rsid w:val="6CB03547"/>
    <w:rsid w:val="6CBB2CA3"/>
    <w:rsid w:val="6CC065AE"/>
    <w:rsid w:val="6CC521EE"/>
    <w:rsid w:val="6CC90C70"/>
    <w:rsid w:val="6CCA4A1A"/>
    <w:rsid w:val="6CCE093A"/>
    <w:rsid w:val="6CDA32EE"/>
    <w:rsid w:val="6CDC281C"/>
    <w:rsid w:val="6CE44871"/>
    <w:rsid w:val="6CE6278D"/>
    <w:rsid w:val="6CEA5CBD"/>
    <w:rsid w:val="6CF0070A"/>
    <w:rsid w:val="6CFD3FFA"/>
    <w:rsid w:val="6D035BCA"/>
    <w:rsid w:val="6D075D1C"/>
    <w:rsid w:val="6D0D073E"/>
    <w:rsid w:val="6D0D4D9D"/>
    <w:rsid w:val="6D1160C4"/>
    <w:rsid w:val="6D1817A4"/>
    <w:rsid w:val="6D1818D9"/>
    <w:rsid w:val="6D19752F"/>
    <w:rsid w:val="6D1B38DE"/>
    <w:rsid w:val="6D337057"/>
    <w:rsid w:val="6D35515D"/>
    <w:rsid w:val="6D3A2396"/>
    <w:rsid w:val="6D3F5207"/>
    <w:rsid w:val="6D444AF4"/>
    <w:rsid w:val="6D4602C4"/>
    <w:rsid w:val="6D460822"/>
    <w:rsid w:val="6D4F0EE7"/>
    <w:rsid w:val="6D52591C"/>
    <w:rsid w:val="6D5B1A9D"/>
    <w:rsid w:val="6D613DD5"/>
    <w:rsid w:val="6D642148"/>
    <w:rsid w:val="6D64270E"/>
    <w:rsid w:val="6D663DBD"/>
    <w:rsid w:val="6D664EF3"/>
    <w:rsid w:val="6D6A1CBA"/>
    <w:rsid w:val="6D754C6B"/>
    <w:rsid w:val="6D7D2B29"/>
    <w:rsid w:val="6D8052E5"/>
    <w:rsid w:val="6D81505D"/>
    <w:rsid w:val="6D83621B"/>
    <w:rsid w:val="6D882000"/>
    <w:rsid w:val="6D9310C4"/>
    <w:rsid w:val="6DA22341"/>
    <w:rsid w:val="6DA971C0"/>
    <w:rsid w:val="6DC15000"/>
    <w:rsid w:val="6DC516A8"/>
    <w:rsid w:val="6DC8286F"/>
    <w:rsid w:val="6DC94B4A"/>
    <w:rsid w:val="6DD4604E"/>
    <w:rsid w:val="6DD8051C"/>
    <w:rsid w:val="6DDC3442"/>
    <w:rsid w:val="6DDD0078"/>
    <w:rsid w:val="6DDD392F"/>
    <w:rsid w:val="6DDE2E96"/>
    <w:rsid w:val="6DDE6D61"/>
    <w:rsid w:val="6DE12111"/>
    <w:rsid w:val="6DE415EE"/>
    <w:rsid w:val="6DE63748"/>
    <w:rsid w:val="6DE8575C"/>
    <w:rsid w:val="6DEA16B3"/>
    <w:rsid w:val="6DF56344"/>
    <w:rsid w:val="6DFE5607"/>
    <w:rsid w:val="6E085D0F"/>
    <w:rsid w:val="6E0A2146"/>
    <w:rsid w:val="6E0E73B4"/>
    <w:rsid w:val="6E157973"/>
    <w:rsid w:val="6E190E3E"/>
    <w:rsid w:val="6E1D71B8"/>
    <w:rsid w:val="6E20394B"/>
    <w:rsid w:val="6E245B90"/>
    <w:rsid w:val="6E2E5727"/>
    <w:rsid w:val="6E3336F2"/>
    <w:rsid w:val="6E3B2B68"/>
    <w:rsid w:val="6E45638B"/>
    <w:rsid w:val="6E4B4CC3"/>
    <w:rsid w:val="6E4D194C"/>
    <w:rsid w:val="6E527075"/>
    <w:rsid w:val="6E5602C9"/>
    <w:rsid w:val="6E5865E1"/>
    <w:rsid w:val="6E586BDE"/>
    <w:rsid w:val="6E587259"/>
    <w:rsid w:val="6E5B1E99"/>
    <w:rsid w:val="6E636D6A"/>
    <w:rsid w:val="6E747178"/>
    <w:rsid w:val="6E7D12FC"/>
    <w:rsid w:val="6E81010F"/>
    <w:rsid w:val="6E8157FD"/>
    <w:rsid w:val="6E834CBA"/>
    <w:rsid w:val="6E8502B2"/>
    <w:rsid w:val="6E850C0F"/>
    <w:rsid w:val="6E864E51"/>
    <w:rsid w:val="6E875D46"/>
    <w:rsid w:val="6E8D15F4"/>
    <w:rsid w:val="6E9027C1"/>
    <w:rsid w:val="6E984B70"/>
    <w:rsid w:val="6EA85694"/>
    <w:rsid w:val="6EB42283"/>
    <w:rsid w:val="6EBB5CA4"/>
    <w:rsid w:val="6EBE60B1"/>
    <w:rsid w:val="6EC2260A"/>
    <w:rsid w:val="6EC26CE8"/>
    <w:rsid w:val="6EC46ED0"/>
    <w:rsid w:val="6EC477BF"/>
    <w:rsid w:val="6ECB7C28"/>
    <w:rsid w:val="6ECD021E"/>
    <w:rsid w:val="6ECD2F53"/>
    <w:rsid w:val="6ECF4CCE"/>
    <w:rsid w:val="6ED66E54"/>
    <w:rsid w:val="6EDD1CDF"/>
    <w:rsid w:val="6EDF02FC"/>
    <w:rsid w:val="6EE34F84"/>
    <w:rsid w:val="6EE5358C"/>
    <w:rsid w:val="6EEC2731"/>
    <w:rsid w:val="6EED0CD0"/>
    <w:rsid w:val="6EFE5D5A"/>
    <w:rsid w:val="6F042AD2"/>
    <w:rsid w:val="6F087657"/>
    <w:rsid w:val="6F112F46"/>
    <w:rsid w:val="6F12339B"/>
    <w:rsid w:val="6F1D317A"/>
    <w:rsid w:val="6F300F46"/>
    <w:rsid w:val="6F351916"/>
    <w:rsid w:val="6F3E31CE"/>
    <w:rsid w:val="6F3E7083"/>
    <w:rsid w:val="6F3F6DD0"/>
    <w:rsid w:val="6F425263"/>
    <w:rsid w:val="6F5F18FE"/>
    <w:rsid w:val="6F5F5393"/>
    <w:rsid w:val="6F665626"/>
    <w:rsid w:val="6F6657FF"/>
    <w:rsid w:val="6F67161D"/>
    <w:rsid w:val="6F6A7A73"/>
    <w:rsid w:val="6F6D3921"/>
    <w:rsid w:val="6F6D4C86"/>
    <w:rsid w:val="6F731CCB"/>
    <w:rsid w:val="6F732AB6"/>
    <w:rsid w:val="6F77301A"/>
    <w:rsid w:val="6F7847D7"/>
    <w:rsid w:val="6F790C7C"/>
    <w:rsid w:val="6F866CD7"/>
    <w:rsid w:val="6F8D4674"/>
    <w:rsid w:val="6F934434"/>
    <w:rsid w:val="6F944482"/>
    <w:rsid w:val="6F9749E1"/>
    <w:rsid w:val="6F994A6C"/>
    <w:rsid w:val="6F9B0800"/>
    <w:rsid w:val="6F9E1303"/>
    <w:rsid w:val="6FA00F67"/>
    <w:rsid w:val="6FA06C99"/>
    <w:rsid w:val="6FA6186C"/>
    <w:rsid w:val="6FA92D61"/>
    <w:rsid w:val="6FAD2863"/>
    <w:rsid w:val="6FAF76D7"/>
    <w:rsid w:val="6FB05786"/>
    <w:rsid w:val="6FB11554"/>
    <w:rsid w:val="6FB2297B"/>
    <w:rsid w:val="6FBC760E"/>
    <w:rsid w:val="6FC21327"/>
    <w:rsid w:val="6FC50232"/>
    <w:rsid w:val="6FC5065A"/>
    <w:rsid w:val="6FD35F40"/>
    <w:rsid w:val="6FD53DA4"/>
    <w:rsid w:val="6FD84551"/>
    <w:rsid w:val="6FDB60DC"/>
    <w:rsid w:val="6FDD5C85"/>
    <w:rsid w:val="6FE15F9A"/>
    <w:rsid w:val="6FEB3A31"/>
    <w:rsid w:val="6FEC07CD"/>
    <w:rsid w:val="6FEE4B98"/>
    <w:rsid w:val="6FF13687"/>
    <w:rsid w:val="6FF67B3A"/>
    <w:rsid w:val="6FF81303"/>
    <w:rsid w:val="6FFA6891"/>
    <w:rsid w:val="70006B52"/>
    <w:rsid w:val="70033708"/>
    <w:rsid w:val="70044241"/>
    <w:rsid w:val="70085C05"/>
    <w:rsid w:val="700C09EE"/>
    <w:rsid w:val="700C6592"/>
    <w:rsid w:val="700C792B"/>
    <w:rsid w:val="7014735F"/>
    <w:rsid w:val="70157C35"/>
    <w:rsid w:val="70164AA7"/>
    <w:rsid w:val="7017528C"/>
    <w:rsid w:val="701943A7"/>
    <w:rsid w:val="701A0800"/>
    <w:rsid w:val="701B2332"/>
    <w:rsid w:val="70217F0B"/>
    <w:rsid w:val="70224B53"/>
    <w:rsid w:val="70264A82"/>
    <w:rsid w:val="7031657B"/>
    <w:rsid w:val="7033365B"/>
    <w:rsid w:val="70364B67"/>
    <w:rsid w:val="703706CF"/>
    <w:rsid w:val="703726C1"/>
    <w:rsid w:val="703E3F72"/>
    <w:rsid w:val="703F3A6A"/>
    <w:rsid w:val="704223E3"/>
    <w:rsid w:val="70432A60"/>
    <w:rsid w:val="7048018D"/>
    <w:rsid w:val="704C15A9"/>
    <w:rsid w:val="705445AD"/>
    <w:rsid w:val="7058290E"/>
    <w:rsid w:val="705D3CC1"/>
    <w:rsid w:val="705E40A0"/>
    <w:rsid w:val="706121B2"/>
    <w:rsid w:val="706301E0"/>
    <w:rsid w:val="7065704C"/>
    <w:rsid w:val="706C48F8"/>
    <w:rsid w:val="706F4541"/>
    <w:rsid w:val="70716906"/>
    <w:rsid w:val="70732080"/>
    <w:rsid w:val="70732539"/>
    <w:rsid w:val="707A292A"/>
    <w:rsid w:val="708063E2"/>
    <w:rsid w:val="708C635F"/>
    <w:rsid w:val="708D597E"/>
    <w:rsid w:val="70901420"/>
    <w:rsid w:val="70902CD8"/>
    <w:rsid w:val="70907548"/>
    <w:rsid w:val="7091470B"/>
    <w:rsid w:val="709437B7"/>
    <w:rsid w:val="709739F8"/>
    <w:rsid w:val="70A157DF"/>
    <w:rsid w:val="70A3227B"/>
    <w:rsid w:val="70A53C16"/>
    <w:rsid w:val="70AB6A52"/>
    <w:rsid w:val="70AC72B4"/>
    <w:rsid w:val="70AD0FC9"/>
    <w:rsid w:val="70BE7CCF"/>
    <w:rsid w:val="70BF2441"/>
    <w:rsid w:val="70C6052A"/>
    <w:rsid w:val="70C76101"/>
    <w:rsid w:val="70CD6695"/>
    <w:rsid w:val="70CE716C"/>
    <w:rsid w:val="70D75C3D"/>
    <w:rsid w:val="70D865A9"/>
    <w:rsid w:val="70D904A7"/>
    <w:rsid w:val="70DE62E4"/>
    <w:rsid w:val="70E0199D"/>
    <w:rsid w:val="70E915B9"/>
    <w:rsid w:val="70F936EB"/>
    <w:rsid w:val="710C3573"/>
    <w:rsid w:val="71197904"/>
    <w:rsid w:val="7139179C"/>
    <w:rsid w:val="713A0C16"/>
    <w:rsid w:val="713A603C"/>
    <w:rsid w:val="71423B72"/>
    <w:rsid w:val="7149239F"/>
    <w:rsid w:val="714B1EA1"/>
    <w:rsid w:val="714D2053"/>
    <w:rsid w:val="71552F8C"/>
    <w:rsid w:val="715B12AD"/>
    <w:rsid w:val="715F675F"/>
    <w:rsid w:val="716D0E4C"/>
    <w:rsid w:val="7171638B"/>
    <w:rsid w:val="717375E5"/>
    <w:rsid w:val="71774B77"/>
    <w:rsid w:val="717B42DD"/>
    <w:rsid w:val="717E4559"/>
    <w:rsid w:val="71891083"/>
    <w:rsid w:val="719031B4"/>
    <w:rsid w:val="719362DF"/>
    <w:rsid w:val="71964BAA"/>
    <w:rsid w:val="71967B26"/>
    <w:rsid w:val="71975150"/>
    <w:rsid w:val="719B3C62"/>
    <w:rsid w:val="71A251CA"/>
    <w:rsid w:val="71A34FB8"/>
    <w:rsid w:val="71A91960"/>
    <w:rsid w:val="71A95D18"/>
    <w:rsid w:val="71AB269C"/>
    <w:rsid w:val="71AC1E21"/>
    <w:rsid w:val="71AE23C1"/>
    <w:rsid w:val="71AF3481"/>
    <w:rsid w:val="71C161A4"/>
    <w:rsid w:val="71C170AD"/>
    <w:rsid w:val="71C63A40"/>
    <w:rsid w:val="71C860F8"/>
    <w:rsid w:val="71CC4903"/>
    <w:rsid w:val="71D0341F"/>
    <w:rsid w:val="71DD176F"/>
    <w:rsid w:val="71DE3231"/>
    <w:rsid w:val="71EA2CFF"/>
    <w:rsid w:val="71ED7E52"/>
    <w:rsid w:val="720142FD"/>
    <w:rsid w:val="720352D7"/>
    <w:rsid w:val="7205786D"/>
    <w:rsid w:val="72080ED0"/>
    <w:rsid w:val="72094655"/>
    <w:rsid w:val="72124825"/>
    <w:rsid w:val="72162587"/>
    <w:rsid w:val="721E41F4"/>
    <w:rsid w:val="722D08A9"/>
    <w:rsid w:val="72347200"/>
    <w:rsid w:val="72374C9E"/>
    <w:rsid w:val="723A368B"/>
    <w:rsid w:val="72413C31"/>
    <w:rsid w:val="7244424F"/>
    <w:rsid w:val="724F2272"/>
    <w:rsid w:val="72575269"/>
    <w:rsid w:val="725E6FD1"/>
    <w:rsid w:val="72624AD1"/>
    <w:rsid w:val="72636446"/>
    <w:rsid w:val="72637BBF"/>
    <w:rsid w:val="72707E95"/>
    <w:rsid w:val="72772FA6"/>
    <w:rsid w:val="72776B16"/>
    <w:rsid w:val="7278387A"/>
    <w:rsid w:val="7284622E"/>
    <w:rsid w:val="72922247"/>
    <w:rsid w:val="72925A68"/>
    <w:rsid w:val="729A6713"/>
    <w:rsid w:val="729B122F"/>
    <w:rsid w:val="72AD0266"/>
    <w:rsid w:val="72B52C3A"/>
    <w:rsid w:val="72B76BA9"/>
    <w:rsid w:val="72B846E3"/>
    <w:rsid w:val="72BA3907"/>
    <w:rsid w:val="72C442DD"/>
    <w:rsid w:val="72CF283A"/>
    <w:rsid w:val="72D36129"/>
    <w:rsid w:val="72D81EA4"/>
    <w:rsid w:val="72DF169B"/>
    <w:rsid w:val="72E129A1"/>
    <w:rsid w:val="72E2275C"/>
    <w:rsid w:val="72E50CFF"/>
    <w:rsid w:val="72F90B78"/>
    <w:rsid w:val="72FC1ABF"/>
    <w:rsid w:val="73033516"/>
    <w:rsid w:val="73082672"/>
    <w:rsid w:val="731346DC"/>
    <w:rsid w:val="731A6FAB"/>
    <w:rsid w:val="731E7014"/>
    <w:rsid w:val="73234DEE"/>
    <w:rsid w:val="73286ADE"/>
    <w:rsid w:val="73292B90"/>
    <w:rsid w:val="73353678"/>
    <w:rsid w:val="733F1DD3"/>
    <w:rsid w:val="73412B22"/>
    <w:rsid w:val="73432A0F"/>
    <w:rsid w:val="734473F2"/>
    <w:rsid w:val="734F27F5"/>
    <w:rsid w:val="734F73D4"/>
    <w:rsid w:val="73512E02"/>
    <w:rsid w:val="73513CF4"/>
    <w:rsid w:val="73554092"/>
    <w:rsid w:val="735636C0"/>
    <w:rsid w:val="735660CF"/>
    <w:rsid w:val="735D0575"/>
    <w:rsid w:val="73667424"/>
    <w:rsid w:val="737209E0"/>
    <w:rsid w:val="73792657"/>
    <w:rsid w:val="737D4D5D"/>
    <w:rsid w:val="737D78D2"/>
    <w:rsid w:val="738505E9"/>
    <w:rsid w:val="738575AD"/>
    <w:rsid w:val="73880538"/>
    <w:rsid w:val="73892901"/>
    <w:rsid w:val="738B7570"/>
    <w:rsid w:val="738C74A3"/>
    <w:rsid w:val="739B782F"/>
    <w:rsid w:val="73A42659"/>
    <w:rsid w:val="73A84CD2"/>
    <w:rsid w:val="73A91144"/>
    <w:rsid w:val="73A92BB8"/>
    <w:rsid w:val="73B14F48"/>
    <w:rsid w:val="73B22AC0"/>
    <w:rsid w:val="73BB5864"/>
    <w:rsid w:val="73BE1BB9"/>
    <w:rsid w:val="73D74444"/>
    <w:rsid w:val="73DA2862"/>
    <w:rsid w:val="73E313A3"/>
    <w:rsid w:val="73E5384F"/>
    <w:rsid w:val="73EC121B"/>
    <w:rsid w:val="73ED3F6B"/>
    <w:rsid w:val="73F04B66"/>
    <w:rsid w:val="73F452E7"/>
    <w:rsid w:val="73FE7741"/>
    <w:rsid w:val="73FF4478"/>
    <w:rsid w:val="74081E64"/>
    <w:rsid w:val="74137783"/>
    <w:rsid w:val="74157B8B"/>
    <w:rsid w:val="74163D51"/>
    <w:rsid w:val="741C2C4E"/>
    <w:rsid w:val="7420230E"/>
    <w:rsid w:val="74260381"/>
    <w:rsid w:val="74284DC1"/>
    <w:rsid w:val="742C6BC0"/>
    <w:rsid w:val="742D360B"/>
    <w:rsid w:val="742E50C4"/>
    <w:rsid w:val="7433567E"/>
    <w:rsid w:val="743944E9"/>
    <w:rsid w:val="743D39C5"/>
    <w:rsid w:val="744B0F14"/>
    <w:rsid w:val="74516FA0"/>
    <w:rsid w:val="74524A7B"/>
    <w:rsid w:val="7457249D"/>
    <w:rsid w:val="74595119"/>
    <w:rsid w:val="745D0876"/>
    <w:rsid w:val="745E3B33"/>
    <w:rsid w:val="746C2167"/>
    <w:rsid w:val="74736ECB"/>
    <w:rsid w:val="747B4695"/>
    <w:rsid w:val="747D0B7C"/>
    <w:rsid w:val="747D4579"/>
    <w:rsid w:val="747F661E"/>
    <w:rsid w:val="74820D93"/>
    <w:rsid w:val="748C4539"/>
    <w:rsid w:val="748D6976"/>
    <w:rsid w:val="748E6DEA"/>
    <w:rsid w:val="74947720"/>
    <w:rsid w:val="74956D33"/>
    <w:rsid w:val="749600D7"/>
    <w:rsid w:val="74A915A1"/>
    <w:rsid w:val="74AC200D"/>
    <w:rsid w:val="74AD7F5E"/>
    <w:rsid w:val="74B43532"/>
    <w:rsid w:val="74B45696"/>
    <w:rsid w:val="74B72B75"/>
    <w:rsid w:val="74B8013C"/>
    <w:rsid w:val="74BE3225"/>
    <w:rsid w:val="74D729D4"/>
    <w:rsid w:val="74E8634D"/>
    <w:rsid w:val="74EF67C9"/>
    <w:rsid w:val="74F00106"/>
    <w:rsid w:val="74F72AD1"/>
    <w:rsid w:val="74F863AB"/>
    <w:rsid w:val="74F92A69"/>
    <w:rsid w:val="75003176"/>
    <w:rsid w:val="75033E4C"/>
    <w:rsid w:val="750E2391"/>
    <w:rsid w:val="75152972"/>
    <w:rsid w:val="751E6743"/>
    <w:rsid w:val="75296489"/>
    <w:rsid w:val="752E0110"/>
    <w:rsid w:val="75337D1A"/>
    <w:rsid w:val="7539069C"/>
    <w:rsid w:val="75450C60"/>
    <w:rsid w:val="754C291A"/>
    <w:rsid w:val="75503F97"/>
    <w:rsid w:val="75531734"/>
    <w:rsid w:val="755750B3"/>
    <w:rsid w:val="755819C5"/>
    <w:rsid w:val="755F00F8"/>
    <w:rsid w:val="75607F39"/>
    <w:rsid w:val="75615ECD"/>
    <w:rsid w:val="75693F64"/>
    <w:rsid w:val="756C10D8"/>
    <w:rsid w:val="756E0577"/>
    <w:rsid w:val="75744690"/>
    <w:rsid w:val="75773807"/>
    <w:rsid w:val="757E5A3E"/>
    <w:rsid w:val="757F3D7F"/>
    <w:rsid w:val="758241DC"/>
    <w:rsid w:val="758A1134"/>
    <w:rsid w:val="758A4929"/>
    <w:rsid w:val="758D4828"/>
    <w:rsid w:val="758D793F"/>
    <w:rsid w:val="75951BED"/>
    <w:rsid w:val="75952E0D"/>
    <w:rsid w:val="75955703"/>
    <w:rsid w:val="759F0C06"/>
    <w:rsid w:val="75A02AB0"/>
    <w:rsid w:val="75A435C0"/>
    <w:rsid w:val="75AA6CD6"/>
    <w:rsid w:val="75AD6B2F"/>
    <w:rsid w:val="75BA0B00"/>
    <w:rsid w:val="75BA4429"/>
    <w:rsid w:val="75C00097"/>
    <w:rsid w:val="75D565C3"/>
    <w:rsid w:val="75DC3DD7"/>
    <w:rsid w:val="75DF44F4"/>
    <w:rsid w:val="75E46861"/>
    <w:rsid w:val="75E71F91"/>
    <w:rsid w:val="75EF07DA"/>
    <w:rsid w:val="75F94F2F"/>
    <w:rsid w:val="760F7461"/>
    <w:rsid w:val="761029E7"/>
    <w:rsid w:val="7618007C"/>
    <w:rsid w:val="761F1ABE"/>
    <w:rsid w:val="76320DB6"/>
    <w:rsid w:val="76331DCA"/>
    <w:rsid w:val="76394371"/>
    <w:rsid w:val="763D312E"/>
    <w:rsid w:val="763E3A56"/>
    <w:rsid w:val="76404659"/>
    <w:rsid w:val="765E04EC"/>
    <w:rsid w:val="76632386"/>
    <w:rsid w:val="76684795"/>
    <w:rsid w:val="766857FC"/>
    <w:rsid w:val="766B3739"/>
    <w:rsid w:val="766D5370"/>
    <w:rsid w:val="76764F65"/>
    <w:rsid w:val="767660AE"/>
    <w:rsid w:val="767E63E0"/>
    <w:rsid w:val="767F5CDC"/>
    <w:rsid w:val="768C1AC7"/>
    <w:rsid w:val="768C458D"/>
    <w:rsid w:val="768F397D"/>
    <w:rsid w:val="769150BD"/>
    <w:rsid w:val="76956514"/>
    <w:rsid w:val="769B6A70"/>
    <w:rsid w:val="769C0ABC"/>
    <w:rsid w:val="76BA3751"/>
    <w:rsid w:val="76BA4D45"/>
    <w:rsid w:val="76BB554C"/>
    <w:rsid w:val="76C432A1"/>
    <w:rsid w:val="76DA1264"/>
    <w:rsid w:val="76DA169B"/>
    <w:rsid w:val="76DB6883"/>
    <w:rsid w:val="76DC52D2"/>
    <w:rsid w:val="76E2150A"/>
    <w:rsid w:val="76E84811"/>
    <w:rsid w:val="76F166D9"/>
    <w:rsid w:val="76F206DF"/>
    <w:rsid w:val="76F63C1F"/>
    <w:rsid w:val="76F71B34"/>
    <w:rsid w:val="76FD6553"/>
    <w:rsid w:val="77037140"/>
    <w:rsid w:val="770965D3"/>
    <w:rsid w:val="77107278"/>
    <w:rsid w:val="7711396E"/>
    <w:rsid w:val="77144458"/>
    <w:rsid w:val="77190857"/>
    <w:rsid w:val="771E2421"/>
    <w:rsid w:val="772149F4"/>
    <w:rsid w:val="77280A67"/>
    <w:rsid w:val="7732117D"/>
    <w:rsid w:val="77327821"/>
    <w:rsid w:val="7734063D"/>
    <w:rsid w:val="7738360F"/>
    <w:rsid w:val="773C50D3"/>
    <w:rsid w:val="7740038C"/>
    <w:rsid w:val="77401C21"/>
    <w:rsid w:val="77491B90"/>
    <w:rsid w:val="774F0710"/>
    <w:rsid w:val="774F3795"/>
    <w:rsid w:val="775F4CBC"/>
    <w:rsid w:val="77602496"/>
    <w:rsid w:val="77623498"/>
    <w:rsid w:val="7767476D"/>
    <w:rsid w:val="776B5683"/>
    <w:rsid w:val="77700751"/>
    <w:rsid w:val="77706674"/>
    <w:rsid w:val="77706A41"/>
    <w:rsid w:val="777F2B5A"/>
    <w:rsid w:val="7787297A"/>
    <w:rsid w:val="778E3254"/>
    <w:rsid w:val="779233B3"/>
    <w:rsid w:val="77936059"/>
    <w:rsid w:val="77953E4B"/>
    <w:rsid w:val="779D171F"/>
    <w:rsid w:val="77A264F0"/>
    <w:rsid w:val="77A30FDA"/>
    <w:rsid w:val="77AB693D"/>
    <w:rsid w:val="77AF111C"/>
    <w:rsid w:val="77B23A55"/>
    <w:rsid w:val="77B25D31"/>
    <w:rsid w:val="77B8095C"/>
    <w:rsid w:val="77BA4CB0"/>
    <w:rsid w:val="77CD4616"/>
    <w:rsid w:val="77CF5FC5"/>
    <w:rsid w:val="77DC058D"/>
    <w:rsid w:val="77E46800"/>
    <w:rsid w:val="77E61FEE"/>
    <w:rsid w:val="77EB27CF"/>
    <w:rsid w:val="77EF265D"/>
    <w:rsid w:val="77F27C7C"/>
    <w:rsid w:val="77F46151"/>
    <w:rsid w:val="77F718E5"/>
    <w:rsid w:val="77FD227A"/>
    <w:rsid w:val="78020F35"/>
    <w:rsid w:val="780B23C1"/>
    <w:rsid w:val="78105A54"/>
    <w:rsid w:val="78121133"/>
    <w:rsid w:val="781D57C3"/>
    <w:rsid w:val="781D58C3"/>
    <w:rsid w:val="781E61CC"/>
    <w:rsid w:val="78230F35"/>
    <w:rsid w:val="7823152E"/>
    <w:rsid w:val="78235B2B"/>
    <w:rsid w:val="782670DF"/>
    <w:rsid w:val="783230DC"/>
    <w:rsid w:val="78326FB0"/>
    <w:rsid w:val="78336E97"/>
    <w:rsid w:val="78340E8D"/>
    <w:rsid w:val="78363BE0"/>
    <w:rsid w:val="78375F04"/>
    <w:rsid w:val="783868B3"/>
    <w:rsid w:val="783D7572"/>
    <w:rsid w:val="783E738B"/>
    <w:rsid w:val="783F3B74"/>
    <w:rsid w:val="784453E0"/>
    <w:rsid w:val="78596771"/>
    <w:rsid w:val="785E0A38"/>
    <w:rsid w:val="786001A8"/>
    <w:rsid w:val="7864358E"/>
    <w:rsid w:val="7866438D"/>
    <w:rsid w:val="786B638D"/>
    <w:rsid w:val="786E5951"/>
    <w:rsid w:val="787347BF"/>
    <w:rsid w:val="78776BDC"/>
    <w:rsid w:val="78781A5F"/>
    <w:rsid w:val="787E3750"/>
    <w:rsid w:val="78845821"/>
    <w:rsid w:val="788A2E53"/>
    <w:rsid w:val="788C6F5D"/>
    <w:rsid w:val="788D5633"/>
    <w:rsid w:val="788D6D87"/>
    <w:rsid w:val="789359E4"/>
    <w:rsid w:val="78944737"/>
    <w:rsid w:val="78AC79BF"/>
    <w:rsid w:val="78AF39BA"/>
    <w:rsid w:val="78C51295"/>
    <w:rsid w:val="78D25CE7"/>
    <w:rsid w:val="78D533C4"/>
    <w:rsid w:val="78D6431C"/>
    <w:rsid w:val="78D65F6B"/>
    <w:rsid w:val="78DD2A43"/>
    <w:rsid w:val="78DD51CF"/>
    <w:rsid w:val="78E23F6E"/>
    <w:rsid w:val="78EB23FB"/>
    <w:rsid w:val="78EC382E"/>
    <w:rsid w:val="78EE01F7"/>
    <w:rsid w:val="78EF21A8"/>
    <w:rsid w:val="78F52A8C"/>
    <w:rsid w:val="78F6528A"/>
    <w:rsid w:val="78F82204"/>
    <w:rsid w:val="78FA2162"/>
    <w:rsid w:val="78FC553E"/>
    <w:rsid w:val="78FF7D46"/>
    <w:rsid w:val="79082F6A"/>
    <w:rsid w:val="79110D83"/>
    <w:rsid w:val="791515F1"/>
    <w:rsid w:val="79323729"/>
    <w:rsid w:val="79406CEF"/>
    <w:rsid w:val="79460EF5"/>
    <w:rsid w:val="794D0142"/>
    <w:rsid w:val="794F3152"/>
    <w:rsid w:val="795211B6"/>
    <w:rsid w:val="796162EB"/>
    <w:rsid w:val="797149C7"/>
    <w:rsid w:val="797A047C"/>
    <w:rsid w:val="797B7CF0"/>
    <w:rsid w:val="797C0DA0"/>
    <w:rsid w:val="797C4D5B"/>
    <w:rsid w:val="797C6186"/>
    <w:rsid w:val="79802217"/>
    <w:rsid w:val="79810905"/>
    <w:rsid w:val="79825A08"/>
    <w:rsid w:val="7985173B"/>
    <w:rsid w:val="79922357"/>
    <w:rsid w:val="79925CC4"/>
    <w:rsid w:val="79981382"/>
    <w:rsid w:val="79A63E5A"/>
    <w:rsid w:val="79A67734"/>
    <w:rsid w:val="79A910F2"/>
    <w:rsid w:val="79AB5C0C"/>
    <w:rsid w:val="79B42BEB"/>
    <w:rsid w:val="79B9383A"/>
    <w:rsid w:val="79BE37A9"/>
    <w:rsid w:val="79C05501"/>
    <w:rsid w:val="79C17B51"/>
    <w:rsid w:val="79C6747C"/>
    <w:rsid w:val="79C85B69"/>
    <w:rsid w:val="79CA28E7"/>
    <w:rsid w:val="79CE288D"/>
    <w:rsid w:val="79CE651F"/>
    <w:rsid w:val="79D40B3D"/>
    <w:rsid w:val="79D81EF3"/>
    <w:rsid w:val="79DA0243"/>
    <w:rsid w:val="79DC4D42"/>
    <w:rsid w:val="79F36A75"/>
    <w:rsid w:val="79F579D3"/>
    <w:rsid w:val="79F8611C"/>
    <w:rsid w:val="79F86E6C"/>
    <w:rsid w:val="79FB43C6"/>
    <w:rsid w:val="79FB4D98"/>
    <w:rsid w:val="7A007D61"/>
    <w:rsid w:val="7A0E4900"/>
    <w:rsid w:val="7A0F78B1"/>
    <w:rsid w:val="7A1044C9"/>
    <w:rsid w:val="7A143BFC"/>
    <w:rsid w:val="7A17253A"/>
    <w:rsid w:val="7A1A0AC2"/>
    <w:rsid w:val="7A1A4283"/>
    <w:rsid w:val="7A1A7899"/>
    <w:rsid w:val="7A206BA1"/>
    <w:rsid w:val="7A233551"/>
    <w:rsid w:val="7A244D42"/>
    <w:rsid w:val="7A253834"/>
    <w:rsid w:val="7A2D34AC"/>
    <w:rsid w:val="7A336CB0"/>
    <w:rsid w:val="7A3D4F48"/>
    <w:rsid w:val="7A41706D"/>
    <w:rsid w:val="7A424E7A"/>
    <w:rsid w:val="7A432168"/>
    <w:rsid w:val="7A4A2A52"/>
    <w:rsid w:val="7A4F6B67"/>
    <w:rsid w:val="7A592276"/>
    <w:rsid w:val="7A5C412D"/>
    <w:rsid w:val="7A661007"/>
    <w:rsid w:val="7A6C0539"/>
    <w:rsid w:val="7A7411D0"/>
    <w:rsid w:val="7A7579F2"/>
    <w:rsid w:val="7A7F4431"/>
    <w:rsid w:val="7A824677"/>
    <w:rsid w:val="7AA471FA"/>
    <w:rsid w:val="7AB61B7F"/>
    <w:rsid w:val="7AB703EA"/>
    <w:rsid w:val="7AB843E7"/>
    <w:rsid w:val="7ABF766F"/>
    <w:rsid w:val="7AC029B5"/>
    <w:rsid w:val="7AC16CC9"/>
    <w:rsid w:val="7AC2139C"/>
    <w:rsid w:val="7AC40FF2"/>
    <w:rsid w:val="7ACC3335"/>
    <w:rsid w:val="7AD0408A"/>
    <w:rsid w:val="7AD62D5B"/>
    <w:rsid w:val="7AE52660"/>
    <w:rsid w:val="7AEF4C67"/>
    <w:rsid w:val="7AF91453"/>
    <w:rsid w:val="7AF969D3"/>
    <w:rsid w:val="7AFA47C8"/>
    <w:rsid w:val="7B062923"/>
    <w:rsid w:val="7B072623"/>
    <w:rsid w:val="7B115E86"/>
    <w:rsid w:val="7B14131D"/>
    <w:rsid w:val="7B174499"/>
    <w:rsid w:val="7B1C6CA0"/>
    <w:rsid w:val="7B2055A1"/>
    <w:rsid w:val="7B236B75"/>
    <w:rsid w:val="7B246952"/>
    <w:rsid w:val="7B262601"/>
    <w:rsid w:val="7B36454C"/>
    <w:rsid w:val="7B3B24E7"/>
    <w:rsid w:val="7B3F124B"/>
    <w:rsid w:val="7B4263EA"/>
    <w:rsid w:val="7B4A6C3D"/>
    <w:rsid w:val="7B5B6260"/>
    <w:rsid w:val="7B627355"/>
    <w:rsid w:val="7B697289"/>
    <w:rsid w:val="7B697E0B"/>
    <w:rsid w:val="7B6D2DCA"/>
    <w:rsid w:val="7B6E0965"/>
    <w:rsid w:val="7B6E7D69"/>
    <w:rsid w:val="7B6F5074"/>
    <w:rsid w:val="7B712822"/>
    <w:rsid w:val="7B7A45E4"/>
    <w:rsid w:val="7B86155E"/>
    <w:rsid w:val="7B871AFE"/>
    <w:rsid w:val="7B8A6BC1"/>
    <w:rsid w:val="7B8D2F02"/>
    <w:rsid w:val="7B920352"/>
    <w:rsid w:val="7BA921E1"/>
    <w:rsid w:val="7BAB20F8"/>
    <w:rsid w:val="7BAB4608"/>
    <w:rsid w:val="7BB258B6"/>
    <w:rsid w:val="7BB95F72"/>
    <w:rsid w:val="7BBB6B25"/>
    <w:rsid w:val="7BBF0D55"/>
    <w:rsid w:val="7BCC184A"/>
    <w:rsid w:val="7BD415A0"/>
    <w:rsid w:val="7BDB6C9C"/>
    <w:rsid w:val="7BDC1ABE"/>
    <w:rsid w:val="7BE00A95"/>
    <w:rsid w:val="7BE100EA"/>
    <w:rsid w:val="7BE21897"/>
    <w:rsid w:val="7BE65A4C"/>
    <w:rsid w:val="7BE76776"/>
    <w:rsid w:val="7BF53549"/>
    <w:rsid w:val="7BF6425E"/>
    <w:rsid w:val="7BF717A1"/>
    <w:rsid w:val="7BF873E9"/>
    <w:rsid w:val="7BF91E72"/>
    <w:rsid w:val="7BFA173A"/>
    <w:rsid w:val="7BFD3105"/>
    <w:rsid w:val="7C004E30"/>
    <w:rsid w:val="7C011A7A"/>
    <w:rsid w:val="7C0172F3"/>
    <w:rsid w:val="7C0D77CC"/>
    <w:rsid w:val="7C133793"/>
    <w:rsid w:val="7C15364E"/>
    <w:rsid w:val="7C160A38"/>
    <w:rsid w:val="7C232BED"/>
    <w:rsid w:val="7C265B53"/>
    <w:rsid w:val="7C3A5B9C"/>
    <w:rsid w:val="7C44752E"/>
    <w:rsid w:val="7C4A5A83"/>
    <w:rsid w:val="7C520F22"/>
    <w:rsid w:val="7C53263E"/>
    <w:rsid w:val="7C621659"/>
    <w:rsid w:val="7C6270DF"/>
    <w:rsid w:val="7C637CE7"/>
    <w:rsid w:val="7C683F1C"/>
    <w:rsid w:val="7C68686D"/>
    <w:rsid w:val="7C6945B0"/>
    <w:rsid w:val="7C6A34FF"/>
    <w:rsid w:val="7C7331CD"/>
    <w:rsid w:val="7C776F5B"/>
    <w:rsid w:val="7C786306"/>
    <w:rsid w:val="7C7C53F1"/>
    <w:rsid w:val="7C8076C1"/>
    <w:rsid w:val="7C836838"/>
    <w:rsid w:val="7C836DCF"/>
    <w:rsid w:val="7C8F076A"/>
    <w:rsid w:val="7C9C2D9A"/>
    <w:rsid w:val="7CA736F7"/>
    <w:rsid w:val="7CB1471F"/>
    <w:rsid w:val="7CB216B2"/>
    <w:rsid w:val="7CBB1DD5"/>
    <w:rsid w:val="7CCD6DA6"/>
    <w:rsid w:val="7CD111B8"/>
    <w:rsid w:val="7CE82B12"/>
    <w:rsid w:val="7CEE3DBF"/>
    <w:rsid w:val="7CFB1B34"/>
    <w:rsid w:val="7CFC3528"/>
    <w:rsid w:val="7CFC730E"/>
    <w:rsid w:val="7CFF4CB2"/>
    <w:rsid w:val="7D061691"/>
    <w:rsid w:val="7D066F91"/>
    <w:rsid w:val="7D0B718C"/>
    <w:rsid w:val="7D1332EE"/>
    <w:rsid w:val="7D134C03"/>
    <w:rsid w:val="7D140C1F"/>
    <w:rsid w:val="7D182CD0"/>
    <w:rsid w:val="7D1D56BF"/>
    <w:rsid w:val="7D207256"/>
    <w:rsid w:val="7D247585"/>
    <w:rsid w:val="7D265226"/>
    <w:rsid w:val="7D2A1252"/>
    <w:rsid w:val="7D392DBC"/>
    <w:rsid w:val="7D3D3363"/>
    <w:rsid w:val="7D3F6AA4"/>
    <w:rsid w:val="7D4C6D28"/>
    <w:rsid w:val="7D4D0128"/>
    <w:rsid w:val="7D4D602B"/>
    <w:rsid w:val="7D5625D0"/>
    <w:rsid w:val="7D58007F"/>
    <w:rsid w:val="7D5B60B2"/>
    <w:rsid w:val="7D5D4A5B"/>
    <w:rsid w:val="7D5F738C"/>
    <w:rsid w:val="7D695F90"/>
    <w:rsid w:val="7D6C4D96"/>
    <w:rsid w:val="7D711724"/>
    <w:rsid w:val="7D7B7D4A"/>
    <w:rsid w:val="7D860C54"/>
    <w:rsid w:val="7D9613C6"/>
    <w:rsid w:val="7D986B73"/>
    <w:rsid w:val="7D9D25F5"/>
    <w:rsid w:val="7D9E0653"/>
    <w:rsid w:val="7D9E2F64"/>
    <w:rsid w:val="7D9F2F96"/>
    <w:rsid w:val="7DA83457"/>
    <w:rsid w:val="7DAC3EE2"/>
    <w:rsid w:val="7DAD209D"/>
    <w:rsid w:val="7DB07B7A"/>
    <w:rsid w:val="7DC95AB3"/>
    <w:rsid w:val="7DD40BEF"/>
    <w:rsid w:val="7DD75DE1"/>
    <w:rsid w:val="7DE037F3"/>
    <w:rsid w:val="7DE804A9"/>
    <w:rsid w:val="7DEC7A41"/>
    <w:rsid w:val="7DEF2ADF"/>
    <w:rsid w:val="7DF3408E"/>
    <w:rsid w:val="7DF476DD"/>
    <w:rsid w:val="7DF77AA9"/>
    <w:rsid w:val="7DFC135B"/>
    <w:rsid w:val="7DFC471C"/>
    <w:rsid w:val="7E023D36"/>
    <w:rsid w:val="7E0325EC"/>
    <w:rsid w:val="7E050E11"/>
    <w:rsid w:val="7E05523E"/>
    <w:rsid w:val="7E0A7C5F"/>
    <w:rsid w:val="7E1520A7"/>
    <w:rsid w:val="7E1B61BD"/>
    <w:rsid w:val="7E1B6B63"/>
    <w:rsid w:val="7E1D67E7"/>
    <w:rsid w:val="7E1E42B9"/>
    <w:rsid w:val="7E234079"/>
    <w:rsid w:val="7E2C2472"/>
    <w:rsid w:val="7E2F3BF5"/>
    <w:rsid w:val="7E3378F7"/>
    <w:rsid w:val="7E3D3A7B"/>
    <w:rsid w:val="7E412E2F"/>
    <w:rsid w:val="7E4311BC"/>
    <w:rsid w:val="7E4425DB"/>
    <w:rsid w:val="7E462AFE"/>
    <w:rsid w:val="7E490EDD"/>
    <w:rsid w:val="7E4B14FE"/>
    <w:rsid w:val="7E5D5A71"/>
    <w:rsid w:val="7E5E7E5A"/>
    <w:rsid w:val="7E6C1249"/>
    <w:rsid w:val="7E6E699B"/>
    <w:rsid w:val="7E775C68"/>
    <w:rsid w:val="7E7B6F69"/>
    <w:rsid w:val="7E812A03"/>
    <w:rsid w:val="7E860913"/>
    <w:rsid w:val="7E881B7C"/>
    <w:rsid w:val="7E9A39E0"/>
    <w:rsid w:val="7EA4290B"/>
    <w:rsid w:val="7EA42D15"/>
    <w:rsid w:val="7EA46A35"/>
    <w:rsid w:val="7EA7718C"/>
    <w:rsid w:val="7EAC6B15"/>
    <w:rsid w:val="7EB23754"/>
    <w:rsid w:val="7EB3771A"/>
    <w:rsid w:val="7EBE1C7F"/>
    <w:rsid w:val="7EC17D1C"/>
    <w:rsid w:val="7EC34D35"/>
    <w:rsid w:val="7EC36B16"/>
    <w:rsid w:val="7EC457DC"/>
    <w:rsid w:val="7EC470F8"/>
    <w:rsid w:val="7EC5212C"/>
    <w:rsid w:val="7EC54309"/>
    <w:rsid w:val="7ECF338E"/>
    <w:rsid w:val="7EDB48C6"/>
    <w:rsid w:val="7EDC58F6"/>
    <w:rsid w:val="7EE863D6"/>
    <w:rsid w:val="7EEB075A"/>
    <w:rsid w:val="7EEF4EEE"/>
    <w:rsid w:val="7EF30899"/>
    <w:rsid w:val="7EFA41BD"/>
    <w:rsid w:val="7EFC40C0"/>
    <w:rsid w:val="7EFC7B28"/>
    <w:rsid w:val="7F073111"/>
    <w:rsid w:val="7F0A2CAC"/>
    <w:rsid w:val="7F0A2D1A"/>
    <w:rsid w:val="7F0E5AFE"/>
    <w:rsid w:val="7F173944"/>
    <w:rsid w:val="7F1922D1"/>
    <w:rsid w:val="7F1D5FD5"/>
    <w:rsid w:val="7F2B28E3"/>
    <w:rsid w:val="7F3036CA"/>
    <w:rsid w:val="7F346FD0"/>
    <w:rsid w:val="7F3A113A"/>
    <w:rsid w:val="7F44451E"/>
    <w:rsid w:val="7F4C2B96"/>
    <w:rsid w:val="7F4C4C86"/>
    <w:rsid w:val="7F4F490B"/>
    <w:rsid w:val="7F5C4242"/>
    <w:rsid w:val="7F5E7411"/>
    <w:rsid w:val="7F656193"/>
    <w:rsid w:val="7F6B1CE1"/>
    <w:rsid w:val="7F6F4FE8"/>
    <w:rsid w:val="7F713413"/>
    <w:rsid w:val="7F7418DF"/>
    <w:rsid w:val="7F7B6546"/>
    <w:rsid w:val="7F86025B"/>
    <w:rsid w:val="7F861FA7"/>
    <w:rsid w:val="7F8B4F73"/>
    <w:rsid w:val="7F947373"/>
    <w:rsid w:val="7F9A64AD"/>
    <w:rsid w:val="7F9C04FC"/>
    <w:rsid w:val="7F9C2F3B"/>
    <w:rsid w:val="7F9E106D"/>
    <w:rsid w:val="7FA373A7"/>
    <w:rsid w:val="7FA502D3"/>
    <w:rsid w:val="7FA80D1E"/>
    <w:rsid w:val="7FAE07ED"/>
    <w:rsid w:val="7FAF2ABD"/>
    <w:rsid w:val="7FB53A3D"/>
    <w:rsid w:val="7FB616E7"/>
    <w:rsid w:val="7FB73BD7"/>
    <w:rsid w:val="7FB81C33"/>
    <w:rsid w:val="7FC426BB"/>
    <w:rsid w:val="7FCA751A"/>
    <w:rsid w:val="7FCD472C"/>
    <w:rsid w:val="7FD20496"/>
    <w:rsid w:val="7FD43FF5"/>
    <w:rsid w:val="7FD45A8C"/>
    <w:rsid w:val="7FD82000"/>
    <w:rsid w:val="7FD93486"/>
    <w:rsid w:val="7FDA67E5"/>
    <w:rsid w:val="7FE96D47"/>
    <w:rsid w:val="7FED008A"/>
    <w:rsid w:val="7FEF0679"/>
    <w:rsid w:val="7FF17114"/>
    <w:rsid w:val="7FF6767F"/>
    <w:rsid w:val="7FF84B05"/>
    <w:rsid w:val="7FF86E37"/>
    <w:rsid w:val="7FFA4BF1"/>
    <w:rsid w:val="7FFC1740"/>
    <w:rsid w:val="7FFE01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9"/>
    <w:pPr>
      <w:keepLines/>
      <w:numPr>
        <w:ilvl w:val="0"/>
        <w:numId w:val="1"/>
      </w:numPr>
      <w:ind w:firstLine="624" w:firstLineChars="0"/>
      <w:jc w:val="left"/>
      <w:outlineLvl w:val="0"/>
    </w:pPr>
    <w:rPr>
      <w:rFonts w:ascii="黑体" w:hAnsi="黑体" w:eastAsia="黑体" w:cs="黑体"/>
      <w:kern w:val="44"/>
    </w:rPr>
  </w:style>
  <w:style w:type="paragraph" w:styleId="3">
    <w:name w:val="heading 2"/>
    <w:basedOn w:val="1"/>
    <w:next w:val="1"/>
    <w:link w:val="38"/>
    <w:qFormat/>
    <w:uiPriority w:val="9"/>
    <w:pPr>
      <w:keepLines/>
      <w:numPr>
        <w:ilvl w:val="1"/>
        <w:numId w:val="1"/>
      </w:numPr>
      <w:ind w:firstLine="632" w:firstLineChars="200"/>
      <w:outlineLvl w:val="1"/>
    </w:pPr>
    <w:rPr>
      <w:rFonts w:ascii="楷体_GB2312" w:hAnsi="楷体_GB2312" w:eastAsia="楷体_GB2312" w:cs="楷体_GB2312"/>
      <w:b/>
      <w:bCs/>
    </w:rPr>
  </w:style>
  <w:style w:type="paragraph" w:styleId="4">
    <w:name w:val="heading 3"/>
    <w:basedOn w:val="1"/>
    <w:next w:val="1"/>
    <w:link w:val="35"/>
    <w:qFormat/>
    <w:uiPriority w:val="9"/>
    <w:pPr>
      <w:keepLines/>
      <w:numPr>
        <w:ilvl w:val="2"/>
        <w:numId w:val="1"/>
      </w:numPr>
      <w:ind w:firstLine="624" w:firstLineChars="0"/>
      <w:outlineLvl w:val="2"/>
    </w:pPr>
    <w:rPr>
      <w:b/>
    </w:rPr>
  </w:style>
  <w:style w:type="paragraph" w:styleId="5">
    <w:name w:val="heading 4"/>
    <w:basedOn w:val="1"/>
    <w:next w:val="1"/>
    <w:qFormat/>
    <w:uiPriority w:val="9"/>
    <w:pPr>
      <w:keepNext w:val="0"/>
      <w:keepLines/>
      <w:numPr>
        <w:ilvl w:val="3"/>
        <w:numId w:val="1"/>
      </w:numPr>
      <w:spacing w:line="240" w:lineRule="auto"/>
      <w:ind w:firstLine="402" w:firstLineChars="0"/>
      <w:outlineLvl w:val="3"/>
    </w:pPr>
    <w:rPr>
      <w:b/>
      <w:bCs/>
    </w:rPr>
  </w:style>
  <w:style w:type="paragraph" w:styleId="6">
    <w:name w:val="heading 5"/>
    <w:basedOn w:val="1"/>
    <w:next w:val="1"/>
    <w:qFormat/>
    <w:uiPriority w:val="9"/>
    <w:pPr>
      <w:keepNext/>
      <w:keepLines/>
      <w:numPr>
        <w:ilvl w:val="4"/>
        <w:numId w:val="1"/>
      </w:numPr>
      <w:spacing w:before="280" w:after="290" w:line="372" w:lineRule="auto"/>
      <w:ind w:firstLine="402" w:firstLineChars="0"/>
      <w:outlineLvl w:val="4"/>
    </w:pPr>
    <w:rPr>
      <w:b/>
      <w:sz w:val="28"/>
    </w:rPr>
  </w:style>
  <w:style w:type="paragraph" w:styleId="7">
    <w:name w:val="heading 6"/>
    <w:basedOn w:val="1"/>
    <w:next w:val="1"/>
    <w:qFormat/>
    <w:uiPriority w:val="9"/>
    <w:pPr>
      <w:keepNext/>
      <w:keepLines/>
      <w:numPr>
        <w:ilvl w:val="5"/>
        <w:numId w:val="1"/>
      </w:numPr>
      <w:spacing w:before="240" w:after="64" w:line="317" w:lineRule="auto"/>
      <w:ind w:firstLine="402" w:firstLineChars="0"/>
      <w:outlineLvl w:val="5"/>
    </w:pPr>
    <w:rPr>
      <w:rFonts w:ascii="Arial" w:hAnsi="Arial" w:eastAsia="黑体"/>
      <w:b/>
      <w:sz w:val="24"/>
    </w:rPr>
  </w:style>
  <w:style w:type="paragraph" w:styleId="8">
    <w:name w:val="heading 7"/>
    <w:basedOn w:val="1"/>
    <w:next w:val="1"/>
    <w:qFormat/>
    <w:uiPriority w:val="9"/>
    <w:pPr>
      <w:keepNext/>
      <w:keepLines/>
      <w:numPr>
        <w:ilvl w:val="6"/>
        <w:numId w:val="1"/>
      </w:numPr>
      <w:spacing w:before="240" w:after="64" w:line="317" w:lineRule="auto"/>
      <w:ind w:firstLine="402" w:firstLineChars="0"/>
      <w:outlineLvl w:val="6"/>
    </w:pPr>
    <w:rPr>
      <w:b/>
      <w:sz w:val="24"/>
    </w:rPr>
  </w:style>
  <w:style w:type="paragraph" w:styleId="9">
    <w:name w:val="heading 8"/>
    <w:basedOn w:val="1"/>
    <w:next w:val="1"/>
    <w:qFormat/>
    <w:uiPriority w:val="9"/>
    <w:pPr>
      <w:keepNext/>
      <w:keepLines/>
      <w:numPr>
        <w:ilvl w:val="7"/>
        <w:numId w:val="1"/>
      </w:numPr>
      <w:spacing w:before="240" w:after="64" w:line="317" w:lineRule="auto"/>
      <w:ind w:firstLine="402" w:firstLineChars="0"/>
      <w:outlineLvl w:val="7"/>
    </w:pPr>
    <w:rPr>
      <w:rFonts w:ascii="Arial" w:hAnsi="Arial" w:eastAsia="黑体"/>
      <w:sz w:val="24"/>
    </w:rPr>
  </w:style>
  <w:style w:type="paragraph" w:styleId="10">
    <w:name w:val="heading 9"/>
    <w:basedOn w:val="1"/>
    <w:next w:val="1"/>
    <w:qFormat/>
    <w:uiPriority w:val="9"/>
    <w:pPr>
      <w:keepNext/>
      <w:keepLines/>
      <w:numPr>
        <w:ilvl w:val="8"/>
        <w:numId w:val="1"/>
      </w:numPr>
      <w:spacing w:before="240" w:after="64" w:line="317" w:lineRule="auto"/>
      <w:ind w:firstLine="402" w:firstLineChars="0"/>
      <w:outlineLvl w:val="8"/>
    </w:pPr>
    <w:rPr>
      <w:rFonts w:ascii="Arial" w:hAnsi="Arial" w:eastAsia="黑体"/>
      <w:sz w:val="21"/>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Date"/>
    <w:basedOn w:val="1"/>
    <w:next w:val="1"/>
    <w:link w:val="34"/>
    <w:unhideWhenUsed/>
    <w:qFormat/>
    <w:uiPriority w:val="99"/>
    <w:pPr>
      <w:ind w:left="100" w:leftChars="2500"/>
    </w:pPr>
  </w:style>
  <w:style w:type="paragraph" w:styleId="12">
    <w:name w:val="footer"/>
    <w:basedOn w:val="1"/>
    <w:link w:val="33"/>
    <w:unhideWhenUsed/>
    <w:qFormat/>
    <w:uiPriority w:val="99"/>
    <w:pPr>
      <w:tabs>
        <w:tab w:val="center" w:pos="4153"/>
        <w:tab w:val="right" w:pos="8306"/>
      </w:tabs>
      <w:snapToGrid w:val="0"/>
      <w:jc w:val="left"/>
    </w:pPr>
    <w:rPr>
      <w:sz w:val="28"/>
      <w:szCs w:val="18"/>
    </w:rPr>
  </w:style>
  <w:style w:type="paragraph" w:styleId="1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link w:val="37"/>
    <w:qFormat/>
    <w:uiPriority w:val="10"/>
    <w:pPr>
      <w:spacing w:line="700" w:lineRule="exact"/>
      <w:ind w:firstLine="0" w:firstLineChars="0"/>
      <w:jc w:val="center"/>
      <w:outlineLvl w:val="0"/>
    </w:pPr>
    <w:rPr>
      <w:rFonts w:ascii="方正小标宋简体" w:hAnsi="Calibri Light" w:eastAsia="方正小标宋简体" w:cs="Times New Roman"/>
      <w:bCs/>
      <w:sz w:val="44"/>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unhideWhenUsed/>
    <w:qFormat/>
    <w:uiPriority w:val="99"/>
    <w:rPr>
      <w:rFonts w:ascii="宋体" w:hAnsi="宋体" w:eastAsia="宋体" w:cs="宋体"/>
      <w:sz w:val="28"/>
      <w:szCs w:val="28"/>
    </w:rPr>
  </w:style>
  <w:style w:type="character" w:styleId="20">
    <w:name w:val="FollowedHyperlink"/>
    <w:qFormat/>
    <w:uiPriority w:val="0"/>
    <w:rPr>
      <w:color w:val="333333"/>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Variable"/>
    <w:basedOn w:val="18"/>
    <w:qFormat/>
    <w:uiPriority w:val="0"/>
  </w:style>
  <w:style w:type="character" w:styleId="24">
    <w:name w:val="Hyperlink"/>
    <w:qFormat/>
    <w:uiPriority w:val="0"/>
    <w:rPr>
      <w:color w:val="333333"/>
      <w:u w:val="none"/>
    </w:rPr>
  </w:style>
  <w:style w:type="character" w:styleId="25">
    <w:name w:val="HTML Code"/>
    <w:basedOn w:val="18"/>
    <w:qFormat/>
    <w:uiPriority w:val="0"/>
    <w:rPr>
      <w:rFonts w:ascii="Courier New" w:hAnsi="Courier New"/>
      <w:sz w:val="20"/>
    </w:rPr>
  </w:style>
  <w:style w:type="character" w:styleId="26">
    <w:name w:val="HTML Cite"/>
    <w:basedOn w:val="18"/>
    <w:qFormat/>
    <w:uiPriority w:val="0"/>
  </w:style>
  <w:style w:type="paragraph" w:customStyle="1" w:styleId="27">
    <w:name w:val="_Style 21"/>
    <w:basedOn w:val="1"/>
    <w:next w:val="1"/>
    <w:qFormat/>
    <w:uiPriority w:val="0"/>
    <w:pPr>
      <w:pBdr>
        <w:top w:val="single" w:color="auto" w:sz="6" w:space="1"/>
      </w:pBdr>
      <w:jc w:val="center"/>
    </w:pPr>
    <w:rPr>
      <w:rFonts w:ascii="Arial" w:eastAsia="宋体"/>
      <w:vanish/>
      <w:sz w:val="16"/>
    </w:rPr>
  </w:style>
  <w:style w:type="paragraph" w:customStyle="1" w:styleId="28">
    <w:name w:val="版记"/>
    <w:basedOn w:val="1"/>
    <w:next w:val="1"/>
    <w:qFormat/>
    <w:uiPriority w:val="0"/>
    <w:pPr>
      <w:ind w:left="316" w:leftChars="100" w:right="316" w:rightChars="100" w:firstLine="0" w:firstLineChars="0"/>
    </w:pPr>
    <w:rPr>
      <w:sz w:val="28"/>
    </w:rPr>
  </w:style>
  <w:style w:type="paragraph" w:customStyle="1" w:styleId="29">
    <w:name w:val="抬头"/>
    <w:basedOn w:val="30"/>
    <w:next w:val="1"/>
    <w:qFormat/>
    <w:uiPriority w:val="0"/>
    <w:pPr>
      <w:spacing w:line="240" w:lineRule="auto"/>
      <w:jc w:val="left"/>
    </w:pPr>
    <w:rPr>
      <w:rFonts w:ascii="仿宋_GB2312" w:hAnsi="仿宋_GB2312" w:eastAsia="仿宋_GB2312" w:cs="仿宋_GB2312"/>
      <w:sz w:val="32"/>
      <w:szCs w:val="32"/>
    </w:rPr>
  </w:style>
  <w:style w:type="paragraph" w:customStyle="1" w:styleId="30">
    <w:name w:val="大标题"/>
    <w:basedOn w:val="1"/>
    <w:qFormat/>
    <w:uiPriority w:val="0"/>
    <w:pPr>
      <w:spacing w:line="700" w:lineRule="exact"/>
      <w:ind w:firstLine="0" w:firstLineChars="0"/>
      <w:jc w:val="center"/>
    </w:pPr>
    <w:rPr>
      <w:rFonts w:ascii="方正小标宋简体" w:hAnsi="方正小标宋简体" w:eastAsia="方正小标宋简体" w:cs="方正小标宋简体"/>
      <w:sz w:val="44"/>
      <w:szCs w:val="44"/>
    </w:rPr>
  </w:style>
  <w:style w:type="paragraph" w:customStyle="1" w:styleId="31">
    <w:name w:val="_Style 25"/>
    <w:basedOn w:val="1"/>
    <w:next w:val="1"/>
    <w:qFormat/>
    <w:uiPriority w:val="0"/>
    <w:pPr>
      <w:pBdr>
        <w:bottom w:val="single" w:color="auto" w:sz="6" w:space="1"/>
      </w:pBdr>
      <w:jc w:val="center"/>
    </w:pPr>
    <w:rPr>
      <w:rFonts w:ascii="Arial" w:eastAsia="宋体"/>
      <w:vanish/>
      <w:sz w:val="16"/>
    </w:rPr>
  </w:style>
  <w:style w:type="paragraph" w:customStyle="1" w:styleId="32">
    <w:name w:val="附件"/>
    <w:basedOn w:val="1"/>
    <w:link w:val="36"/>
    <w:qFormat/>
    <w:uiPriority w:val="0"/>
    <w:pPr>
      <w:ind w:firstLine="500" w:firstLineChars="500"/>
    </w:pPr>
  </w:style>
  <w:style w:type="character" w:customStyle="1" w:styleId="33">
    <w:name w:val="页脚 Char"/>
    <w:link w:val="12"/>
    <w:qFormat/>
    <w:uiPriority w:val="99"/>
    <w:rPr>
      <w:rFonts w:ascii="仿宋_GB2312" w:hAnsi="仿宋_GB2312" w:eastAsia="仿宋_GB2312" w:cs="仿宋_GB2312"/>
      <w:kern w:val="2"/>
      <w:sz w:val="28"/>
      <w:szCs w:val="18"/>
    </w:rPr>
  </w:style>
  <w:style w:type="character" w:customStyle="1" w:styleId="34">
    <w:name w:val="日期 Char"/>
    <w:link w:val="11"/>
    <w:semiHidden/>
    <w:qFormat/>
    <w:uiPriority w:val="99"/>
    <w:rPr>
      <w:rFonts w:ascii="仿宋_GB2312" w:hAnsi="仿宋_GB2312" w:eastAsia="仿宋_GB2312" w:cs="仿宋_GB2312"/>
      <w:kern w:val="2"/>
      <w:sz w:val="32"/>
      <w:szCs w:val="32"/>
    </w:rPr>
  </w:style>
  <w:style w:type="character" w:customStyle="1" w:styleId="35">
    <w:name w:val="标题 3 Char"/>
    <w:link w:val="4"/>
    <w:qFormat/>
    <w:uiPriority w:val="9"/>
    <w:rPr>
      <w:rFonts w:ascii="仿宋_GB2312" w:hAnsi="仿宋_GB2312" w:eastAsia="仿宋_GB2312" w:cs="仿宋_GB2312"/>
      <w:b/>
      <w:kern w:val="2"/>
      <w:sz w:val="32"/>
      <w:szCs w:val="32"/>
    </w:rPr>
  </w:style>
  <w:style w:type="character" w:customStyle="1" w:styleId="36">
    <w:name w:val="附件 Char"/>
    <w:link w:val="32"/>
    <w:qFormat/>
    <w:uiPriority w:val="0"/>
    <w:rPr>
      <w:rFonts w:ascii="仿宋_GB2312" w:hAnsi="仿宋_GB2312" w:eastAsia="仿宋_GB2312" w:cs="仿宋_GB2312"/>
      <w:kern w:val="2"/>
      <w:sz w:val="32"/>
      <w:szCs w:val="32"/>
    </w:rPr>
  </w:style>
  <w:style w:type="character" w:customStyle="1" w:styleId="37">
    <w:name w:val="标题 Char"/>
    <w:link w:val="15"/>
    <w:qFormat/>
    <w:uiPriority w:val="10"/>
    <w:rPr>
      <w:rFonts w:ascii="方正小标宋简体" w:hAnsi="Calibri Light" w:eastAsia="方正小标宋简体" w:cs="Times New Roman"/>
      <w:bCs/>
      <w:kern w:val="2"/>
      <w:sz w:val="44"/>
      <w:szCs w:val="32"/>
    </w:rPr>
  </w:style>
  <w:style w:type="character" w:customStyle="1" w:styleId="38">
    <w:name w:val="标题 2 Char"/>
    <w:link w:val="3"/>
    <w:qFormat/>
    <w:uiPriority w:val="9"/>
    <w:rPr>
      <w:rFonts w:ascii="楷体_GB2312" w:hAnsi="楷体_GB2312" w:eastAsia="楷体_GB2312" w:cs="楷体_GB2312"/>
      <w:b/>
      <w:bCs/>
      <w:kern w:val="2"/>
      <w:sz w:val="32"/>
      <w:szCs w:val="32"/>
    </w:rPr>
  </w:style>
  <w:style w:type="character" w:customStyle="1" w:styleId="3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s\AppData\Roaming\kingsoft\office6\templates\wps\zh_CN\3-&#21830;&#24066;&#35268;&#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3-商市规函.dot</Template>
  <Pages>16</Pages>
  <Words>6643</Words>
  <Characters>7115</Characters>
  <Lines>4</Lines>
  <Paragraphs>1</Paragraphs>
  <TotalTime>78</TotalTime>
  <ScaleCrop>false</ScaleCrop>
  <LinksUpToDate>false</LinksUpToDate>
  <CharactersWithSpaces>7200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2019-03-20T06:32:00Z</dcterms:created>
  <dc:creator>bgs</dc:creator>
  <cp:lastModifiedBy>Administrator</cp:lastModifiedBy>
  <cp:lastPrinted>2020-07-07T01:48:52Z</cp:lastPrinted>
  <dcterms:modified xsi:type="dcterms:W3CDTF">2020-07-07T01:49:09Z</dcterms:modified>
  <dc:title>商洛市城乡建设规划局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