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600" w:lineRule="exact"/>
        <w:rPr>
          <w:rFonts w:ascii="黑体" w:hAnsi="黑体" w:eastAsia="黑体" w:cs="黑体"/>
          <w:color w:val="auto"/>
          <w:sz w:val="32"/>
          <w:szCs w:val="32"/>
        </w:rPr>
      </w:pPr>
      <w:r>
        <w:rPr>
          <w:rFonts w:hint="eastAsia" w:ascii="黑体" w:hAnsi="黑体" w:eastAsia="黑体" w:cs="黑体"/>
          <w:color w:val="auto"/>
          <w:sz w:val="32"/>
          <w:szCs w:val="32"/>
        </w:rPr>
        <w:t>附件</w:t>
      </w:r>
      <w:r>
        <w:rPr>
          <w:rFonts w:ascii="黑体" w:hAnsi="黑体" w:eastAsia="黑体" w:cs="黑体"/>
          <w:color w:val="auto"/>
          <w:sz w:val="32"/>
          <w:szCs w:val="32"/>
        </w:rPr>
        <w:t>2</w:t>
      </w:r>
    </w:p>
    <w:p>
      <w:pPr>
        <w:pStyle w:val="6"/>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0" w:firstLineChars="0"/>
        <w:jc w:val="center"/>
        <w:textAlignment w:val="auto"/>
        <w:rPr>
          <w:rFonts w:ascii="方正小标宋简体" w:hAnsi="宋体" w:eastAsia="方正小标宋简体" w:cs="仿宋_GB2312"/>
          <w:sz w:val="36"/>
          <w:szCs w:val="36"/>
        </w:rPr>
      </w:pPr>
      <w:r>
        <w:rPr>
          <w:rFonts w:hint="eastAsia" w:ascii="方正小标宋简体" w:eastAsia="方正小标宋简体"/>
          <w:sz w:val="36"/>
          <w:szCs w:val="36"/>
        </w:rPr>
        <w:t>新建商品房“交房即交证一件事一次办”集成改革</w:t>
      </w:r>
      <w:r>
        <w:rPr>
          <w:rFonts w:hint="eastAsia" w:ascii="方正小标宋简体" w:hAnsi="宋体" w:eastAsia="方正小标宋简体" w:cs="仿宋_GB2312"/>
          <w:sz w:val="36"/>
          <w:szCs w:val="36"/>
        </w:rPr>
        <w:t>任务细化表</w:t>
      </w:r>
    </w:p>
    <w:tbl>
      <w:tblPr>
        <w:tblStyle w:val="8"/>
        <w:tblW w:w="1428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951"/>
        <w:gridCol w:w="10206"/>
        <w:gridCol w:w="21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951" w:type="dxa"/>
            <w:vAlign w:val="center"/>
          </w:tcPr>
          <w:p>
            <w:pPr>
              <w:widowControl w:val="0"/>
              <w:spacing w:line="400" w:lineRule="exact"/>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责任部门</w:t>
            </w:r>
          </w:p>
        </w:tc>
        <w:tc>
          <w:tcPr>
            <w:tcW w:w="10206" w:type="dxa"/>
          </w:tcPr>
          <w:p>
            <w:pPr>
              <w:widowControl w:val="0"/>
              <w:spacing w:line="400" w:lineRule="exact"/>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任务清单</w:t>
            </w:r>
          </w:p>
        </w:tc>
        <w:tc>
          <w:tcPr>
            <w:tcW w:w="2126" w:type="dxa"/>
            <w:vAlign w:val="center"/>
          </w:tcPr>
          <w:p>
            <w:pPr>
              <w:widowControl w:val="0"/>
              <w:spacing w:line="400" w:lineRule="exact"/>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649" w:hRule="atLeast"/>
        </w:trPr>
        <w:tc>
          <w:tcPr>
            <w:tcW w:w="1951" w:type="dxa"/>
            <w:vAlign w:val="center"/>
          </w:tcPr>
          <w:p>
            <w:pPr>
              <w:widowControl w:val="0"/>
              <w:spacing w:line="4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市</w:t>
            </w:r>
            <w:r>
              <w:rPr>
                <w:rFonts w:hint="eastAsia" w:ascii="仿宋_GB2312" w:hAnsi="仿宋_GB2312" w:eastAsia="仿宋_GB2312" w:cs="仿宋_GB2312"/>
                <w:color w:val="auto"/>
                <w:sz w:val="28"/>
                <w:szCs w:val="28"/>
              </w:rPr>
              <w:t>政务大数据服务中心</w:t>
            </w:r>
          </w:p>
        </w:tc>
        <w:tc>
          <w:tcPr>
            <w:tcW w:w="10206" w:type="dxa"/>
            <w:vAlign w:val="center"/>
          </w:tcPr>
          <w:p>
            <w:pPr>
              <w:widowControl w:val="0"/>
              <w:tabs>
                <w:tab w:val="left" w:pos="840"/>
              </w:tabs>
              <w:spacing w:line="400" w:lineRule="exact"/>
              <w:jc w:val="both"/>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1.指导各</w:t>
            </w:r>
            <w:r>
              <w:rPr>
                <w:rFonts w:hint="eastAsia" w:ascii="仿宋_GB2312" w:hAnsi="仿宋_GB2312" w:eastAsia="仿宋_GB2312" w:cs="仿宋_GB2312"/>
                <w:color w:val="auto"/>
                <w:sz w:val="28"/>
                <w:szCs w:val="28"/>
                <w:lang w:eastAsia="zh-CN"/>
              </w:rPr>
              <w:t>县</w:t>
            </w:r>
            <w:r>
              <w:rPr>
                <w:rFonts w:hint="eastAsia" w:ascii="仿宋_GB2312" w:hAnsi="仿宋_GB2312" w:eastAsia="仿宋_GB2312" w:cs="仿宋_GB2312"/>
                <w:color w:val="auto"/>
                <w:sz w:val="28"/>
                <w:szCs w:val="28"/>
              </w:rPr>
              <w:t>（区）做好</w:t>
            </w:r>
            <w:r>
              <w:rPr>
                <w:rFonts w:hint="eastAsia" w:ascii="仿宋_GB2312" w:hAnsi="仿宋_GB2312" w:eastAsia="仿宋_GB2312" w:cs="仿宋_GB2312"/>
                <w:bCs/>
                <w:color w:val="auto"/>
                <w:sz w:val="28"/>
                <w:szCs w:val="28"/>
              </w:rPr>
              <w:t>将</w:t>
            </w:r>
            <w:r>
              <w:rPr>
                <w:rFonts w:hint="eastAsia" w:ascii="仿宋_GB2312" w:hAnsi="仿宋_GB2312" w:eastAsia="仿宋_GB2312" w:cs="仿宋_GB2312"/>
                <w:color w:val="auto"/>
                <w:sz w:val="28"/>
                <w:szCs w:val="28"/>
              </w:rPr>
              <w:t>个人身份证明、工程建设项目、房地产交易、规划许可、税收征缴、不动产统一登记及水、电、气、暖等服务单位相关系统与市级一体化政务服务平台联通，市级一体化政务服务平台与省一体化政务服务平台联通工作，实现单元代码全流程“一码关联”，得到授权后实现信息数据实时共享，业务“一窗受理、并行办理”。</w:t>
            </w:r>
          </w:p>
          <w:p>
            <w:pPr>
              <w:widowControl w:val="0"/>
              <w:tabs>
                <w:tab w:val="left" w:pos="1680"/>
              </w:tabs>
              <w:spacing w:line="400" w:lineRule="exact"/>
              <w:jc w:val="both"/>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2.指导</w:t>
            </w:r>
            <w:r>
              <w:rPr>
                <w:rFonts w:hint="eastAsia" w:ascii="仿宋_GB2312" w:hAnsi="仿宋_GB2312" w:eastAsia="仿宋_GB2312" w:cs="仿宋_GB2312"/>
                <w:color w:val="auto"/>
                <w:sz w:val="28"/>
                <w:szCs w:val="28"/>
                <w:lang w:eastAsia="zh-CN"/>
              </w:rPr>
              <w:t>县</w:t>
            </w:r>
            <w:r>
              <w:rPr>
                <w:rFonts w:hint="eastAsia" w:ascii="仿宋_GB2312" w:hAnsi="仿宋_GB2312" w:eastAsia="仿宋_GB2312" w:cs="仿宋_GB2312"/>
                <w:color w:val="auto"/>
                <w:sz w:val="28"/>
                <w:szCs w:val="28"/>
              </w:rPr>
              <w:t>（区）政务服务大厅按照改革要求公示统一办事流程、申报材料，加强业务培训，做好改革落地工作。</w:t>
            </w:r>
          </w:p>
        </w:tc>
        <w:tc>
          <w:tcPr>
            <w:tcW w:w="2126" w:type="dxa"/>
            <w:vAlign w:val="center"/>
          </w:tcPr>
          <w:p>
            <w:pPr>
              <w:widowControl w:val="0"/>
              <w:spacing w:line="4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全流程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51" w:hRule="atLeast"/>
        </w:trPr>
        <w:tc>
          <w:tcPr>
            <w:tcW w:w="1951" w:type="dxa"/>
            <w:vMerge w:val="restart"/>
            <w:vAlign w:val="center"/>
          </w:tcPr>
          <w:p>
            <w:pPr>
              <w:widowControl w:val="0"/>
              <w:spacing w:line="4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自然资源</w:t>
            </w:r>
            <w:r>
              <w:rPr>
                <w:rFonts w:hint="eastAsia" w:ascii="仿宋_GB2312" w:hAnsi="仿宋_GB2312" w:eastAsia="仿宋_GB2312" w:cs="仿宋_GB2312"/>
                <w:color w:val="auto"/>
                <w:sz w:val="28"/>
                <w:szCs w:val="28"/>
                <w:lang w:eastAsia="zh-CN"/>
              </w:rPr>
              <w:t>局</w:t>
            </w:r>
          </w:p>
        </w:tc>
        <w:tc>
          <w:tcPr>
            <w:tcW w:w="10206" w:type="dxa"/>
            <w:vAlign w:val="center"/>
          </w:tcPr>
          <w:p>
            <w:pPr>
              <w:widowControl w:val="0"/>
              <w:spacing w:line="400" w:lineRule="exact"/>
              <w:ind w:left="-108"/>
              <w:jc w:val="both"/>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1.已办理预告登记的，在办理转移、抵押登记时，未变化材料可直接沿用，不再重复收取。</w:t>
            </w:r>
          </w:p>
        </w:tc>
        <w:tc>
          <w:tcPr>
            <w:tcW w:w="2126" w:type="dxa"/>
            <w:vAlign w:val="center"/>
          </w:tcPr>
          <w:p>
            <w:pPr>
              <w:widowControl w:val="0"/>
              <w:spacing w:line="4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bCs/>
                <w:color w:val="auto"/>
                <w:sz w:val="28"/>
                <w:szCs w:val="28"/>
              </w:rPr>
              <w:t>建设预售阶段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962" w:hRule="atLeast"/>
        </w:trPr>
        <w:tc>
          <w:tcPr>
            <w:tcW w:w="1951" w:type="dxa"/>
            <w:vMerge w:val="continue"/>
            <w:vAlign w:val="center"/>
          </w:tcPr>
          <w:p>
            <w:pPr>
              <w:widowControl w:val="0"/>
              <w:spacing w:line="400" w:lineRule="exact"/>
              <w:jc w:val="center"/>
              <w:rPr>
                <w:rFonts w:ascii="仿宋_GB2312" w:hAnsi="仿宋_GB2312" w:eastAsia="仿宋_GB2312" w:cs="仿宋_GB2312"/>
                <w:color w:val="auto"/>
                <w:sz w:val="28"/>
                <w:szCs w:val="28"/>
              </w:rPr>
            </w:pPr>
          </w:p>
        </w:tc>
        <w:tc>
          <w:tcPr>
            <w:tcW w:w="10206" w:type="dxa"/>
            <w:vAlign w:val="center"/>
          </w:tcPr>
          <w:p>
            <w:pPr>
              <w:widowControl w:val="0"/>
              <w:spacing w:line="400" w:lineRule="exact"/>
              <w:jc w:val="both"/>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1.配合做好联合验收规划、土地工作。</w:t>
            </w:r>
          </w:p>
          <w:p>
            <w:pPr>
              <w:widowControl w:val="0"/>
              <w:spacing w:line="400" w:lineRule="exact"/>
              <w:jc w:val="both"/>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2.开发企业在竣工验收合格取得备案手续后，即可申请办理不动产首次登记。严格按照《不动产登记暂行条例实施细则》收取申请材料，任何没有法律法规依据的环节和材料不得作为登记受理前置条件。</w:t>
            </w:r>
          </w:p>
        </w:tc>
        <w:tc>
          <w:tcPr>
            <w:tcW w:w="2126" w:type="dxa"/>
            <w:vAlign w:val="center"/>
          </w:tcPr>
          <w:p>
            <w:pPr>
              <w:widowControl w:val="0"/>
              <w:spacing w:line="400" w:lineRule="exact"/>
              <w:jc w:val="center"/>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竣工验收阶段</w:t>
            </w:r>
          </w:p>
        </w:tc>
      </w:tr>
    </w:tbl>
    <w:p>
      <w:pPr>
        <w:rPr>
          <w:color w:val="auto"/>
        </w:rPr>
      </w:pPr>
      <w:r>
        <w:rPr>
          <w:color w:val="auto"/>
        </w:rPr>
        <w:br w:type="page"/>
      </w:r>
    </w:p>
    <w:tbl>
      <w:tblPr>
        <w:tblStyle w:val="8"/>
        <w:tblW w:w="1428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951"/>
        <w:gridCol w:w="10206"/>
        <w:gridCol w:w="21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8" w:hRule="atLeast"/>
        </w:trPr>
        <w:tc>
          <w:tcPr>
            <w:tcW w:w="1951" w:type="dxa"/>
            <w:vAlign w:val="center"/>
          </w:tcPr>
          <w:p>
            <w:pPr>
              <w:widowControl w:val="0"/>
              <w:spacing w:line="400" w:lineRule="exact"/>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责任部门</w:t>
            </w:r>
          </w:p>
        </w:tc>
        <w:tc>
          <w:tcPr>
            <w:tcW w:w="10206" w:type="dxa"/>
          </w:tcPr>
          <w:p>
            <w:pPr>
              <w:widowControl w:val="0"/>
              <w:spacing w:line="400" w:lineRule="exact"/>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任务清单</w:t>
            </w:r>
          </w:p>
        </w:tc>
        <w:tc>
          <w:tcPr>
            <w:tcW w:w="2126" w:type="dxa"/>
            <w:vAlign w:val="center"/>
          </w:tcPr>
          <w:p>
            <w:pPr>
              <w:widowControl w:val="0"/>
              <w:spacing w:line="400" w:lineRule="exact"/>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944" w:hRule="atLeast"/>
        </w:trPr>
        <w:tc>
          <w:tcPr>
            <w:tcW w:w="1951" w:type="dxa"/>
            <w:vAlign w:val="center"/>
          </w:tcPr>
          <w:p>
            <w:pPr>
              <w:widowControl w:val="0"/>
              <w:spacing w:line="4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自然资源</w:t>
            </w:r>
            <w:r>
              <w:rPr>
                <w:rFonts w:hint="eastAsia" w:ascii="仿宋_GB2312" w:hAnsi="仿宋_GB2312" w:eastAsia="仿宋_GB2312" w:cs="仿宋_GB2312"/>
                <w:color w:val="auto"/>
                <w:sz w:val="28"/>
                <w:szCs w:val="28"/>
                <w:lang w:eastAsia="zh-CN"/>
              </w:rPr>
              <w:t>局</w:t>
            </w:r>
          </w:p>
        </w:tc>
        <w:tc>
          <w:tcPr>
            <w:tcW w:w="10206" w:type="dxa"/>
            <w:vAlign w:val="center"/>
          </w:tcPr>
          <w:p>
            <w:pPr>
              <w:widowControl w:val="0"/>
              <w:spacing w:line="400" w:lineRule="exact"/>
              <w:jc w:val="both"/>
              <w:rPr>
                <w:rFonts w:ascii="仿宋_GB2312" w:hAnsi="仿宋_GB2312" w:eastAsia="仿宋_GB2312" w:cs="仿宋_GB2312"/>
                <w:color w:val="auto"/>
                <w:sz w:val="28"/>
                <w:szCs w:val="28"/>
              </w:rPr>
            </w:pPr>
          </w:p>
          <w:p>
            <w:pPr>
              <w:widowControl w:val="0"/>
              <w:spacing w:line="400" w:lineRule="exact"/>
              <w:jc w:val="both"/>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 严格按照《不动产登记暂行条例实施细则》收取申请材料，任何没有法律法规依据的环节和材料不得作为登记受理前置条件。可通过省市两级一体化政务平台获得电子证照和测绘信息，不得要求申请企业重复提供。</w:t>
            </w:r>
          </w:p>
          <w:p>
            <w:pPr>
              <w:widowControl w:val="0"/>
              <w:spacing w:line="400" w:lineRule="exact"/>
              <w:jc w:val="both"/>
              <w:rPr>
                <w:rFonts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4.</w:t>
            </w:r>
            <w:r>
              <w:rPr>
                <w:rFonts w:hint="eastAsia" w:ascii="仿宋_GB2312" w:hAnsi="仿宋_GB2312" w:eastAsia="仿宋_GB2312" w:cs="仿宋_GB2312"/>
                <w:bCs/>
                <w:color w:val="auto"/>
                <w:sz w:val="28"/>
                <w:szCs w:val="28"/>
              </w:rPr>
              <w:t>进一步加强规划、土地、建设、房地产交易、税务、金融与不动产统一登记全流程业务协同联动。</w:t>
            </w:r>
          </w:p>
          <w:p>
            <w:pPr>
              <w:widowControl w:val="0"/>
              <w:spacing w:line="400" w:lineRule="exact"/>
              <w:jc w:val="both"/>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5.将首次登记与转移登记同步办理，</w:t>
            </w:r>
          </w:p>
          <w:p>
            <w:pPr>
              <w:widowControl w:val="0"/>
              <w:spacing w:line="400" w:lineRule="exact"/>
              <w:jc w:val="both"/>
              <w:rPr>
                <w:rFonts w:ascii="仿宋_GB2312" w:hAnsi="仿宋_GB2312" w:eastAsia="仿宋_GB2312" w:cs="仿宋_GB2312"/>
                <w:color w:val="auto"/>
                <w:sz w:val="28"/>
                <w:szCs w:val="28"/>
              </w:rPr>
            </w:pPr>
            <w:r>
              <w:rPr>
                <w:rFonts w:hint="eastAsia" w:ascii="仿宋_GB2312" w:hAnsi="仿宋_GB2312" w:eastAsia="仿宋_GB2312" w:cs="仿宋_GB2312"/>
                <w:bCs/>
                <w:color w:val="auto"/>
                <w:sz w:val="28"/>
                <w:szCs w:val="28"/>
              </w:rPr>
              <w:t>6.创新登记服务举措，推行上门服务、预约服务、延时服务等，努力提高工作效能，方便企业和群众办事。</w:t>
            </w:r>
          </w:p>
        </w:tc>
        <w:tc>
          <w:tcPr>
            <w:tcW w:w="2126" w:type="dxa"/>
            <w:vAlign w:val="center"/>
          </w:tcPr>
          <w:p>
            <w:pPr>
              <w:widowControl w:val="0"/>
              <w:spacing w:line="400" w:lineRule="exact"/>
              <w:ind w:left="5250" w:firstLine="640"/>
              <w:jc w:val="center"/>
              <w:rPr>
                <w:rFonts w:ascii="仿宋_GB2312" w:hAnsi="仿宋_GB2312" w:eastAsia="仿宋_GB2312" w:cs="仿宋_GB2312"/>
                <w:bCs/>
                <w:color w:val="auto"/>
                <w:sz w:val="28"/>
                <w:szCs w:val="28"/>
              </w:rPr>
            </w:pPr>
            <w:r>
              <w:rPr>
                <w:rFonts w:ascii="仿宋_GB2312" w:eastAsia="仿宋_GB2312"/>
                <w:snapToGrid/>
                <w:color w:val="auto"/>
                <w:sz w:val="32"/>
                <w:szCs w:val="32"/>
              </w:rPr>
              <mc:AlternateContent>
                <mc:Choice Requires="wps">
                  <w:drawing>
                    <wp:anchor distT="0" distB="0" distL="114300" distR="114300" simplePos="0" relativeHeight="251662336" behindDoc="0" locked="0" layoutInCell="1" allowOverlap="1">
                      <wp:simplePos x="0" y="0"/>
                      <wp:positionH relativeFrom="column">
                        <wp:posOffset>-25400</wp:posOffset>
                      </wp:positionH>
                      <wp:positionV relativeFrom="paragraph">
                        <wp:posOffset>1233170</wp:posOffset>
                      </wp:positionV>
                      <wp:extent cx="1257300" cy="371475"/>
                      <wp:effectExtent l="4445" t="4445" r="14605" b="5080"/>
                      <wp:wrapNone/>
                      <wp:docPr id="5" name="文本框 5"/>
                      <wp:cNvGraphicFramePr/>
                      <a:graphic xmlns:a="http://schemas.openxmlformats.org/drawingml/2006/main">
                        <a:graphicData uri="http://schemas.microsoft.com/office/word/2010/wordprocessingShape">
                          <wps:wsp>
                            <wps:cNvSpPr txBox="1"/>
                            <wps:spPr>
                              <a:xfrm>
                                <a:off x="0" y="0"/>
                                <a:ext cx="1257300" cy="37147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pacing w:val="-8"/>
                                    </w:rPr>
                                  </w:pPr>
                                  <w:r>
                                    <w:rPr>
                                      <w:rFonts w:hint="eastAsia" w:ascii="仿宋_GB2312" w:hAnsi="仿宋_GB2312" w:eastAsia="仿宋_GB2312" w:cs="仿宋_GB2312"/>
                                      <w:bCs/>
                                      <w:color w:val="auto"/>
                                      <w:spacing w:val="-8"/>
                                      <w:sz w:val="28"/>
                                      <w:szCs w:val="28"/>
                                    </w:rPr>
                                    <w:t>竣工验收阶段</w:t>
                                  </w:r>
                                </w:p>
                              </w:txbxContent>
                            </wps:txbx>
                            <wps:bodyPr upright="1"/>
                          </wps:wsp>
                        </a:graphicData>
                      </a:graphic>
                    </wp:anchor>
                  </w:drawing>
                </mc:Choice>
                <mc:Fallback>
                  <w:pict>
                    <v:shape id="_x0000_s1026" o:spid="_x0000_s1026" o:spt="202" type="#_x0000_t202" style="position:absolute;left:0pt;margin-left:-2pt;margin-top:97.1pt;height:29.25pt;width:99pt;z-index:251662336;mso-width-relative:page;mso-height-relative:page;" fillcolor="#FFFFFF" filled="t" stroked="t" coordsize="21600,21600" o:gfxdata="UEsDBAoAAAAAAIdO4kAAAAAAAAAAAAAAAAAEAAAAZHJzL1BLAwQUAAAACACHTuJA7Hadu9cAAAAK&#10;AQAADwAAAGRycy9kb3ducmV2LnhtbE2PzU7DMBCE70i8g7VIXFBr1yo/DXEqVIE4t3Dh5sbbJCJe&#10;J7HbtDw9mxMcd3Y0802+PvtWnHCITSADi7kCgVQG11Bl4PPjbfYEIiZLzraB0MAFI6yL66vcZi6M&#10;tMXTLlWCQyhm1kCdUpdJGcsavY3z0CHx7xAGbxOfQyXdYEcO963USj1Ibxvihtp2uKmx/N4dvYEw&#10;vl58wF7pu68f/7556bcH3Rtze7NQzyASntOfGSZ8RoeCmfbhSC6K1sBsyVMS66ulBjEZVpOyN6Dv&#10;9SPIIpf/JxS/UEsDBBQAAAAIAIdO4kA0CC8h7QEAAOgDAAAOAAAAZHJzL2Uyb0RvYy54bWytU0uO&#10;EzEQ3SNxB8t70p0MIRClMxKEsEGANHCAiu3utuSfXJ505wJwA1Zs2HOunGPKzkyGgc0I0Qt32VX1&#10;XO9VeXU5WsP2KqL2ruHTSc2ZcsJL7bqGf/m8ffaSM0zgJBjvVMMPCvnl+umT1RCWauZ7b6SKjEAc&#10;LofQ8D6lsKwqFL2ygBMflCNn66OFRNvYVTLCQOjWVLO6flENPsoQvVCIdLo5Ofm64LetEulj26JK&#10;zDScaktljWXd5bVar2DZRQi9FrdlwD9UYUE7uvQMtYEE7Drqv6CsFtGjb9NEeFv5ttVCFQ7EZlr/&#10;weaqh6AKFxIHw1km/H+w4sP+U2RaNnzOmQNLLTp+/3b88ev48yubZ3mGgEuKugoUl8bXfqQ2350j&#10;HWbWYxtt/hMfRn4S+nAWV42JiZw0my8uanIJ8l0sps8XBb66zw4R0zvlLctGwyM1r2gK+/eYqBIK&#10;vQvJl6E3Wm61MWUTu90bE9keqNHb8uUiKeVBmHFsaPir+YzYCqB5aw0kMm0gBdB15b4HGfg44FzY&#10;BrA/FVAQTrNldVKxTFmvQL51kqVDIJUdPQeei7FKcmYUvZ5slcgE2jwmktgZRyRzi06tyFYadyPB&#10;ZHPn5YHadh2i7nqStDSuhNM4FXVuRz/P6+/7Anr/QNc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7Hadu9cAAAAKAQAADwAAAAAAAAABACAAAAAiAAAAZHJzL2Rvd25yZXYueG1sUEsBAhQAFAAAAAgA&#10;h07iQDQILyHtAQAA6AMAAA4AAAAAAAAAAQAgAAAAJgEAAGRycy9lMm9Eb2MueG1sUEsFBgAAAAAG&#10;AAYAWQEAAIUFAAAAAA==&#10;">
                      <v:fill on="t" focussize="0,0"/>
                      <v:stroke color="#FFFFFF" joinstyle="miter"/>
                      <v:imagedata o:title=""/>
                      <o:lock v:ext="edit" aspectratio="f"/>
                      <v:textbox>
                        <w:txbxContent>
                          <w:p>
                            <w:pPr>
                              <w:rPr>
                                <w:spacing w:val="-8"/>
                              </w:rPr>
                            </w:pPr>
                            <w:r>
                              <w:rPr>
                                <w:rFonts w:hint="eastAsia" w:ascii="仿宋_GB2312" w:hAnsi="仿宋_GB2312" w:eastAsia="仿宋_GB2312" w:cs="仿宋_GB2312"/>
                                <w:bCs/>
                                <w:color w:val="auto"/>
                                <w:spacing w:val="-8"/>
                                <w:sz w:val="28"/>
                                <w:szCs w:val="28"/>
                              </w:rPr>
                              <w:t>竣工验收阶段</w:t>
                            </w:r>
                          </w:p>
                        </w:txbxContent>
                      </v:textbox>
                    </v:shape>
                  </w:pict>
                </mc:Fallback>
              </mc:AlternateContent>
            </w:r>
            <w:r>
              <w:rPr>
                <w:rFonts w:hint="eastAsia" w:ascii="仿宋_GB2312" w:hAnsi="仿宋_GB2312" w:eastAsia="仿宋_GB2312" w:cs="仿宋_GB2312"/>
                <w:bCs/>
                <w:color w:val="auto"/>
                <w:sz w:val="28"/>
                <w:szCs w:val="28"/>
              </w:rPr>
              <w:t>竣工验收阶段竣工验收阶段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863" w:hRule="atLeast"/>
        </w:trPr>
        <w:tc>
          <w:tcPr>
            <w:tcW w:w="1951" w:type="dxa"/>
            <w:vAlign w:val="center"/>
          </w:tcPr>
          <w:p>
            <w:pPr>
              <w:widowControl w:val="0"/>
              <w:spacing w:line="4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自然资源</w:t>
            </w:r>
            <w:r>
              <w:rPr>
                <w:rFonts w:hint="eastAsia" w:ascii="仿宋_GB2312" w:hAnsi="仿宋_GB2312" w:eastAsia="仿宋_GB2312" w:cs="仿宋_GB2312"/>
                <w:color w:val="auto"/>
                <w:sz w:val="28"/>
                <w:szCs w:val="28"/>
                <w:lang w:eastAsia="zh-CN"/>
              </w:rPr>
              <w:t>局</w:t>
            </w:r>
          </w:p>
        </w:tc>
        <w:tc>
          <w:tcPr>
            <w:tcW w:w="10206" w:type="dxa"/>
            <w:vAlign w:val="center"/>
          </w:tcPr>
          <w:p>
            <w:pPr>
              <w:widowControl w:val="0"/>
              <w:tabs>
                <w:tab w:val="left" w:pos="2100"/>
              </w:tabs>
              <w:spacing w:line="400" w:lineRule="exact"/>
              <w:jc w:val="both"/>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1.按照“交房即交证”改革要求，牵头建立全</w:t>
            </w:r>
            <w:r>
              <w:rPr>
                <w:rFonts w:hint="eastAsia" w:ascii="仿宋_GB2312" w:hAnsi="仿宋_GB2312" w:eastAsia="仿宋_GB2312" w:cs="仿宋_GB2312"/>
                <w:color w:val="auto"/>
                <w:sz w:val="28"/>
                <w:szCs w:val="28"/>
                <w:lang w:eastAsia="zh-CN"/>
              </w:rPr>
              <w:t>市</w:t>
            </w:r>
            <w:r>
              <w:rPr>
                <w:rFonts w:hint="eastAsia" w:ascii="仿宋_GB2312" w:hAnsi="仿宋_GB2312" w:eastAsia="仿宋_GB2312" w:cs="仿宋_GB2312"/>
                <w:color w:val="auto"/>
                <w:sz w:val="28"/>
                <w:szCs w:val="28"/>
              </w:rPr>
              <w:t>统一联办机制、规范办事流程、简化申报方式、统一受理方式、统一出件方式。</w:t>
            </w:r>
          </w:p>
          <w:p>
            <w:pPr>
              <w:widowControl w:val="0"/>
              <w:tabs>
                <w:tab w:val="left" w:pos="2100"/>
              </w:tabs>
              <w:spacing w:line="400" w:lineRule="exact"/>
              <w:jc w:val="both"/>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2.指导各</w:t>
            </w:r>
            <w:r>
              <w:rPr>
                <w:rFonts w:hint="eastAsia" w:ascii="仿宋_GB2312" w:hAnsi="仿宋_GB2312" w:eastAsia="仿宋_GB2312" w:cs="仿宋_GB2312"/>
                <w:color w:val="auto"/>
                <w:sz w:val="28"/>
                <w:szCs w:val="28"/>
                <w:lang w:eastAsia="zh-CN"/>
              </w:rPr>
              <w:t>县</w:t>
            </w:r>
            <w:r>
              <w:rPr>
                <w:rFonts w:hint="eastAsia" w:ascii="仿宋_GB2312" w:hAnsi="仿宋_GB2312" w:eastAsia="仿宋_GB2312" w:cs="仿宋_GB2312"/>
                <w:color w:val="auto"/>
                <w:sz w:val="28"/>
                <w:szCs w:val="28"/>
              </w:rPr>
              <w:t>（区）不动产登记大厅按照改革要求公示统一办事流程、申报材料，加强业务培训，做好改革落地工作。</w:t>
            </w:r>
          </w:p>
          <w:p>
            <w:pPr>
              <w:widowControl w:val="0"/>
              <w:tabs>
                <w:tab w:val="left" w:pos="2100"/>
              </w:tabs>
              <w:spacing w:line="400" w:lineRule="exact"/>
              <w:jc w:val="both"/>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3.指导各</w:t>
            </w:r>
            <w:r>
              <w:rPr>
                <w:rFonts w:hint="eastAsia" w:ascii="仿宋_GB2312" w:hAnsi="仿宋_GB2312" w:eastAsia="仿宋_GB2312" w:cs="仿宋_GB2312"/>
                <w:color w:val="auto"/>
                <w:sz w:val="28"/>
                <w:szCs w:val="28"/>
                <w:lang w:eastAsia="zh-CN"/>
              </w:rPr>
              <w:t>县</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（区）做好规划许可、不动产统一登记系统与市级一体化政务服务平台联通工作。</w:t>
            </w:r>
          </w:p>
        </w:tc>
        <w:tc>
          <w:tcPr>
            <w:tcW w:w="2126" w:type="dxa"/>
            <w:vAlign w:val="center"/>
          </w:tcPr>
          <w:p>
            <w:pPr>
              <w:widowControl w:val="0"/>
              <w:spacing w:line="400" w:lineRule="exact"/>
              <w:jc w:val="center"/>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全流程</w:t>
            </w:r>
          </w:p>
        </w:tc>
      </w:tr>
    </w:tbl>
    <w:p>
      <w:pPr>
        <w:rPr>
          <w:rFonts w:ascii="仿宋" w:hAnsi="仿宋" w:eastAsia="仿宋"/>
          <w:color w:val="auto"/>
          <w:sz w:val="28"/>
          <w:szCs w:val="28"/>
        </w:rPr>
      </w:pPr>
    </w:p>
    <w:tbl>
      <w:tblPr>
        <w:tblStyle w:val="8"/>
        <w:tblW w:w="1428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951"/>
        <w:gridCol w:w="10206"/>
        <w:gridCol w:w="21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951" w:type="dxa"/>
            <w:vAlign w:val="center"/>
          </w:tcPr>
          <w:p>
            <w:pPr>
              <w:widowControl w:val="0"/>
              <w:spacing w:line="400" w:lineRule="exact"/>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责任部门</w:t>
            </w:r>
          </w:p>
        </w:tc>
        <w:tc>
          <w:tcPr>
            <w:tcW w:w="10206" w:type="dxa"/>
          </w:tcPr>
          <w:p>
            <w:pPr>
              <w:widowControl w:val="0"/>
              <w:spacing w:line="400" w:lineRule="exact"/>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任务清单</w:t>
            </w:r>
          </w:p>
        </w:tc>
        <w:tc>
          <w:tcPr>
            <w:tcW w:w="2126" w:type="dxa"/>
            <w:vAlign w:val="center"/>
          </w:tcPr>
          <w:p>
            <w:pPr>
              <w:widowControl w:val="0"/>
              <w:spacing w:line="400" w:lineRule="exact"/>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96" w:hRule="atLeast"/>
        </w:trPr>
        <w:tc>
          <w:tcPr>
            <w:tcW w:w="1951" w:type="dxa"/>
            <w:vMerge w:val="restart"/>
            <w:vAlign w:val="center"/>
          </w:tcPr>
          <w:p>
            <w:pPr>
              <w:widowControl w:val="0"/>
              <w:spacing w:line="4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住建</w:t>
            </w:r>
            <w:r>
              <w:rPr>
                <w:rFonts w:hint="eastAsia" w:ascii="仿宋_GB2312" w:hAnsi="仿宋_GB2312" w:eastAsia="仿宋_GB2312" w:cs="仿宋_GB2312"/>
                <w:color w:val="auto"/>
                <w:sz w:val="28"/>
                <w:szCs w:val="28"/>
                <w:lang w:eastAsia="zh-CN"/>
              </w:rPr>
              <w:t>局</w:t>
            </w:r>
          </w:p>
        </w:tc>
        <w:tc>
          <w:tcPr>
            <w:tcW w:w="10206" w:type="dxa"/>
            <w:vAlign w:val="center"/>
          </w:tcPr>
          <w:p>
            <w:pPr>
              <w:widowControl w:val="0"/>
              <w:spacing w:line="400" w:lineRule="exact"/>
              <w:jc w:val="both"/>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1.在商品房买卖合同示范文本中增加“交房即交证”选择性条款,明确交房交证时间、条件和双方权利义务。</w:t>
            </w:r>
          </w:p>
          <w:p>
            <w:pPr>
              <w:widowControl w:val="0"/>
              <w:spacing w:line="400" w:lineRule="exact"/>
              <w:jc w:val="both"/>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2.商品房买卖合同示范文本中增加约定办理不动产预告登记的选择性条款。</w:t>
            </w:r>
          </w:p>
        </w:tc>
        <w:tc>
          <w:tcPr>
            <w:tcW w:w="2126" w:type="dxa"/>
            <w:vAlign w:val="center"/>
          </w:tcPr>
          <w:p>
            <w:pPr>
              <w:widowControl w:val="0"/>
              <w:spacing w:line="400" w:lineRule="exact"/>
              <w:rPr>
                <w:rFonts w:ascii="仿宋_GB2312" w:hAnsi="仿宋_GB2312" w:eastAsia="仿宋_GB2312" w:cs="仿宋_GB2312"/>
                <w:color w:val="auto"/>
                <w:sz w:val="28"/>
                <w:szCs w:val="28"/>
              </w:rPr>
            </w:pPr>
            <w:r>
              <w:rPr>
                <w:rFonts w:hint="eastAsia" w:ascii="仿宋_GB2312" w:hAnsi="仿宋_GB2312" w:eastAsia="仿宋_GB2312" w:cs="仿宋_GB2312"/>
                <w:bCs/>
                <w:color w:val="auto"/>
                <w:sz w:val="28"/>
                <w:szCs w:val="28"/>
              </w:rPr>
              <w:t>建设预售阶段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951" w:type="dxa"/>
            <w:vMerge w:val="continue"/>
            <w:vAlign w:val="center"/>
          </w:tcPr>
          <w:p>
            <w:pPr>
              <w:widowControl w:val="0"/>
              <w:spacing w:line="400" w:lineRule="exact"/>
              <w:jc w:val="center"/>
              <w:rPr>
                <w:rFonts w:ascii="仿宋_GB2312" w:hAnsi="仿宋_GB2312" w:eastAsia="仿宋_GB2312" w:cs="仿宋_GB2312"/>
                <w:color w:val="auto"/>
                <w:sz w:val="28"/>
                <w:szCs w:val="28"/>
              </w:rPr>
            </w:pPr>
          </w:p>
        </w:tc>
        <w:tc>
          <w:tcPr>
            <w:tcW w:w="10206" w:type="dxa"/>
            <w:vAlign w:val="center"/>
          </w:tcPr>
          <w:p>
            <w:pPr>
              <w:widowControl w:val="0"/>
              <w:tabs>
                <w:tab w:val="left" w:pos="2310"/>
              </w:tabs>
              <w:spacing w:line="400" w:lineRule="exact"/>
              <w:jc w:val="both"/>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1.严格执行全省工程建设项目审批制度改革有关联合验收的规定，压实各</w:t>
            </w:r>
            <w:r>
              <w:rPr>
                <w:rFonts w:hint="eastAsia" w:ascii="仿宋_GB2312" w:hAnsi="仿宋_GB2312" w:eastAsia="仿宋_GB2312" w:cs="仿宋_GB2312"/>
                <w:color w:val="auto"/>
                <w:sz w:val="28"/>
                <w:szCs w:val="28"/>
                <w:lang w:eastAsia="zh-CN"/>
              </w:rPr>
              <w:t>级</w:t>
            </w:r>
            <w:r>
              <w:rPr>
                <w:rFonts w:hint="eastAsia" w:ascii="仿宋_GB2312" w:hAnsi="仿宋_GB2312" w:eastAsia="仿宋_GB2312" w:cs="仿宋_GB2312"/>
                <w:color w:val="auto"/>
                <w:sz w:val="28"/>
                <w:szCs w:val="28"/>
              </w:rPr>
              <w:t>联合验收的牵头部门、参与部门责任。</w:t>
            </w:r>
          </w:p>
          <w:p>
            <w:pPr>
              <w:widowControl w:val="0"/>
              <w:tabs>
                <w:tab w:val="left" w:pos="2310"/>
              </w:tabs>
              <w:spacing w:line="400" w:lineRule="exact"/>
              <w:jc w:val="both"/>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2.严格按照规划设计指标核实相关数据，提前做好“期转现”数据核实、土地指标核算、配套用房确认等工作。</w:t>
            </w:r>
          </w:p>
          <w:p>
            <w:pPr>
              <w:widowControl w:val="0"/>
              <w:tabs>
                <w:tab w:val="left" w:pos="2310"/>
              </w:tabs>
              <w:spacing w:line="400" w:lineRule="exact"/>
              <w:jc w:val="both"/>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3.在确保房屋建筑安全配套设施完善的前提下,将“竣工结算资料备案”等事项调整到竣工验收备案后。</w:t>
            </w:r>
          </w:p>
        </w:tc>
        <w:tc>
          <w:tcPr>
            <w:tcW w:w="2126" w:type="dxa"/>
            <w:vAlign w:val="center"/>
          </w:tcPr>
          <w:p>
            <w:pPr>
              <w:widowControl w:val="0"/>
              <w:spacing w:line="400" w:lineRule="exact"/>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竣工验收阶段</w:t>
            </w:r>
          </w:p>
          <w:p>
            <w:pPr>
              <w:widowControl w:val="0"/>
              <w:spacing w:line="400" w:lineRule="exact"/>
              <w:rPr>
                <w:rFonts w:ascii="仿宋_GB2312" w:hAnsi="仿宋_GB2312" w:eastAsia="仿宋_GB2312" w:cs="仿宋_GB2312"/>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951" w:type="dxa"/>
            <w:vMerge w:val="continue"/>
            <w:vAlign w:val="center"/>
          </w:tcPr>
          <w:p>
            <w:pPr>
              <w:widowControl w:val="0"/>
              <w:spacing w:line="400" w:lineRule="exact"/>
              <w:jc w:val="center"/>
              <w:rPr>
                <w:rFonts w:ascii="仿宋_GB2312" w:hAnsi="仿宋_GB2312" w:eastAsia="仿宋_GB2312" w:cs="仿宋_GB2312"/>
                <w:color w:val="auto"/>
                <w:sz w:val="28"/>
                <w:szCs w:val="28"/>
              </w:rPr>
            </w:pPr>
          </w:p>
        </w:tc>
        <w:tc>
          <w:tcPr>
            <w:tcW w:w="10206" w:type="dxa"/>
            <w:vAlign w:val="center"/>
          </w:tcPr>
          <w:p>
            <w:pPr>
              <w:widowControl w:val="0"/>
              <w:tabs>
                <w:tab w:val="left" w:pos="2310"/>
              </w:tabs>
              <w:spacing w:line="400" w:lineRule="exact"/>
              <w:jc w:val="both"/>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1.落实全程监管，做到问题“早发现、早制止、早处理”，严格要求开发企业按照经审查的建设工程规划许可及其附图实施项目建设，不得随意变更，确需变更的应重新报原审批部门审核。</w:t>
            </w:r>
          </w:p>
          <w:p>
            <w:pPr>
              <w:widowControl w:val="0"/>
              <w:tabs>
                <w:tab w:val="left" w:pos="2310"/>
              </w:tabs>
              <w:spacing w:line="400" w:lineRule="exact"/>
              <w:jc w:val="both"/>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2.严格落实预售资金监管制度，确保所有预售资金直接存入监管账户，优先用于支付工程建设款。建立联合执法工作机制，依法严厉打击房地产市场违法违规行为。</w:t>
            </w:r>
          </w:p>
          <w:p>
            <w:pPr>
              <w:widowControl w:val="0"/>
              <w:tabs>
                <w:tab w:val="left" w:pos="2310"/>
              </w:tabs>
              <w:spacing w:line="400" w:lineRule="exact"/>
              <w:jc w:val="both"/>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3.指导各</w:t>
            </w:r>
            <w:r>
              <w:rPr>
                <w:rFonts w:hint="eastAsia" w:ascii="仿宋_GB2312" w:hAnsi="仿宋_GB2312" w:eastAsia="仿宋_GB2312" w:cs="仿宋_GB2312"/>
                <w:color w:val="auto"/>
                <w:sz w:val="28"/>
                <w:szCs w:val="28"/>
                <w:lang w:eastAsia="zh-CN"/>
              </w:rPr>
              <w:t>县</w:t>
            </w:r>
            <w:r>
              <w:rPr>
                <w:rFonts w:hint="eastAsia" w:ascii="仿宋_GB2312" w:hAnsi="仿宋_GB2312" w:eastAsia="仿宋_GB2312" w:cs="仿宋_GB2312"/>
                <w:color w:val="auto"/>
                <w:sz w:val="28"/>
                <w:szCs w:val="28"/>
              </w:rPr>
              <w:t>（区）做好工程建设项目、房地产交易系统与市级一体化政务服务平台联通工作。</w:t>
            </w:r>
          </w:p>
        </w:tc>
        <w:tc>
          <w:tcPr>
            <w:tcW w:w="2126" w:type="dxa"/>
            <w:vAlign w:val="center"/>
          </w:tcPr>
          <w:p>
            <w:pPr>
              <w:widowControl w:val="0"/>
              <w:spacing w:line="400" w:lineRule="exact"/>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全流程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43" w:hRule="atLeast"/>
        </w:trPr>
        <w:tc>
          <w:tcPr>
            <w:tcW w:w="1951" w:type="dxa"/>
            <w:vAlign w:val="center"/>
          </w:tcPr>
          <w:p>
            <w:pPr>
              <w:widowControl w:val="0"/>
              <w:spacing w:line="400" w:lineRule="exact"/>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责任部门</w:t>
            </w:r>
          </w:p>
        </w:tc>
        <w:tc>
          <w:tcPr>
            <w:tcW w:w="10206" w:type="dxa"/>
            <w:vAlign w:val="center"/>
          </w:tcPr>
          <w:p>
            <w:pPr>
              <w:widowControl w:val="0"/>
              <w:spacing w:line="400" w:lineRule="exact"/>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任务清单</w:t>
            </w:r>
          </w:p>
        </w:tc>
        <w:tc>
          <w:tcPr>
            <w:tcW w:w="2126" w:type="dxa"/>
            <w:vAlign w:val="center"/>
          </w:tcPr>
          <w:p>
            <w:pPr>
              <w:widowControl w:val="0"/>
              <w:spacing w:line="400" w:lineRule="exact"/>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980" w:hRule="atLeast"/>
        </w:trPr>
        <w:tc>
          <w:tcPr>
            <w:tcW w:w="1951" w:type="dxa"/>
            <w:vAlign w:val="center"/>
          </w:tcPr>
          <w:p>
            <w:pPr>
              <w:widowControl w:val="0"/>
              <w:spacing w:line="4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各有关部门</w:t>
            </w:r>
          </w:p>
        </w:tc>
        <w:tc>
          <w:tcPr>
            <w:tcW w:w="10206" w:type="dxa"/>
            <w:vAlign w:val="center"/>
          </w:tcPr>
          <w:p>
            <w:pPr>
              <w:widowControl w:val="0"/>
              <w:spacing w:line="400" w:lineRule="exact"/>
              <w:jc w:val="both"/>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将“交房即交证”改革中开发企业违法失信情况纳入房地产行业信用信息和不动产统一登记领域信用信息归集范围，共享至各级信用信息共享平台，通过“信用中国（陕西）”网站等渠道依法向社会公开，对存在严重失信行为的开发企业依法依规实施了联合惩戒。</w:t>
            </w:r>
          </w:p>
        </w:tc>
        <w:tc>
          <w:tcPr>
            <w:tcW w:w="2126" w:type="dxa"/>
            <w:vAlign w:val="center"/>
          </w:tcPr>
          <w:p>
            <w:pPr>
              <w:widowControl w:val="0"/>
              <w:spacing w:line="4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bCs/>
                <w:color w:val="auto"/>
                <w:sz w:val="28"/>
                <w:szCs w:val="28"/>
              </w:rPr>
              <w:t>全流程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54" w:hRule="atLeast"/>
        </w:trPr>
        <w:tc>
          <w:tcPr>
            <w:tcW w:w="1951" w:type="dxa"/>
            <w:vAlign w:val="center"/>
          </w:tcPr>
          <w:p>
            <w:pPr>
              <w:widowControl w:val="0"/>
              <w:spacing w:line="4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税务局</w:t>
            </w:r>
          </w:p>
        </w:tc>
        <w:tc>
          <w:tcPr>
            <w:tcW w:w="10206" w:type="dxa"/>
            <w:vAlign w:val="center"/>
          </w:tcPr>
          <w:p>
            <w:pPr>
              <w:widowControl w:val="0"/>
              <w:spacing w:line="400" w:lineRule="exact"/>
              <w:jc w:val="both"/>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指导各市（区）做好税收征管系统与市级一体化政务服务平台联通工作。</w:t>
            </w:r>
          </w:p>
        </w:tc>
        <w:tc>
          <w:tcPr>
            <w:tcW w:w="2126" w:type="dxa"/>
            <w:vAlign w:val="center"/>
          </w:tcPr>
          <w:p>
            <w:pPr>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全流程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470" w:hRule="atLeast"/>
        </w:trPr>
        <w:tc>
          <w:tcPr>
            <w:tcW w:w="1951" w:type="dxa"/>
            <w:vAlign w:val="center"/>
          </w:tcPr>
          <w:p>
            <w:pPr>
              <w:widowControl w:val="0"/>
              <w:spacing w:line="4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开发企业</w:t>
            </w:r>
          </w:p>
        </w:tc>
        <w:tc>
          <w:tcPr>
            <w:tcW w:w="10206" w:type="dxa"/>
            <w:vAlign w:val="center"/>
          </w:tcPr>
          <w:p>
            <w:pPr>
              <w:widowControl w:val="0"/>
              <w:spacing w:line="400" w:lineRule="exact"/>
              <w:jc w:val="both"/>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1.在商品房买卖合同规定交房日期</w:t>
            </w:r>
            <w:r>
              <w:rPr>
                <w:rFonts w:ascii="仿宋_GB2312" w:hAnsi="仿宋_GB2312" w:eastAsia="仿宋_GB2312" w:cs="仿宋_GB2312"/>
                <w:color w:val="auto"/>
                <w:sz w:val="28"/>
                <w:szCs w:val="28"/>
              </w:rPr>
              <w:t>前60个工作日以书面方式，向购房人告知收房通知、办证申请、契税及维修资金交存方式、提交材料期限等相关信息</w:t>
            </w:r>
            <w:r>
              <w:rPr>
                <w:rFonts w:hint="eastAsia" w:ascii="仿宋_GB2312" w:hAnsi="仿宋_GB2312" w:eastAsia="仿宋_GB2312" w:cs="仿宋_GB2312"/>
                <w:color w:val="auto"/>
                <w:sz w:val="28"/>
                <w:szCs w:val="28"/>
              </w:rPr>
              <w:t>。</w:t>
            </w:r>
          </w:p>
          <w:p>
            <w:pPr>
              <w:widowControl w:val="0"/>
              <w:spacing w:line="400" w:lineRule="exact"/>
              <w:jc w:val="both"/>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2.在取得购房者授权委托后，将首次登记与转移登记同步办理，做好在交房同时即可交证的工作准备。</w:t>
            </w:r>
          </w:p>
        </w:tc>
        <w:tc>
          <w:tcPr>
            <w:tcW w:w="2126" w:type="dxa"/>
            <w:vAlign w:val="center"/>
          </w:tcPr>
          <w:p>
            <w:pPr>
              <w:widowControl w:val="0"/>
              <w:spacing w:line="4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bCs/>
                <w:color w:val="auto"/>
                <w:sz w:val="28"/>
                <w:szCs w:val="28"/>
              </w:rPr>
              <w:t>交房交证阶段</w:t>
            </w:r>
          </w:p>
        </w:tc>
      </w:tr>
    </w:tbl>
    <w:p>
      <w:bookmarkStart w:id="0" w:name="_GoBack"/>
      <w:bookmarkEnd w:id="0"/>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创艺简">
    <w:altName w:val="Segoe Print"/>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D393A"/>
    <w:rsid w:val="00D77BAC"/>
    <w:rsid w:val="00FD3304"/>
    <w:rsid w:val="0115734F"/>
    <w:rsid w:val="01DB3B92"/>
    <w:rsid w:val="02597ECB"/>
    <w:rsid w:val="027337BF"/>
    <w:rsid w:val="02B74B72"/>
    <w:rsid w:val="02EC45EE"/>
    <w:rsid w:val="03674D58"/>
    <w:rsid w:val="039250B0"/>
    <w:rsid w:val="03CC065B"/>
    <w:rsid w:val="042774AB"/>
    <w:rsid w:val="05304645"/>
    <w:rsid w:val="054E4061"/>
    <w:rsid w:val="054F3F77"/>
    <w:rsid w:val="06354CA5"/>
    <w:rsid w:val="06364C7A"/>
    <w:rsid w:val="06380D89"/>
    <w:rsid w:val="06C45BAB"/>
    <w:rsid w:val="07526280"/>
    <w:rsid w:val="07815A8C"/>
    <w:rsid w:val="07D05FC7"/>
    <w:rsid w:val="082230B9"/>
    <w:rsid w:val="082B477F"/>
    <w:rsid w:val="08816774"/>
    <w:rsid w:val="089E622F"/>
    <w:rsid w:val="09797C81"/>
    <w:rsid w:val="097E45C4"/>
    <w:rsid w:val="09831095"/>
    <w:rsid w:val="09D670F2"/>
    <w:rsid w:val="09EB5684"/>
    <w:rsid w:val="0A7B17A6"/>
    <w:rsid w:val="0B153AEF"/>
    <w:rsid w:val="0B230EC9"/>
    <w:rsid w:val="0B28239F"/>
    <w:rsid w:val="0B643E2C"/>
    <w:rsid w:val="0BD343CD"/>
    <w:rsid w:val="0BE24AE7"/>
    <w:rsid w:val="0BE52473"/>
    <w:rsid w:val="0CC951E6"/>
    <w:rsid w:val="0D9A2B15"/>
    <w:rsid w:val="0DE80FBB"/>
    <w:rsid w:val="10EE4EC4"/>
    <w:rsid w:val="10FA0F34"/>
    <w:rsid w:val="12223F3C"/>
    <w:rsid w:val="12506AF5"/>
    <w:rsid w:val="13D47FA7"/>
    <w:rsid w:val="13D86B05"/>
    <w:rsid w:val="13EF232D"/>
    <w:rsid w:val="145411A8"/>
    <w:rsid w:val="14A463E4"/>
    <w:rsid w:val="14D02CB9"/>
    <w:rsid w:val="14DE1A5A"/>
    <w:rsid w:val="14ED08BE"/>
    <w:rsid w:val="15900F7D"/>
    <w:rsid w:val="15946424"/>
    <w:rsid w:val="165E338A"/>
    <w:rsid w:val="16A62ED0"/>
    <w:rsid w:val="174C2F4F"/>
    <w:rsid w:val="177C51F3"/>
    <w:rsid w:val="17831C2C"/>
    <w:rsid w:val="17905A2C"/>
    <w:rsid w:val="17A7561B"/>
    <w:rsid w:val="17C2752A"/>
    <w:rsid w:val="182F30CF"/>
    <w:rsid w:val="18911746"/>
    <w:rsid w:val="1A6F0BA9"/>
    <w:rsid w:val="1A7A163D"/>
    <w:rsid w:val="1B4A4AAE"/>
    <w:rsid w:val="1B7D5562"/>
    <w:rsid w:val="1D1A0543"/>
    <w:rsid w:val="1D2A64A2"/>
    <w:rsid w:val="1D3B7121"/>
    <w:rsid w:val="1DAB4D5F"/>
    <w:rsid w:val="1DFC79C5"/>
    <w:rsid w:val="1E770491"/>
    <w:rsid w:val="1E7C1A52"/>
    <w:rsid w:val="1EB22AAF"/>
    <w:rsid w:val="1EBB6480"/>
    <w:rsid w:val="1ECB664C"/>
    <w:rsid w:val="1F443338"/>
    <w:rsid w:val="1F453B14"/>
    <w:rsid w:val="1F8F342B"/>
    <w:rsid w:val="1FAE79E4"/>
    <w:rsid w:val="1FB85873"/>
    <w:rsid w:val="1FE92E23"/>
    <w:rsid w:val="201C533C"/>
    <w:rsid w:val="20D27D12"/>
    <w:rsid w:val="210727B5"/>
    <w:rsid w:val="21352CD5"/>
    <w:rsid w:val="21782F65"/>
    <w:rsid w:val="21F169CB"/>
    <w:rsid w:val="23E7068C"/>
    <w:rsid w:val="24523313"/>
    <w:rsid w:val="245B45AE"/>
    <w:rsid w:val="24CB6377"/>
    <w:rsid w:val="252E1A0F"/>
    <w:rsid w:val="25516AFC"/>
    <w:rsid w:val="256D1845"/>
    <w:rsid w:val="2677072E"/>
    <w:rsid w:val="26AB1BCC"/>
    <w:rsid w:val="26E563F0"/>
    <w:rsid w:val="277662F8"/>
    <w:rsid w:val="28C44F8C"/>
    <w:rsid w:val="29336225"/>
    <w:rsid w:val="29862DF1"/>
    <w:rsid w:val="29AA6E40"/>
    <w:rsid w:val="29D5393B"/>
    <w:rsid w:val="2A4461BB"/>
    <w:rsid w:val="2AAF67CF"/>
    <w:rsid w:val="2AB73349"/>
    <w:rsid w:val="2AE76F7F"/>
    <w:rsid w:val="2B0B74C7"/>
    <w:rsid w:val="2B486F06"/>
    <w:rsid w:val="2B6161D4"/>
    <w:rsid w:val="2B6F0EC4"/>
    <w:rsid w:val="2BF357BE"/>
    <w:rsid w:val="2C3B20E9"/>
    <w:rsid w:val="2C723FA4"/>
    <w:rsid w:val="2CDF119A"/>
    <w:rsid w:val="2CE413C6"/>
    <w:rsid w:val="2D2E28CB"/>
    <w:rsid w:val="2D9218B6"/>
    <w:rsid w:val="2DAB080A"/>
    <w:rsid w:val="2DBF1CA8"/>
    <w:rsid w:val="2E382343"/>
    <w:rsid w:val="2ECA6994"/>
    <w:rsid w:val="2ED43BB5"/>
    <w:rsid w:val="2F03620A"/>
    <w:rsid w:val="2F0A7EF4"/>
    <w:rsid w:val="2F871FF4"/>
    <w:rsid w:val="2FE842FD"/>
    <w:rsid w:val="2FF54D5F"/>
    <w:rsid w:val="306E70E5"/>
    <w:rsid w:val="30A06706"/>
    <w:rsid w:val="30EB5661"/>
    <w:rsid w:val="311A3BC1"/>
    <w:rsid w:val="3162515B"/>
    <w:rsid w:val="317C4BEF"/>
    <w:rsid w:val="31A2325C"/>
    <w:rsid w:val="31E81002"/>
    <w:rsid w:val="31EE6EFB"/>
    <w:rsid w:val="32095270"/>
    <w:rsid w:val="321C5C7B"/>
    <w:rsid w:val="32416300"/>
    <w:rsid w:val="32AA5574"/>
    <w:rsid w:val="32B62908"/>
    <w:rsid w:val="32C963EC"/>
    <w:rsid w:val="33413213"/>
    <w:rsid w:val="3345141E"/>
    <w:rsid w:val="338561D4"/>
    <w:rsid w:val="33EA6E6D"/>
    <w:rsid w:val="347D24C4"/>
    <w:rsid w:val="34F5380F"/>
    <w:rsid w:val="35655A77"/>
    <w:rsid w:val="35F51522"/>
    <w:rsid w:val="361C2C64"/>
    <w:rsid w:val="366428A1"/>
    <w:rsid w:val="368A1FE2"/>
    <w:rsid w:val="36A75485"/>
    <w:rsid w:val="36BE65F6"/>
    <w:rsid w:val="36D63DEF"/>
    <w:rsid w:val="37354439"/>
    <w:rsid w:val="373E4CF6"/>
    <w:rsid w:val="377A2D73"/>
    <w:rsid w:val="37877E5A"/>
    <w:rsid w:val="37CA5A34"/>
    <w:rsid w:val="37FB0691"/>
    <w:rsid w:val="38271C5F"/>
    <w:rsid w:val="38520D5D"/>
    <w:rsid w:val="38592C3E"/>
    <w:rsid w:val="38944146"/>
    <w:rsid w:val="392B5378"/>
    <w:rsid w:val="395417BD"/>
    <w:rsid w:val="39B93B73"/>
    <w:rsid w:val="39D433FE"/>
    <w:rsid w:val="3A09617F"/>
    <w:rsid w:val="3A590EFE"/>
    <w:rsid w:val="3AC518E9"/>
    <w:rsid w:val="3ACD46A9"/>
    <w:rsid w:val="3AD73BCA"/>
    <w:rsid w:val="3AF10382"/>
    <w:rsid w:val="3AFC1E02"/>
    <w:rsid w:val="3B03463A"/>
    <w:rsid w:val="3B4920B7"/>
    <w:rsid w:val="3B4A0B62"/>
    <w:rsid w:val="3B5D1CDD"/>
    <w:rsid w:val="3BE96339"/>
    <w:rsid w:val="3C301EA2"/>
    <w:rsid w:val="3CFB2C13"/>
    <w:rsid w:val="3CFF55EF"/>
    <w:rsid w:val="3D4A2E5C"/>
    <w:rsid w:val="3D8E328F"/>
    <w:rsid w:val="3DAD7EC7"/>
    <w:rsid w:val="3DB90DD5"/>
    <w:rsid w:val="3EE00412"/>
    <w:rsid w:val="3F044255"/>
    <w:rsid w:val="3FB61D93"/>
    <w:rsid w:val="3FE67F9D"/>
    <w:rsid w:val="3FEE04D2"/>
    <w:rsid w:val="40122101"/>
    <w:rsid w:val="408720C3"/>
    <w:rsid w:val="411D3124"/>
    <w:rsid w:val="41992A00"/>
    <w:rsid w:val="41BD06CD"/>
    <w:rsid w:val="41D969CC"/>
    <w:rsid w:val="4225530B"/>
    <w:rsid w:val="42CC37EE"/>
    <w:rsid w:val="42DB2D5F"/>
    <w:rsid w:val="42E24CCC"/>
    <w:rsid w:val="43093C7F"/>
    <w:rsid w:val="43CD47F5"/>
    <w:rsid w:val="43E11B90"/>
    <w:rsid w:val="441B5885"/>
    <w:rsid w:val="443C11F7"/>
    <w:rsid w:val="4450404F"/>
    <w:rsid w:val="44701D27"/>
    <w:rsid w:val="44A43A7E"/>
    <w:rsid w:val="44B82743"/>
    <w:rsid w:val="44FE1566"/>
    <w:rsid w:val="45170FAB"/>
    <w:rsid w:val="454103E3"/>
    <w:rsid w:val="457B421B"/>
    <w:rsid w:val="45A80B88"/>
    <w:rsid w:val="4688582E"/>
    <w:rsid w:val="46942C21"/>
    <w:rsid w:val="46CB1B93"/>
    <w:rsid w:val="46FC3F32"/>
    <w:rsid w:val="474D6235"/>
    <w:rsid w:val="47661076"/>
    <w:rsid w:val="47703994"/>
    <w:rsid w:val="484863BA"/>
    <w:rsid w:val="4A74408A"/>
    <w:rsid w:val="4A776C91"/>
    <w:rsid w:val="4AA667F3"/>
    <w:rsid w:val="4AE81369"/>
    <w:rsid w:val="4C230486"/>
    <w:rsid w:val="4C3B320E"/>
    <w:rsid w:val="4C8144FF"/>
    <w:rsid w:val="4C8B5FFD"/>
    <w:rsid w:val="4CAF4ADE"/>
    <w:rsid w:val="4CB76309"/>
    <w:rsid w:val="4CC9093A"/>
    <w:rsid w:val="4D122188"/>
    <w:rsid w:val="4D443CCB"/>
    <w:rsid w:val="4D716F22"/>
    <w:rsid w:val="4DBF08F9"/>
    <w:rsid w:val="4DD51DE5"/>
    <w:rsid w:val="4E1511BD"/>
    <w:rsid w:val="4E3A360E"/>
    <w:rsid w:val="4E816DE9"/>
    <w:rsid w:val="4EAF6D94"/>
    <w:rsid w:val="4EFB19E6"/>
    <w:rsid w:val="4FF721FE"/>
    <w:rsid w:val="51391AE9"/>
    <w:rsid w:val="51AF0378"/>
    <w:rsid w:val="51BA4BA4"/>
    <w:rsid w:val="5201029B"/>
    <w:rsid w:val="52102A79"/>
    <w:rsid w:val="52124AD6"/>
    <w:rsid w:val="52162F37"/>
    <w:rsid w:val="526848EF"/>
    <w:rsid w:val="528D6CE7"/>
    <w:rsid w:val="52CB54F8"/>
    <w:rsid w:val="53012357"/>
    <w:rsid w:val="53251CE0"/>
    <w:rsid w:val="5333079B"/>
    <w:rsid w:val="538F5BE5"/>
    <w:rsid w:val="53F74247"/>
    <w:rsid w:val="54347AEB"/>
    <w:rsid w:val="547E6ACD"/>
    <w:rsid w:val="548464DB"/>
    <w:rsid w:val="56144025"/>
    <w:rsid w:val="561D16BF"/>
    <w:rsid w:val="56BC4A41"/>
    <w:rsid w:val="56D85068"/>
    <w:rsid w:val="56FF2B9A"/>
    <w:rsid w:val="5778329F"/>
    <w:rsid w:val="57A56825"/>
    <w:rsid w:val="57C36809"/>
    <w:rsid w:val="594404BC"/>
    <w:rsid w:val="595262AB"/>
    <w:rsid w:val="5A4E2F16"/>
    <w:rsid w:val="5A873EDB"/>
    <w:rsid w:val="5B39458D"/>
    <w:rsid w:val="5B521DE7"/>
    <w:rsid w:val="5B765FF6"/>
    <w:rsid w:val="5B781CAB"/>
    <w:rsid w:val="5BB13738"/>
    <w:rsid w:val="5BB23786"/>
    <w:rsid w:val="5CAB7A80"/>
    <w:rsid w:val="5CDD2C78"/>
    <w:rsid w:val="5CE74AAD"/>
    <w:rsid w:val="5CFE7C26"/>
    <w:rsid w:val="5D0B1834"/>
    <w:rsid w:val="5D393C3E"/>
    <w:rsid w:val="5D6B4286"/>
    <w:rsid w:val="5D994D24"/>
    <w:rsid w:val="5DA444BD"/>
    <w:rsid w:val="5E3917C6"/>
    <w:rsid w:val="5EAC3721"/>
    <w:rsid w:val="5F224A78"/>
    <w:rsid w:val="5FAB5D42"/>
    <w:rsid w:val="5FF42EA1"/>
    <w:rsid w:val="603C6FF9"/>
    <w:rsid w:val="60417528"/>
    <w:rsid w:val="6085682F"/>
    <w:rsid w:val="60C5510B"/>
    <w:rsid w:val="60F1054F"/>
    <w:rsid w:val="61395BD1"/>
    <w:rsid w:val="61EE0F5D"/>
    <w:rsid w:val="622A7FD1"/>
    <w:rsid w:val="62A878E7"/>
    <w:rsid w:val="62BC1C13"/>
    <w:rsid w:val="62C04D24"/>
    <w:rsid w:val="63AF64DB"/>
    <w:rsid w:val="64886866"/>
    <w:rsid w:val="64AD79B5"/>
    <w:rsid w:val="654C138B"/>
    <w:rsid w:val="656C7E69"/>
    <w:rsid w:val="657421B4"/>
    <w:rsid w:val="65A1316D"/>
    <w:rsid w:val="65AA6508"/>
    <w:rsid w:val="65AC747C"/>
    <w:rsid w:val="65DB199A"/>
    <w:rsid w:val="66287F41"/>
    <w:rsid w:val="662F765F"/>
    <w:rsid w:val="666875C2"/>
    <w:rsid w:val="66D83511"/>
    <w:rsid w:val="66EA5B8D"/>
    <w:rsid w:val="672976EB"/>
    <w:rsid w:val="679A14EB"/>
    <w:rsid w:val="67E973DD"/>
    <w:rsid w:val="682D3EF0"/>
    <w:rsid w:val="68BD65BC"/>
    <w:rsid w:val="68C25FB6"/>
    <w:rsid w:val="6A2A64AA"/>
    <w:rsid w:val="6AC34DEA"/>
    <w:rsid w:val="6BB80867"/>
    <w:rsid w:val="6CB87260"/>
    <w:rsid w:val="6CE50D72"/>
    <w:rsid w:val="6CE90870"/>
    <w:rsid w:val="6E412479"/>
    <w:rsid w:val="6EC8376B"/>
    <w:rsid w:val="6F48188C"/>
    <w:rsid w:val="70313F22"/>
    <w:rsid w:val="70CA39AF"/>
    <w:rsid w:val="7108486B"/>
    <w:rsid w:val="71200CC9"/>
    <w:rsid w:val="712D26E4"/>
    <w:rsid w:val="715D3C3D"/>
    <w:rsid w:val="71A27AEB"/>
    <w:rsid w:val="71DE686B"/>
    <w:rsid w:val="72266BEA"/>
    <w:rsid w:val="72C319B7"/>
    <w:rsid w:val="72F65E49"/>
    <w:rsid w:val="733134F9"/>
    <w:rsid w:val="735D727A"/>
    <w:rsid w:val="73762542"/>
    <w:rsid w:val="73846317"/>
    <w:rsid w:val="738E32C9"/>
    <w:rsid w:val="74AC6C30"/>
    <w:rsid w:val="75321EAE"/>
    <w:rsid w:val="75F05890"/>
    <w:rsid w:val="76A94801"/>
    <w:rsid w:val="76CE3079"/>
    <w:rsid w:val="77030827"/>
    <w:rsid w:val="77837AE1"/>
    <w:rsid w:val="784A774D"/>
    <w:rsid w:val="78762CDF"/>
    <w:rsid w:val="79490E58"/>
    <w:rsid w:val="79BD5476"/>
    <w:rsid w:val="79EF2CF4"/>
    <w:rsid w:val="7A0255ED"/>
    <w:rsid w:val="7B1B574C"/>
    <w:rsid w:val="7BEF18D8"/>
    <w:rsid w:val="7C0728D9"/>
    <w:rsid w:val="7C7A07CE"/>
    <w:rsid w:val="7D403EF9"/>
    <w:rsid w:val="7D936D04"/>
    <w:rsid w:val="7DF96D78"/>
    <w:rsid w:val="7DFE6C47"/>
    <w:rsid w:val="7F014EB4"/>
    <w:rsid w:val="7F252973"/>
    <w:rsid w:val="7F32714A"/>
    <w:rsid w:val="7F3E39B7"/>
    <w:rsid w:val="7F9E3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99"/>
    <w:pPr>
      <w:spacing w:after="120" w:line="240" w:lineRule="exact"/>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First Indent"/>
    <w:basedOn w:val="2"/>
    <w:qFormat/>
    <w:uiPriority w:val="0"/>
    <w:pPr>
      <w:ind w:firstLine="420" w:firstLineChars="100"/>
    </w:pPr>
  </w:style>
  <w:style w:type="paragraph" w:styleId="6">
    <w:name w:val="Body Text First Indent 2"/>
    <w:basedOn w:val="3"/>
    <w:next w:val="5"/>
    <w:qFormat/>
    <w:uiPriority w:val="0"/>
    <w:pPr>
      <w:ind w:firstLine="420"/>
    </w:pPr>
    <w:rPr>
      <w:rFonts w:ascii="Times New Roman" w:hAnsi="Times New Roman"/>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apple-converted-space"/>
    <w:qFormat/>
    <w:uiPriority w:val="0"/>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2023-03-31T08:16:00Z</dcterms:created>
  <dc:creator>Administrator</dc:creator>
  <cp:lastModifiedBy>三石成磊</cp:lastModifiedBy>
  <dcterms:modified xsi:type="dcterms:W3CDTF">2023-11-21T03:14:35Z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